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PORTFOLIO PROJECT</w:t>
      </w:r>
    </w:p>
    <w:p>
      <w:pPr>
        <w:pStyle w:val="Title"/>
        <w:jc w:val="center"/>
      </w:pPr>
      <w:r>
        <w:t>Secure Medical Clinic</w:t>
        <w:br/>
        <w:t>Azure Environment</w:t>
      </w:r>
    </w:p>
    <w:p>
      <w:pPr>
        <w:jc w:val="center"/>
      </w:pPr>
      <w:r>
        <w:rPr>
          <w:color w:val="1C5B8C"/>
          <w:sz w:val="30"/>
        </w:rPr>
        <w:t>Security-focused Azure foundation aligned to AZ-900 concepts</w:t>
      </w:r>
    </w:p>
    <w:p>
      <w:pPr>
        <w:spacing w:after="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00" w:type="dxa"/>
          </w:tcPr>
          <w:p>
            <w:pPr>
              <w:spacing w:after="40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type="dxa" w:w="468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860" w:type="dxa"/>
          </w:tcPr>
          <w:p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00" w:type="dxa"/>
          </w:tcPr>
          <w:p>
            <w:pPr>
              <w:spacing w:after="40"/>
            </w:pPr>
            <w:r>
              <w:t>Author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860" w:type="dxa"/>
          </w:tcPr>
          <w:p>
            <w:r>
              <w:t>Jaiprakash Reddy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00" w:type="dxa"/>
          </w:tcPr>
          <w:p>
            <w:pPr>
              <w:spacing w:after="40"/>
            </w:pPr>
            <w:r>
              <w:t>Region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860" w:type="dxa"/>
          </w:tcPr>
          <w:p>
            <w:r>
              <w:t>Australia East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00" w:type="dxa"/>
          </w:tcPr>
          <w:p>
            <w:pPr>
              <w:spacing w:after="40"/>
            </w:pPr>
            <w:r>
              <w:t>Environment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860" w:type="dxa"/>
          </w:tcPr>
          <w:p>
            <w:r>
              <w:t>Development portfolio lab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00" w:type="dxa"/>
          </w:tcPr>
          <w:p>
            <w:pPr>
              <w:spacing w:after="40"/>
            </w:pPr>
            <w:r>
              <w:t>Data handling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860" w:type="dxa"/>
          </w:tcPr>
          <w:p>
            <w:r>
              <w:t>Fictitious medical records only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00" w:type="dxa"/>
          </w:tcPr>
          <w:p>
            <w:pPr>
              <w:spacing w:after="40"/>
            </w:pPr>
            <w:r>
              <w:t>Prepared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860" w:type="dxa"/>
          </w:tcPr>
          <w:p>
            <w:r>
              <w:t>25 August 2026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b/>
          <w:color w:val="34864E"/>
        </w:rPr>
        <w:t>No production patient data • No public RDP or SSH • Low-cost design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project demonstrates the design and governance of a secure, low-cost Azure environment for a fictitious medical clinic. It focuses on identity, network segmentation, storage protection, monitoring, policy, and operational safeguards. No compute workload or production healthcare information was deployed; the result is a reusable security foundation and evidence-based portfolio case study.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468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t>Cost control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r>
              <w:t>A$5 monthly budget configured at resource-group scope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t>Network segmentation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r>
              <w:t>Three /24 subnets with dedicated NSGs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t>Identity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r>
              <w:t>Microsoft Entra groups and scoped Azure RBAC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t>Data protection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r>
              <w:t>Private blob container, TLS 1.2, Entra authorization, network restriction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t>Detection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r>
              <w:t>Activity Log alert delivered through an email action group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t>Governance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r>
              <w:t>Delete lock and deny policy for a required project tag</w:t>
            </w:r>
          </w:p>
        </w:tc>
      </w:tr>
    </w:tbl>
    <w:p>
      <w:pPr>
        <w:pStyle w:val="Heading1"/>
      </w:pPr>
      <w:r>
        <w:t>Objectives and constraints</w:t>
      </w:r>
    </w:p>
    <w:p>
      <w:pPr>
        <w:pStyle w:val="ListBullet"/>
      </w:pPr>
      <w:r>
        <w:t>Apply AZ-900 concepts through a practical Azure deployment.</w:t>
      </w:r>
    </w:p>
    <w:p>
      <w:pPr>
        <w:pStyle w:val="ListBullet"/>
      </w:pPr>
      <w:r>
        <w:t>Use free or low-cost control-plane services and avoid always-on compute.</w:t>
      </w:r>
    </w:p>
    <w:p>
      <w:pPr>
        <w:pStyle w:val="ListBullet"/>
      </w:pPr>
      <w:r>
        <w:t>Never expose RDP (3389) or SSH (22) directly to the internet.</w:t>
      </w:r>
    </w:p>
    <w:p>
      <w:pPr>
        <w:pStyle w:val="ListBullet"/>
      </w:pPr>
      <w:r>
        <w:t>Use only fictitious records and conceal subscription IDs, object IDs, emails, and personal details in public evidence.</w:t>
      </w:r>
    </w:p>
    <w:p>
      <w:pPr>
        <w:pStyle w:val="ListBullet"/>
      </w:pPr>
      <w:r>
        <w:t>Avoid Azure Bastion, VPN Gateway, ExpressRoute, Azure Firewall, and NAT Gateway.</w:t>
      </w:r>
    </w:p>
    <w:p>
      <w:pPr>
        <w:pStyle w:val="Heading1"/>
      </w:pPr>
      <w:r>
        <w:t>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98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e_Medical_Clinic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Logical security architecture. The web, app, and data tiers are network segments; no production application servers were deployed.</w:t>
      </w:r>
    </w:p>
    <w:p>
      <w:r>
        <w:br w:type="page"/>
      </w:r>
    </w:p>
    <w:p>
      <w:pPr>
        <w:pStyle w:val="Heading1"/>
      </w:pPr>
      <w:r>
        <w:t>Resource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00" w:type="dxa"/>
          </w:tcPr>
          <w:p>
            <w:pPr>
              <w:spacing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12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860" w:type="dxa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00" w:type="dxa"/>
          </w:tcPr>
          <w:p>
            <w:pPr>
              <w:spacing w:after="40"/>
            </w:pPr>
            <w:r>
              <w:t>Resource group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rg-medclinic-dev-aus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860" w:type="dxa"/>
          </w:tcPr>
          <w:p>
            <w:r>
              <w:t>Governance boundary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00" w:type="dxa"/>
          </w:tcPr>
          <w:p>
            <w:pPr>
              <w:spacing w:after="40"/>
            </w:pPr>
            <w:r>
              <w:t>Virtual network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vnet-medclinic-dev-aus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860" w:type="dxa"/>
          </w:tcPr>
          <w:p>
            <w:r>
              <w:t>10.20.0.0/16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00" w:type="dxa"/>
          </w:tcPr>
          <w:p>
            <w:pPr>
              <w:spacing w:after="40"/>
            </w:pPr>
            <w:r>
              <w:t>Web subnet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snet-web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860" w:type="dxa"/>
          </w:tcPr>
          <w:p>
            <w:r>
              <w:t>10.20.1.0/24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00" w:type="dxa"/>
          </w:tcPr>
          <w:p>
            <w:pPr>
              <w:spacing w:after="40"/>
            </w:pPr>
            <w:r>
              <w:t>App subnet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snet-app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860" w:type="dxa"/>
          </w:tcPr>
          <w:p>
            <w:r>
              <w:t>10.20.2.0/24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00" w:type="dxa"/>
          </w:tcPr>
          <w:p>
            <w:pPr>
              <w:spacing w:after="40"/>
            </w:pPr>
            <w:r>
              <w:t>Data subnet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snet-data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860" w:type="dxa"/>
          </w:tcPr>
          <w:p>
            <w:r>
              <w:t>10.20.3.0/24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00" w:type="dxa"/>
          </w:tcPr>
          <w:p>
            <w:pPr>
              <w:spacing w:after="40"/>
            </w:pPr>
            <w:r>
              <w:t>Network security groups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nsg-medclinic-web / app / data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860" w:type="dxa"/>
          </w:tcPr>
          <w:p>
            <w:r>
              <w:t>One NSG per subnet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00" w:type="dxa"/>
          </w:tcPr>
          <w:p>
            <w:pPr>
              <w:spacing w:after="40"/>
            </w:pPr>
            <w:r>
              <w:t>Storage account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stmedclinicdev0207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860" w:type="dxa"/>
          </w:tcPr>
          <w:p>
            <w:r>
              <w:t>Private fictitious records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00" w:type="dxa"/>
          </w:tcPr>
          <w:p>
            <w:pPr>
              <w:spacing w:after="40"/>
            </w:pPr>
            <w:r>
              <w:t>Monitor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alert-medclinic-nsg-change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860" w:type="dxa"/>
          </w:tcPr>
          <w:p>
            <w:r>
              <w:t>Email via ag-medclinic-security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00" w:type="dxa"/>
          </w:tcPr>
          <w:p>
            <w:pPr>
              <w:spacing w:after="40"/>
            </w:pPr>
            <w:r>
              <w:t>Governance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Policy + delete lock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860" w:type="dxa"/>
          </w:tcPr>
          <w:p>
            <w:r>
              <w:t>Required tag and deletion protection</w:t>
            </w:r>
          </w:p>
        </w:tc>
      </w:tr>
    </w:tbl>
    <w:p>
      <w:pPr>
        <w:pStyle w:val="Heading1"/>
      </w:pPr>
      <w:r>
        <w:t>Network security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400" w:type="dxa"/>
          </w:tcPr>
          <w:p>
            <w:pPr>
              <w:spacing w:after="40"/>
            </w:pPr>
            <w:r>
              <w:rPr>
                <w:b/>
                <w:sz w:val="18"/>
              </w:rPr>
              <w:t>Tier</w:t>
            </w:r>
          </w:p>
        </w:tc>
        <w:tc>
          <w:tcPr>
            <w:tcW w:type="dxa" w:w="312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500" w:type="dxa"/>
          </w:tcPr>
          <w:p>
            <w:r>
              <w:rPr>
                <w:b/>
                <w:sz w:val="18"/>
              </w:rPr>
              <w:t>Allowed inbound</w:t>
            </w:r>
          </w:p>
        </w:tc>
        <w:tc>
          <w:tcPr>
            <w:tcW w:type="dxa" w:w="312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460" w:type="dxa"/>
          </w:tcPr>
          <w:p>
            <w:r>
              <w:rPr>
                <w:b/>
                <w:sz w:val="18"/>
              </w:rPr>
              <w:t>Additional control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400" w:type="dxa"/>
          </w:tcPr>
          <w:p>
            <w:pPr>
              <w:spacing w:after="40"/>
            </w:pPr>
            <w:r>
              <w:t>Web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500" w:type="dxa"/>
          </w:tcPr>
          <w:p>
            <w:r>
              <w:t>TCP 443 from Internet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460" w:type="dxa"/>
          </w:tcPr>
          <w:p>
            <w:r>
              <w:t>Explicitly deny Internet RDP/SSH and other Internet traffic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400" w:type="dxa"/>
          </w:tcPr>
          <w:p>
            <w:pPr>
              <w:spacing w:after="40"/>
            </w:pPr>
            <w:r>
              <w:t>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500" w:type="dxa"/>
          </w:tcPr>
          <w:p>
            <w:r>
              <w:t>TCP 443 from 10.20.1.0/24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460" w:type="dxa"/>
          </w:tcPr>
          <w:p>
            <w:r>
              <w:t>Deny other VirtualNetwork traffic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400" w:type="dxa"/>
          </w:tcPr>
          <w:p>
            <w:pPr>
              <w:spacing w:after="40"/>
            </w:pPr>
            <w:r>
              <w:t>Data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500" w:type="dxa"/>
          </w:tcPr>
          <w:p>
            <w:r>
              <w:t>TCP 443 from 10.20.2.0/24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4460" w:type="dxa"/>
          </w:tcPr>
          <w:p>
            <w:r>
              <w:t>Deny other VirtualNetwork traffic</w:t>
            </w:r>
          </w:p>
        </w:tc>
      </w:tr>
    </w:tbl>
    <w:p>
      <w:r>
        <w:t>Azure NSGs are stateful and evaluate lower priority numbers first. Dedicated NSGs reduce blast radius and make the intended web → app → data flow reviewable. AzureLoadBalancer service-tag exceptions were added above the custom VirtualNetwork deny rules so Azure platform health traffic is not unintentionally blocked.</w:t>
      </w:r>
    </w:p>
    <w:p>
      <w:pPr>
        <w:pStyle w:val="Heading1"/>
      </w:pPr>
      <w:r>
        <w:t>Storage security</w:t>
      </w:r>
    </w:p>
    <w:p>
      <w:pPr>
        <w:pStyle w:val="ListBullet"/>
      </w:pPr>
      <w:r>
        <w:t>Private container clinic-records containing only a fictitious CSV.</w:t>
      </w:r>
    </w:p>
    <w:p>
      <w:pPr>
        <w:pStyle w:val="ListBullet"/>
      </w:pPr>
      <w:r>
        <w:t>Secure transfer required; minimum TLS version 1.2.</w:t>
      </w:r>
    </w:p>
    <w:p>
      <w:pPr>
        <w:pStyle w:val="ListBullet"/>
      </w:pPr>
      <w:r>
        <w:t>Blob anonymous access disabled; Shared Key access disabled.</w:t>
      </w:r>
    </w:p>
    <w:p>
      <w:pPr>
        <w:pStyle w:val="ListBullet"/>
      </w:pPr>
      <w:r>
        <w:t>Microsoft Entra authorization used for data access.</w:t>
      </w:r>
    </w:p>
    <w:p>
      <w:pPr>
        <w:pStyle w:val="ListBullet"/>
      </w:pPr>
      <w:r>
        <w:t>Blob and container soft delete enabled for seven days.</w:t>
      </w:r>
    </w:p>
    <w:p>
      <w:pPr>
        <w:pStyle w:val="ListBullet"/>
      </w:pPr>
      <w:r>
        <w:t>Public network access restricted to selected virtual-network subnets; an external portal request returned the expected HTTP 403.</w:t>
      </w:r>
    </w:p>
    <w:p>
      <w:pPr>
        <w:pStyle w:val="Heading1"/>
      </w:pPr>
      <w:r>
        <w:t>Identity and access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100" w:type="dxa"/>
          </w:tcPr>
          <w:p>
            <w:pPr>
              <w:spacing w:after="40"/>
            </w:pPr>
            <w:r>
              <w:rPr>
                <w:b/>
                <w:sz w:val="18"/>
              </w:rPr>
              <w:t>Principal</w:t>
            </w:r>
          </w:p>
        </w:tc>
        <w:tc>
          <w:tcPr>
            <w:tcW w:type="dxa" w:w="312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12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860" w:type="dxa"/>
          </w:tcPr>
          <w:p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100" w:type="dxa"/>
          </w:tcPr>
          <w:p>
            <w:pPr>
              <w:spacing w:after="40"/>
            </w:pPr>
            <w:r>
              <w:t>MedClinic-IT-Operators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Contributor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860" w:type="dxa"/>
          </w:tcPr>
          <w:p>
            <w:r>
              <w:t>Resource group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100" w:type="dxa"/>
          </w:tcPr>
          <w:p>
            <w:pPr>
              <w:spacing w:after="40"/>
            </w:pPr>
            <w:r>
              <w:t>MedClinic-Network-Support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Network Contributor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860" w:type="dxa"/>
          </w:tcPr>
          <w:p>
            <w:r>
              <w:t>Resource group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100" w:type="dxa"/>
          </w:tcPr>
          <w:p>
            <w:pPr>
              <w:spacing w:after="40"/>
            </w:pPr>
            <w:r>
              <w:t>MedClinic-Records-Readers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Storage Blob Data Reader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860" w:type="dxa"/>
          </w:tcPr>
          <w:p>
            <w:r>
              <w:t>Storage account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100" w:type="dxa"/>
          </w:tcPr>
          <w:p>
            <w:pPr>
              <w:spacing w:after="40"/>
            </w:pPr>
            <w:r>
              <w:t>Project owner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400" w:type="dxa"/>
          </w:tcPr>
          <w:p>
            <w:r>
              <w:t>Storage Blob Data Contributor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860" w:type="dxa"/>
          </w:tcPr>
          <w:p>
            <w:r>
              <w:t>Storage account</w:t>
            </w:r>
          </w:p>
        </w:tc>
      </w:tr>
    </w:tbl>
    <w:p>
      <w:r>
        <w:t>This separates management-plane permissions from storage data-plane permissions and demonstrates least privilege through group-based access.</w:t>
      </w:r>
    </w:p>
    <w:p>
      <w:r>
        <w:br w:type="page"/>
      </w:r>
    </w:p>
    <w:p>
      <w:pPr>
        <w:pStyle w:val="Heading1"/>
      </w:pPr>
      <w:r>
        <w:t>Monitoring, governance, and cost</w:t>
      </w:r>
    </w:p>
    <w:p>
      <w:pPr>
        <w:pStyle w:val="Heading2"/>
      </w:pPr>
      <w:r>
        <w:t>Monitoring</w:t>
      </w:r>
    </w:p>
    <w:p>
      <w:r>
        <w:t>An Azure Monitor Activity Log alert detects NSG changes and routes notifications through ag-medclinic-security. The action group was validated when an email notification arrived after a controlled NSG tag change.</w:t>
      </w:r>
    </w:p>
    <w:p>
      <w:pPr>
        <w:pStyle w:val="Heading2"/>
      </w:pPr>
      <w:r>
        <w:t>Governance</w:t>
      </w:r>
    </w:p>
    <w:p>
      <w:r>
        <w:t>A CanNotDelete resource lock protects the resource group from accidental deletion. Azure Policy uses a Deny effect to require the project tag and value on resources. The compliance view initially showed 6 of 7 resources compliant because the action group lacked the tag. After remediation, policy reevaluation may take time; the 86% screenshot is retained as evidence of detection and corrective action rather than presented as a failure.</w:t>
      </w:r>
    </w:p>
    <w:p>
      <w:pPr>
        <w:pStyle w:val="Heading2"/>
      </w:pPr>
      <w:r>
        <w:t>Cost controls</w:t>
      </w:r>
    </w:p>
    <w:p>
      <w:r>
        <w:t>A monthly A$5 budget was configured. The lab avoids charge-generating gateways, Bastion, public IPs, and always-on VMs. Budgets alert on spend but do not automatically stop resources, so cleanup remains essential.</w:t>
      </w:r>
    </w:p>
    <w:p>
      <w:pPr>
        <w:pStyle w:val="Heading1"/>
      </w:pPr>
      <w:r>
        <w:t>Security validation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450" w:type="dxa"/>
          </w:tcPr>
          <w:p>
            <w:pPr>
              <w:spacing w:after="40"/>
            </w:pPr>
            <w:r>
              <w:rPr>
                <w:b/>
                <w:sz w:val="18"/>
              </w:rPr>
              <w:t>Test</w:t>
            </w:r>
          </w:p>
        </w:tc>
        <w:tc>
          <w:tcPr>
            <w:tcW w:type="dxa" w:w="312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5160" w:type="dxa"/>
          </w:tcPr>
          <w:p>
            <w:r>
              <w:rPr>
                <w:b/>
                <w:sz w:val="18"/>
              </w:rPr>
              <w:t>Observed evidence</w:t>
            </w:r>
          </w:p>
        </w:tc>
        <w:tc>
          <w:tcPr>
            <w:tcW w:type="dxa" w:w="312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50" w:type="dxa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450" w:type="dxa"/>
          </w:tcPr>
          <w:p>
            <w:pPr>
              <w:spacing w:after="40"/>
            </w:pPr>
            <w:r>
              <w:t>No public remote administration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5160" w:type="dxa"/>
          </w:tcPr>
          <w:p>
            <w:r>
              <w:t>NSGs contain no Internet allow rule for ports 22 or 3389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50" w:type="dxa"/>
          </w:tcPr>
          <w:p>
            <w:r>
              <w:t>Pass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450" w:type="dxa"/>
          </w:tcPr>
          <w:p>
            <w:pPr>
              <w:spacing w:after="40"/>
            </w:pPr>
            <w:r>
              <w:t>Tier segmentation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5160" w:type="dxa"/>
          </w:tcPr>
          <w:p>
            <w:r>
              <w:t>Web, app, and data each use a dedicated subnet and NSG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50" w:type="dxa"/>
          </w:tcPr>
          <w:p>
            <w:r>
              <w:t>Pass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450" w:type="dxa"/>
          </w:tcPr>
          <w:p>
            <w:pPr>
              <w:spacing w:after="40"/>
            </w:pPr>
            <w:r>
              <w:t>Web exposure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5160" w:type="dxa"/>
          </w:tcPr>
          <w:p>
            <w:r>
              <w:t>Only TCP 443 is allowed from Internet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50" w:type="dxa"/>
          </w:tcPr>
          <w:p>
            <w:r>
              <w:t>Pass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450" w:type="dxa"/>
          </w:tcPr>
          <w:p>
            <w:pPr>
              <w:spacing w:after="40"/>
            </w:pPr>
            <w:r>
              <w:t>App restriction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5160" w:type="dxa"/>
          </w:tcPr>
          <w:p>
            <w:r>
              <w:t>TCP 443 allowed only from web subnet; other VNet traffic denied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50" w:type="dxa"/>
          </w:tcPr>
          <w:p>
            <w:r>
              <w:t>Pass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450" w:type="dxa"/>
          </w:tcPr>
          <w:p>
            <w:pPr>
              <w:spacing w:after="40"/>
            </w:pPr>
            <w:r>
              <w:t>Data restriction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5160" w:type="dxa"/>
          </w:tcPr>
          <w:p>
            <w:r>
              <w:t>TCP 443 allowed only from app subnet; other VNet traffic denied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50" w:type="dxa"/>
          </w:tcPr>
          <w:p>
            <w:r>
              <w:t>Pass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450" w:type="dxa"/>
          </w:tcPr>
          <w:p>
            <w:pPr>
              <w:spacing w:after="40"/>
            </w:pPr>
            <w:r>
              <w:t>Storage anonymity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5160" w:type="dxa"/>
          </w:tcPr>
          <w:p>
            <w:r>
              <w:t>Blob anonymous access disabled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50" w:type="dxa"/>
          </w:tcPr>
          <w:p>
            <w:r>
              <w:t>Pass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450" w:type="dxa"/>
          </w:tcPr>
          <w:p>
            <w:pPr>
              <w:spacing w:after="40"/>
            </w:pPr>
            <w:r>
              <w:t>Storage network test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5160" w:type="dxa"/>
          </w:tcPr>
          <w:p>
            <w:r>
              <w:t>External portal access returned HTTP 403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50" w:type="dxa"/>
          </w:tcPr>
          <w:p>
            <w:r>
              <w:t>Pass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450" w:type="dxa"/>
          </w:tcPr>
          <w:p>
            <w:pPr>
              <w:spacing w:after="40"/>
            </w:pPr>
            <w:r>
              <w:t>Detection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5160" w:type="dxa"/>
          </w:tcPr>
          <w:p>
            <w:r>
              <w:t>Activity Log alert email received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50" w:type="dxa"/>
          </w:tcPr>
          <w:p>
            <w:r>
              <w:t>Pass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450" w:type="dxa"/>
          </w:tcPr>
          <w:p>
            <w:pPr>
              <w:spacing w:after="40"/>
            </w:pPr>
            <w:r>
              <w:t>Policy remediation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5160" w:type="dxa"/>
          </w:tcPr>
          <w:p>
            <w:r>
              <w:t>Missing tag detected and corrected; reevaluation pending in captured view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50" w:type="dxa"/>
          </w:tcPr>
          <w:p>
            <w:r>
              <w:t>Pass with note</w:t>
            </w:r>
          </w:p>
        </w:tc>
      </w:tr>
    </w:tbl>
    <w:p>
      <w:pPr>
        <w:pStyle w:val="Heading1"/>
      </w:pPr>
      <w:r>
        <w:t>Problems found and corrected</w:t>
      </w:r>
    </w:p>
    <w:p>
      <w:pPr>
        <w:pStyle w:val="ListBullet"/>
      </w:pPr>
      <w:r>
        <w:t>NSG association was reviewed and corrected so each subnet has its own matching NSG.</w:t>
      </w:r>
    </w:p>
    <w:p>
      <w:pPr>
        <w:pStyle w:val="ListBullet"/>
      </w:pPr>
      <w:r>
        <w:t>Early app/data NSG rules were overly broad or had misleading names; source CIDRs, actions, and priorities were corrected.</w:t>
      </w:r>
    </w:p>
    <w:p>
      <w:pPr>
        <w:pStyle w:val="ListBullet"/>
      </w:pPr>
      <w:r>
        <w:t>Custom VirtualNetwork deny rules triggered Azure warnings; explicit AzureLoadBalancer allows were placed at a higher priority.</w:t>
      </w:r>
    </w:p>
    <w:p>
      <w:pPr>
        <w:pStyle w:val="ListBullet"/>
      </w:pPr>
      <w:r>
        <w:t>Azure Policy identified an untagged action group; the required project tag was added.</w:t>
      </w:r>
    </w:p>
    <w:p>
      <w:r>
        <w:br w:type="page"/>
      </w:r>
    </w:p>
    <w:p>
      <w:pPr>
        <w:pStyle w:val="Heading1"/>
      </w:pPr>
      <w:r>
        <w:t>AZ-900 concepts demonstrated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00" w:type="dxa"/>
          </w:tcPr>
          <w:p>
            <w:pPr>
              <w:spacing w:after="40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468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860" w:type="dxa"/>
          </w:tcPr>
          <w:p>
            <w:r>
              <w:rPr>
                <w:b/>
                <w:sz w:val="18"/>
              </w:rPr>
              <w:t>Applied concept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00" w:type="dxa"/>
          </w:tcPr>
          <w:p>
            <w:pPr>
              <w:spacing w:after="40"/>
            </w:pPr>
            <w:r>
              <w:t>Cloud concepts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860" w:type="dxa"/>
          </w:tcPr>
          <w:p>
            <w:r>
              <w:t>Consumption awareness, shared responsibility, and service scope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00" w:type="dxa"/>
          </w:tcPr>
          <w:p>
            <w:pPr>
              <w:spacing w:after="40"/>
            </w:pPr>
            <w:r>
              <w:t>Architecture and services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860" w:type="dxa"/>
          </w:tcPr>
          <w:p>
            <w:r>
              <w:t>Region, subscription, resource group, VNet, subnet, NSG, storage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00" w:type="dxa"/>
          </w:tcPr>
          <w:p>
            <w:pPr>
              <w:spacing w:after="40"/>
            </w:pPr>
            <w:r>
              <w:t>Identity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860" w:type="dxa"/>
          </w:tcPr>
          <w:p>
            <w:r>
              <w:t>Microsoft Entra ID, groups, Azure RBAC, management vs data plane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00" w:type="dxa"/>
          </w:tcPr>
          <w:p>
            <w:pPr>
              <w:spacing w:after="40"/>
            </w:pPr>
            <w:r>
              <w:t>Management and governance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860" w:type="dxa"/>
          </w:tcPr>
          <w:p>
            <w:r>
              <w:t>Tags, Azure Policy, resource locks, budgets, Azure Monitor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00" w:type="dxa"/>
          </w:tcPr>
          <w:p>
            <w:pPr>
              <w:spacing w:after="40"/>
            </w:pPr>
            <w:r>
              <w:t>Security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860" w:type="dxa"/>
          </w:tcPr>
          <w:p>
            <w:r>
              <w:t>Defense in depth, least privilege, segmentation, encryption in transit, private data access</w:t>
            </w:r>
          </w:p>
        </w:tc>
      </w:tr>
    </w:tbl>
    <w:p>
      <w:pPr>
        <w:pStyle w:val="Heading1"/>
      </w:pPr>
      <w:r>
        <w:t>Limitations and future improvements</w:t>
      </w:r>
    </w:p>
    <w:p>
      <w:pPr>
        <w:pStyle w:val="ListBullet"/>
      </w:pPr>
      <w:r>
        <w:t>Deploy a small application workload only if needed, with no public management ports.</w:t>
      </w:r>
    </w:p>
    <w:p>
      <w:pPr>
        <w:pStyle w:val="ListBullet"/>
      </w:pPr>
      <w:r>
        <w:t>Replace selected-network storage access with a private endpoint and private DNS for a production design.</w:t>
      </w:r>
    </w:p>
    <w:p>
      <w:pPr>
        <w:pStyle w:val="ListBullet"/>
      </w:pPr>
      <w:r>
        <w:t>Manage secrets with Azure Key Vault and managed identities.</w:t>
      </w:r>
    </w:p>
    <w:p>
      <w:pPr>
        <w:pStyle w:val="ListBullet"/>
      </w:pPr>
      <w:r>
        <w:t>Evaluate Defender for Cloud, Log Analytics, Microsoft Sentinel, Conditional Access, MFA, and PIM based on licensing and cost.</w:t>
      </w:r>
    </w:p>
    <w:p>
      <w:pPr>
        <w:pStyle w:val="ListBullet"/>
      </w:pPr>
      <w:r>
        <w:t>Rebuild the environment with Bicep or Terraform and validate with automated tests.</w:t>
      </w:r>
    </w:p>
    <w:p>
      <w:pPr>
        <w:pStyle w:val="ListBullet"/>
      </w:pPr>
      <w:r>
        <w:t>Use a production-grade backup, recovery, data-retention, and regulatory program before handling real health information.</w:t>
      </w:r>
    </w:p>
    <w:p>
      <w:pPr>
        <w:pStyle w:val="Heading1"/>
      </w:pPr>
      <w:r>
        <w:t>Résumé bullets</w:t>
      </w:r>
    </w:p>
    <w:p>
      <w:pPr>
        <w:pStyle w:val="ListBullet"/>
      </w:pPr>
      <w:r>
        <w:t>Designed a secure Azure portfolio environment using a three-tier VNet (web, app, and data subnets) with dedicated NSGs, least-privilege traffic rules, and no public RDP/SSH exposure.</w:t>
      </w:r>
    </w:p>
    <w:p>
      <w:pPr>
        <w:pStyle w:val="ListBullet"/>
      </w:pPr>
      <w:r>
        <w:t>Hardened Azure Blob Storage using private containers, TLS 1.2, Microsoft Entra authorization, disabled Shared Key and anonymous access, seven-day soft delete, and selected-network restrictions.</w:t>
      </w:r>
    </w:p>
    <w:p>
      <w:pPr>
        <w:pStyle w:val="ListBullet"/>
      </w:pPr>
      <w:r>
        <w:t>Implemented Microsoft Entra groups and scoped Azure RBAC for Contributor, Network Contributor, Storage Blob Data Reader, and Storage Blob Data Contributor access.</w:t>
      </w:r>
    </w:p>
    <w:p>
      <w:pPr>
        <w:pStyle w:val="ListBullet"/>
      </w:pPr>
      <w:r>
        <w:t>Configured Azure Monitor Activity Log alerts and an email action group; validated detection through a controlled NSG change and successful notification.</w:t>
      </w:r>
    </w:p>
    <w:p>
      <w:pPr>
        <w:pStyle w:val="ListBullet"/>
      </w:pPr>
      <w:r>
        <w:t>Applied Azure governance with tags, a deny policy, a resource-group delete lock, and an A$5 monthly budget; remediated policy and NSG configuration findings during security testing.</w:t>
      </w:r>
    </w:p>
    <w:p>
      <w:pPr>
        <w:pStyle w:val="Heading1"/>
      </w:pPr>
      <w:r>
        <w:t>LinkedIn project description</w:t>
      </w:r>
    </w:p>
    <w:p>
      <w:r>
        <w:t>I built a Secure Medical Clinic Azure Environment as a hands-on portfolio project while developing my AZ-900 knowledge. The lab uses only fictitious data and demonstrates a three-tier virtual network, dedicated Network Security Groups, hardened Blob Storage, Microsoft Entra groups, scoped Azure RBAC, Activity Log alerts, email notifications, resource locks, Azure Policy, tags, and cost controls. I also tested expected-deny scenarios, corrected NSG and tagging issues, and documented the results as a security case study. No RDP or SSH was exposed to the internet, and the environment avoided high-cost gateway services and always-on compute.</w:t>
      </w:r>
    </w:p>
    <w:p>
      <w:r>
        <w:t>#Azure #AZ900 #CloudSecurity #MicrosoftEntra #Cybersecurity #AzureMonitor #AzurePolicy</w:t>
      </w:r>
    </w:p>
    <w:p>
      <w:r>
        <w:br w:type="page"/>
      </w:r>
    </w:p>
    <w:p>
      <w:pPr>
        <w:pStyle w:val="Heading1"/>
      </w:pPr>
      <w:r>
        <w:t>Evidence checklist</w:t>
      </w:r>
    </w:p>
    <w:p>
      <w:pPr>
        <w:pStyle w:val="ListBullet"/>
      </w:pPr>
      <w:r>
        <w:t>Budget list showing A$5 monthly limit</w:t>
      </w:r>
    </w:p>
    <w:p>
      <w:pPr>
        <w:pStyle w:val="ListBullet"/>
      </w:pPr>
      <w:r>
        <w:t>Resource group overview and tags</w:t>
      </w:r>
    </w:p>
    <w:p>
      <w:pPr>
        <w:pStyle w:val="ListBullet"/>
      </w:pPr>
      <w:r>
        <w:t>VNet address space and three subnets</w:t>
      </w:r>
    </w:p>
    <w:p>
      <w:pPr>
        <w:pStyle w:val="ListBullet"/>
      </w:pPr>
      <w:r>
        <w:t>Subnet list with one-to-one NSG associations</w:t>
      </w:r>
    </w:p>
    <w:p>
      <w:pPr>
        <w:pStyle w:val="ListBullet"/>
      </w:pPr>
      <w:r>
        <w:t>Inbound rules for web, app, and data NSGs</w:t>
      </w:r>
    </w:p>
    <w:p>
      <w:pPr>
        <w:pStyle w:val="ListBullet"/>
      </w:pPr>
      <w:r>
        <w:t>Storage configuration and expected HTTP 403</w:t>
      </w:r>
    </w:p>
    <w:p>
      <w:pPr>
        <w:pStyle w:val="ListBullet"/>
      </w:pPr>
      <w:r>
        <w:t>Entra groups and RBAC assignments</w:t>
      </w:r>
    </w:p>
    <w:p>
      <w:pPr>
        <w:pStyle w:val="ListBullet"/>
      </w:pPr>
      <w:r>
        <w:t>Activity Log alert, action group, and received email</w:t>
      </w:r>
    </w:p>
    <w:p>
      <w:pPr>
        <w:pStyle w:val="ListBullet"/>
      </w:pPr>
      <w:r>
        <w:t>Azure Policy compliance and remediation</w:t>
      </w:r>
    </w:p>
    <w:p>
      <w:pPr>
        <w:pStyle w:val="ListBullet"/>
      </w:pPr>
      <w:r>
        <w:t>Resource-group delete lock</w:t>
      </w:r>
    </w:p>
    <w:p>
      <w:r>
        <w:rPr>
          <w:b/>
          <w:color w:val="B12D2D"/>
        </w:rPr>
        <w:t xml:space="preserve">Privacy reminder: </w:t>
      </w:r>
      <w:r>
        <w:t>Before publishing screenshots, conceal subscription IDs, tenant/object IDs, correlation IDs, email addresses, account names, and other personal information.</w:t>
      </w:r>
    </w:p>
    <w:p>
      <w:pPr>
        <w:pStyle w:val="Heading1"/>
      </w:pPr>
      <w:r>
        <w:t>Official Microsoft documentation</w:t>
      </w:r>
    </w:p>
    <w:p>
      <w:r>
        <w:rPr>
          <w:b/>
        </w:rPr>
        <w:t xml:space="preserve">Virtual networks: </w:t>
      </w:r>
      <w:r>
        <w:t>https://learn.microsoft.com/azure/virtual-network/virtual-networks-overview</w:t>
      </w:r>
    </w:p>
    <w:p>
      <w:r>
        <w:rPr>
          <w:b/>
        </w:rPr>
        <w:t xml:space="preserve">Network security groups: </w:t>
      </w:r>
      <w:r>
        <w:t>https://learn.microsoft.com/azure/virtual-network/network-security-groups-overview</w:t>
      </w:r>
    </w:p>
    <w:p>
      <w:r>
        <w:rPr>
          <w:b/>
        </w:rPr>
        <w:t xml:space="preserve">Storage network security: </w:t>
      </w:r>
      <w:r>
        <w:t>https://learn.microsoft.com/azure/storage/common/storage-network-security</w:t>
      </w:r>
    </w:p>
    <w:p>
      <w:r>
        <w:rPr>
          <w:b/>
        </w:rPr>
        <w:t xml:space="preserve">Azure RBAC: </w:t>
      </w:r>
      <w:r>
        <w:t>https://learn.microsoft.com/azure/role-based-access-control/overview</w:t>
      </w:r>
    </w:p>
    <w:p>
      <w:r>
        <w:rPr>
          <w:b/>
        </w:rPr>
        <w:t xml:space="preserve">Azure Monitor activity log: </w:t>
      </w:r>
      <w:r>
        <w:t>https://learn.microsoft.com/azure/azure-monitor/essentials/activity-log</w:t>
      </w:r>
    </w:p>
    <w:p>
      <w:r>
        <w:rPr>
          <w:b/>
        </w:rPr>
        <w:t xml:space="preserve">Resource locks: </w:t>
      </w:r>
      <w:r>
        <w:t>https://learn.microsoft.com/azure/azure-resource-manager/management/lock-resources</w:t>
      </w:r>
    </w:p>
    <w:p>
      <w:r>
        <w:rPr>
          <w:b/>
        </w:rPr>
        <w:t xml:space="preserve">Azure Policy: </w:t>
      </w:r>
      <w:r>
        <w:t>https://learn.microsoft.com/azure/governance/policy/overview</w:t>
      </w:r>
    </w:p>
    <w:p>
      <w:r>
        <w:rPr>
          <w:b/>
        </w:rPr>
        <w:t xml:space="preserve">Cost budgets: </w:t>
      </w:r>
      <w:r>
        <w:t>https://learn.microsoft.com/azure/cost-management-billing/costs/tutorial-acm-create-budgets</w:t>
      </w:r>
    </w:p>
    <w:p>
      <w:pPr>
        <w:pStyle w:val="Heading1"/>
      </w:pPr>
      <w:r>
        <w:t>Cleanup handoff</w:t>
      </w:r>
    </w:p>
    <w:p>
      <w:r>
        <w:t>After final evidence is captured: remove the delete lock, delete rg-medclinic-dev-aus, verify deletion and cost status, then remove the fictitious Entra users and groups. Cleanup is intentionally handled as the final guided stage so evidence is not lost prematurely.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974"/>
        <w:sz w:val="16"/>
      </w:rPr>
      <w:t xml:space="preserve">Jaiprakash Reddy  •  Fictitious data only  •  Page </w:t>
    </w:r>
    <w:r>
      <w:rPr>
        <w:color w:val="5E6974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5E6974"/>
        <w:sz w:val="16"/>
      </w:rPr>
      <w:t>SECURE MEDICAL CLINIC AZURE ENVIRONMENT  |  PORTFOLIO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C5B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B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430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304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36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36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