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drawing>
          <wp:inline xmlns:a="http://schemas.openxmlformats.org/drawingml/2006/main" xmlns:pic="http://schemas.openxmlformats.org/drawingml/2006/picture">
            <wp:extent cx="658368" cy="658368"/>
            <wp:docPr id="1" name="Picture 1" descr="MailForge logo" title="MailForge"/>
            <wp:cNvGraphicFramePr>
              <a:graphicFrameLocks noChangeAspect="1"/>
            </wp:cNvGraphicFramePr>
            <a:graphic>
              <a:graphicData uri="http://schemas.openxmlformats.org/drawingml/2006/picture">
                <pic:pic>
                  <pic:nvPicPr>
                    <pic:cNvPr id="0" name="mailforge-favicon.png"/>
                    <pic:cNvPicPr/>
                  </pic:nvPicPr>
                  <pic:blipFill>
                    <a:blip r:embed="rId10"/>
                    <a:stretch>
                      <a:fillRect/>
                    </a:stretch>
                  </pic:blipFill>
                  <pic:spPr>
                    <a:xfrm>
                      <a:off x="0" y="0"/>
                      <a:ext cx="658368" cy="658368"/>
                    </a:xfrm>
                    <a:prstGeom prst="rect"/>
                  </pic:spPr>
                </pic:pic>
              </a:graphicData>
            </a:graphic>
          </wp:inline>
        </w:drawing>
      </w:r>
    </w:p>
    <w:p>
      <w:pPr>
        <w:pStyle w:val="Title"/>
      </w:pPr>
      <w:r>
        <w:t>MailForge Product Overview and Migration Roadmap</w:t>
      </w:r>
    </w:p>
    <w:p>
      <w:pPr>
        <w:spacing w:after="400"/>
      </w:pPr>
      <w:r>
        <w:rPr>
          <w:color w:val="5C7080"/>
          <w:sz w:val="28"/>
        </w:rPr>
        <w:t>Current product scope architecture and recommended evolution</w:t>
      </w:r>
    </w:p>
    <w:p>
      <w:pPr>
        <w:spacing w:after="520"/>
      </w:pPr>
      <w:r>
        <w:rPr>
          <w:b/>
          <w:color w:val="0A31C5"/>
          <w:sz w:val="19"/>
        </w:rPr>
        <w:t>Internal product documentation  |  October 2026</w:t>
      </w:r>
    </w:p>
    <w:p>
      <w:pPr>
        <w:pStyle w:val="Heading1"/>
        <w:keepNext/>
      </w:pPr>
      <w:r>
        <w:t>Executive overview</w:t>
      </w:r>
    </w:p>
    <w:p>
      <w:pPr>
        <w:pStyle w:val="BodyText"/>
      </w:pPr>
      <w:r>
        <w:t>MailForge is an internal email preparation tool that helps authorized employees use approved HTML email templates consistently. Users select an available template, provide the recipient company name, review the generated email, and insert it into an open Gmail compose window through a locally distributed Chrome extension. The user remains responsible for reviewing and sending the message in Gmail.</w:t>
      </w:r>
    </w:p>
    <w:p>
      <w:pPr>
        <w:pStyle w:val="BodyText"/>
      </w:pPr>
      <w:r>
        <w:t>The current application is suitable for controlled internal use and rapid iteration. Django provides authentication, authorization, template APIs, rendering, and history storage. Streamlit provides the user interface. A Chrome extension bridges MailForge and Gmail. Templates currently reside in the project file system; the planned next infrastructure step is to move template storage to a private UAT S3 bucket while keeping Django as the only component with S3 access.</w:t>
      </w:r>
    </w:p>
    <w:p>
      <w:pPr>
        <w:pStyle w:val="BodyText"/>
      </w:pPr>
      <w:r>
        <w:t>The recommended future migration is incremental: retain Django and its API contracts, replace Streamlit with a React and TypeScript frontend such as Next.js, then modernize persistence, deployment, testing, and observability. This avoids a high-risk full rewrite and preserves the working Gmail extension workflow.</w:t>
      </w:r>
    </w:p>
    <w:p>
      <w:pPr>
        <w:pStyle w:val="Heading2"/>
        <w:keepNext/>
      </w:pPr>
      <w:r>
        <w:t>Product boundaries</w:t>
      </w:r>
    </w:p>
    <w:p>
      <w:pPr>
        <w:pStyle w:val="ListBullet"/>
        <w:spacing w:after="80"/>
      </w:pPr>
      <w:r>
        <w:t>MailForge prepares and inserts email content; it does not send email.</w:t>
      </w:r>
    </w:p>
    <w:p>
      <w:pPr>
        <w:pStyle w:val="ListBullet"/>
        <w:spacing w:after="80"/>
      </w:pPr>
      <w:r>
        <w:t>History records a client-confirmed Gmail insertion, not proof that Gmail sent the message.</w:t>
      </w:r>
    </w:p>
    <w:p>
      <w:pPr>
        <w:pStyle w:val="ListBullet"/>
        <w:spacing w:after="80"/>
      </w:pPr>
      <w:r>
        <w:t>Users can make final text changes inside Gmail before sending.</w:t>
      </w:r>
    </w:p>
    <w:p>
      <w:pPr>
        <w:pStyle w:val="ListBullet"/>
        <w:spacing w:after="80"/>
      </w:pPr>
      <w:r>
        <w:t>The current product is intended for authorized internal users and a locally distributed extension.</w:t>
      </w:r>
    </w:p>
    <w:p>
      <w:r>
        <w:br w:type="page"/>
      </w:r>
    </w:p>
    <w:p>
      <w:pPr>
        <w:pStyle w:val="Heading1"/>
        <w:keepNext/>
      </w:pPr>
      <w:r>
        <w:t>What MailForge does</w:t>
      </w:r>
    </w:p>
    <w:p>
      <w:pPr>
        <w:pStyle w:val="Heading2"/>
        <w:keepNext/>
      </w:pPr>
      <w:r>
        <w:t>Employee workflow</w:t>
      </w:r>
    </w:p>
    <w:p>
      <w:pPr>
        <w:pStyle w:val="ListNumber"/>
        <w:spacing w:after="100"/>
      </w:pPr>
      <w:r>
        <w:t>The employee signs in with a MailForge account managed by Django.</w:t>
      </w:r>
    </w:p>
    <w:p>
      <w:pPr>
        <w:pStyle w:val="ListNumber"/>
        <w:spacing w:after="100"/>
      </w:pPr>
      <w:r>
        <w:t>MailForge shows only active templates allowed for the employee's access groups.</w:t>
      </w:r>
    </w:p>
    <w:p>
      <w:pPr>
        <w:pStyle w:val="ListNumber"/>
        <w:spacing w:after="100"/>
      </w:pPr>
      <w:r>
        <w:t>The employee selects a template and enters the recipient company name.</w:t>
      </w:r>
    </w:p>
    <w:p>
      <w:pPr>
        <w:pStyle w:val="ListNumber"/>
        <w:spacing w:after="100"/>
      </w:pPr>
      <w:r>
        <w:t>Django renders the locked HTML template with approved editable values.</w:t>
      </w:r>
    </w:p>
    <w:p>
      <w:pPr>
        <w:pStyle w:val="ListNumber"/>
        <w:spacing w:after="100"/>
      </w:pPr>
      <w:r>
        <w:t>The employee reviews the full email in desktop or mobile preview mode.</w:t>
      </w:r>
    </w:p>
    <w:p>
      <w:pPr>
        <w:pStyle w:val="ListNumber"/>
        <w:spacing w:after="100"/>
      </w:pPr>
      <w:r>
        <w:t>The employee opens a Gmail compose window and selects Insert into Gmail.</w:t>
      </w:r>
    </w:p>
    <w:p>
      <w:pPr>
        <w:pStyle w:val="ListNumber"/>
        <w:spacing w:after="100"/>
      </w:pPr>
      <w:r>
        <w:t>The Chrome extension places the rendered HTML into Gmail.</w:t>
      </w:r>
    </w:p>
    <w:p>
      <w:pPr>
        <w:pStyle w:val="ListNumber"/>
        <w:spacing w:after="100"/>
      </w:pPr>
      <w:r>
        <w:t>MailForge records the template, recipient company, and insertion time, then resets the preparation screen.</w:t>
      </w:r>
    </w:p>
    <w:p>
      <w:pPr>
        <w:pStyle w:val="ListNumber"/>
        <w:spacing w:after="100"/>
      </w:pPr>
      <w:r>
        <w:t>The employee reviews recipients, subject, content, links, and attachments in Gmail before sending.</w:t>
      </w:r>
    </w:p>
    <w:p>
      <w:pPr>
        <w:pStyle w:val="Heading2"/>
        <w:keepNext/>
      </w:pPr>
      <w:r>
        <w:t>Administration workflow</w:t>
      </w:r>
    </w:p>
    <w:p>
      <w:pPr>
        <w:pStyle w:val="BodyText"/>
      </w:pPr>
      <w:r>
        <w:t>Super Admin users manage employee accounts, access groups, templates, editable-field definitions, activation status, and template deletion. Template access is controlled through Django groups. Deleted local templates are removed from the active registry and archived for manual recovery.</w:t>
      </w:r>
    </w:p>
    <w:p>
      <w:pPr>
        <w:pStyle w:val="Heading2"/>
        <w:keepNext/>
      </w:pPr>
      <w:r>
        <w:t>Current capabilities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232"/>
            <w:shd w:fill="17324D"/>
            <w:tcMar>
              <w:top w:w="110" w:type="dxa"/>
              <w:start w:w="130" w:type="dxa"/>
              <w:bottom w:w="110" w:type="dxa"/>
              <w:end w:w="130" w:type="dxa"/>
            </w:tcMar>
            <w:vAlign w:val="center"/>
          </w:tcPr>
          <w:p>
            <w:pPr>
              <w:jc w:val="left"/>
            </w:pPr>
            <w:r>
              <w:rPr>
                <w:b/>
                <w:color w:val="FFFFFF"/>
                <w:sz w:val="19"/>
              </w:rPr>
              <w:t>Area</w:t>
            </w:r>
          </w:p>
        </w:tc>
        <w:tc>
          <w:tcPr>
            <w:tcW w:type="dxa" w:w="7344"/>
            <w:shd w:fill="17324D"/>
            <w:tcMar>
              <w:top w:w="110" w:type="dxa"/>
              <w:start w:w="130" w:type="dxa"/>
              <w:bottom w:w="110" w:type="dxa"/>
              <w:end w:w="130" w:type="dxa"/>
            </w:tcMar>
            <w:vAlign w:val="center"/>
          </w:tcPr>
          <w:p>
            <w:pPr>
              <w:jc w:val="left"/>
            </w:pPr>
            <w:r>
              <w:rPr>
                <w:b/>
                <w:color w:val="FFFFFF"/>
                <w:sz w:val="19"/>
              </w:rPr>
              <w:t>Current capability</w:t>
            </w:r>
          </w:p>
        </w:tc>
      </w:tr>
      <w:tr>
        <w:tc>
          <w:tcPr>
            <w:tcW w:type="dxa" w:w="2232"/>
            <w:tcMar>
              <w:top w:w="110" w:type="dxa"/>
              <w:start w:w="130" w:type="dxa"/>
              <w:bottom w:w="110" w:type="dxa"/>
              <w:end w:w="130" w:type="dxa"/>
            </w:tcMar>
            <w:vAlign w:val="center"/>
          </w:tcPr>
          <w:p>
            <w:pPr>
              <w:spacing w:after="0"/>
            </w:pPr>
            <w:r>
              <w:rPr>
                <w:sz w:val="18"/>
              </w:rPr>
              <w:t>Authentication</w:t>
            </w:r>
          </w:p>
        </w:tc>
        <w:tc>
          <w:tcPr>
            <w:tcW w:type="dxa" w:w="7344"/>
            <w:tcMar>
              <w:top w:w="110" w:type="dxa"/>
              <w:start w:w="130" w:type="dxa"/>
              <w:bottom w:w="110" w:type="dxa"/>
              <w:end w:w="130" w:type="dxa"/>
            </w:tcMar>
            <w:vAlign w:val="center"/>
          </w:tcPr>
          <w:p>
            <w:pPr>
              <w:spacing w:after="0"/>
            </w:pPr>
            <w:r>
              <w:rPr>
                <w:sz w:val="18"/>
              </w:rPr>
              <w:t>Username or email sign-in using Django authentication and API tokens</w:t>
            </w:r>
          </w:p>
        </w:tc>
      </w:tr>
      <w:tr>
        <w:tc>
          <w:tcPr>
            <w:tcW w:type="dxa" w:w="2232"/>
            <w:shd w:fill="F6F9FD"/>
            <w:tcMar>
              <w:top w:w="110" w:type="dxa"/>
              <w:start w:w="130" w:type="dxa"/>
              <w:bottom w:w="110" w:type="dxa"/>
              <w:end w:w="130" w:type="dxa"/>
            </w:tcMar>
            <w:vAlign w:val="center"/>
          </w:tcPr>
          <w:p>
            <w:pPr>
              <w:spacing w:after="0"/>
            </w:pPr>
            <w:r>
              <w:rPr>
                <w:sz w:val="18"/>
              </w:rPr>
              <w:t>Authorization</w:t>
            </w:r>
          </w:p>
        </w:tc>
        <w:tc>
          <w:tcPr>
            <w:tcW w:type="dxa" w:w="7344"/>
            <w:shd w:fill="F6F9FD"/>
            <w:tcMar>
              <w:top w:w="110" w:type="dxa"/>
              <w:start w:w="130" w:type="dxa"/>
              <w:bottom w:w="110" w:type="dxa"/>
              <w:end w:w="130" w:type="dxa"/>
            </w:tcMar>
            <w:vAlign w:val="center"/>
          </w:tcPr>
          <w:p>
            <w:pPr>
              <w:spacing w:after="0"/>
            </w:pPr>
            <w:r>
              <w:rPr>
                <w:sz w:val="18"/>
              </w:rPr>
              <w:t>Template visibility based on active status and Django group membership</w:t>
            </w:r>
          </w:p>
        </w:tc>
      </w:tr>
      <w:tr>
        <w:tc>
          <w:tcPr>
            <w:tcW w:type="dxa" w:w="2232"/>
            <w:tcMar>
              <w:top w:w="110" w:type="dxa"/>
              <w:start w:w="130" w:type="dxa"/>
              <w:bottom w:w="110" w:type="dxa"/>
              <w:end w:w="130" w:type="dxa"/>
            </w:tcMar>
            <w:vAlign w:val="center"/>
          </w:tcPr>
          <w:p>
            <w:pPr>
              <w:spacing w:after="0"/>
            </w:pPr>
            <w:r>
              <w:rPr>
                <w:sz w:val="18"/>
              </w:rPr>
              <w:t>Template library</w:t>
            </w:r>
          </w:p>
        </w:tc>
        <w:tc>
          <w:tcPr>
            <w:tcW w:type="dxa" w:w="7344"/>
            <w:tcMar>
              <w:top w:w="110" w:type="dxa"/>
              <w:start w:w="130" w:type="dxa"/>
              <w:bottom w:w="110" w:type="dxa"/>
              <w:end w:w="130" w:type="dxa"/>
            </w:tcMar>
            <w:vAlign w:val="center"/>
          </w:tcPr>
          <w:p>
            <w:pPr>
              <w:spacing w:after="0"/>
            </w:pPr>
            <w:r>
              <w:rPr>
                <w:sz w:val="18"/>
              </w:rPr>
              <w:t>Searchable list of templates available to the signed-in user</w:t>
            </w:r>
          </w:p>
        </w:tc>
      </w:tr>
      <w:tr>
        <w:tc>
          <w:tcPr>
            <w:tcW w:type="dxa" w:w="2232"/>
            <w:shd w:fill="F6F9FD"/>
            <w:tcMar>
              <w:top w:w="110" w:type="dxa"/>
              <w:start w:w="130" w:type="dxa"/>
              <w:bottom w:w="110" w:type="dxa"/>
              <w:end w:w="130" w:type="dxa"/>
            </w:tcMar>
            <w:vAlign w:val="center"/>
          </w:tcPr>
          <w:p>
            <w:pPr>
              <w:spacing w:after="0"/>
            </w:pPr>
            <w:r>
              <w:rPr>
                <w:sz w:val="18"/>
              </w:rPr>
              <w:t>Email preparation</w:t>
            </w:r>
          </w:p>
        </w:tc>
        <w:tc>
          <w:tcPr>
            <w:tcW w:type="dxa" w:w="7344"/>
            <w:shd w:fill="F6F9FD"/>
            <w:tcMar>
              <w:top w:w="110" w:type="dxa"/>
              <w:start w:w="130" w:type="dxa"/>
              <w:bottom w:w="110" w:type="dxa"/>
              <w:end w:w="130" w:type="dxa"/>
            </w:tcMar>
            <w:vAlign w:val="center"/>
          </w:tcPr>
          <w:p>
            <w:pPr>
              <w:spacing w:after="0"/>
            </w:pPr>
            <w:r>
              <w:rPr>
                <w:sz w:val="18"/>
              </w:rPr>
              <w:t>Recipient company input with generated greeting and template content</w:t>
            </w:r>
          </w:p>
        </w:tc>
      </w:tr>
      <w:tr>
        <w:tc>
          <w:tcPr>
            <w:tcW w:type="dxa" w:w="2232"/>
            <w:tcMar>
              <w:top w:w="110" w:type="dxa"/>
              <w:start w:w="130" w:type="dxa"/>
              <w:bottom w:w="110" w:type="dxa"/>
              <w:end w:w="130" w:type="dxa"/>
            </w:tcMar>
            <w:vAlign w:val="center"/>
          </w:tcPr>
          <w:p>
            <w:pPr>
              <w:spacing w:after="0"/>
            </w:pPr>
            <w:r>
              <w:rPr>
                <w:sz w:val="18"/>
              </w:rPr>
              <w:t>Review</w:t>
            </w:r>
          </w:p>
        </w:tc>
        <w:tc>
          <w:tcPr>
            <w:tcW w:type="dxa" w:w="7344"/>
            <w:tcMar>
              <w:top w:w="110" w:type="dxa"/>
              <w:start w:w="130" w:type="dxa"/>
              <w:bottom w:w="110" w:type="dxa"/>
              <w:end w:w="130" w:type="dxa"/>
            </w:tcMar>
            <w:vAlign w:val="center"/>
          </w:tcPr>
          <w:p>
            <w:pPr>
              <w:spacing w:after="0"/>
            </w:pPr>
            <w:r>
              <w:rPr>
                <w:sz w:val="18"/>
              </w:rPr>
              <w:t>Read-only desktop and mobile HTML preview before insertion</w:t>
            </w:r>
          </w:p>
        </w:tc>
      </w:tr>
      <w:tr>
        <w:tc>
          <w:tcPr>
            <w:tcW w:type="dxa" w:w="2232"/>
            <w:shd w:fill="F6F9FD"/>
            <w:tcMar>
              <w:top w:w="110" w:type="dxa"/>
              <w:start w:w="130" w:type="dxa"/>
              <w:bottom w:w="110" w:type="dxa"/>
              <w:end w:w="130" w:type="dxa"/>
            </w:tcMar>
            <w:vAlign w:val="center"/>
          </w:tcPr>
          <w:p>
            <w:pPr>
              <w:spacing w:after="0"/>
            </w:pPr>
            <w:r>
              <w:rPr>
                <w:sz w:val="18"/>
              </w:rPr>
              <w:t>Gmail integration</w:t>
            </w:r>
          </w:p>
        </w:tc>
        <w:tc>
          <w:tcPr>
            <w:tcW w:type="dxa" w:w="7344"/>
            <w:shd w:fill="F6F9FD"/>
            <w:tcMar>
              <w:top w:w="110" w:type="dxa"/>
              <w:start w:w="130" w:type="dxa"/>
              <w:bottom w:w="110" w:type="dxa"/>
              <w:end w:w="130" w:type="dxa"/>
            </w:tcMar>
            <w:vAlign w:val="center"/>
          </w:tcPr>
          <w:p>
            <w:pPr>
              <w:spacing w:after="0"/>
            </w:pPr>
            <w:r>
              <w:rPr>
                <w:sz w:val="18"/>
              </w:rPr>
              <w:t>Local Chrome extension inserts rendered HTML into an open compose window</w:t>
            </w:r>
          </w:p>
        </w:tc>
      </w:tr>
      <w:tr>
        <w:tc>
          <w:tcPr>
            <w:tcW w:type="dxa" w:w="2232"/>
            <w:tcMar>
              <w:top w:w="110" w:type="dxa"/>
              <w:start w:w="130" w:type="dxa"/>
              <w:bottom w:w="110" w:type="dxa"/>
              <w:end w:w="130" w:type="dxa"/>
            </w:tcMar>
            <w:vAlign w:val="center"/>
          </w:tcPr>
          <w:p>
            <w:pPr>
              <w:spacing w:after="0"/>
            </w:pPr>
            <w:r>
              <w:rPr>
                <w:sz w:val="18"/>
              </w:rPr>
              <w:t>History</w:t>
            </w:r>
          </w:p>
        </w:tc>
        <w:tc>
          <w:tcPr>
            <w:tcW w:type="dxa" w:w="7344"/>
            <w:tcMar>
              <w:top w:w="110" w:type="dxa"/>
              <w:start w:w="130" w:type="dxa"/>
              <w:bottom w:w="110" w:type="dxa"/>
              <w:end w:w="130" w:type="dxa"/>
            </w:tcMar>
            <w:vAlign w:val="center"/>
          </w:tcPr>
          <w:p>
            <w:pPr>
              <w:spacing w:after="0"/>
            </w:pPr>
            <w:r>
              <w:rPr>
                <w:sz w:val="18"/>
              </w:rPr>
              <w:t>Private per-user log of template, recipient company, and Gmail insertion time</w:t>
            </w:r>
          </w:p>
        </w:tc>
      </w:tr>
      <w:tr>
        <w:tc>
          <w:tcPr>
            <w:tcW w:type="dxa" w:w="2232"/>
            <w:shd w:fill="F6F9FD"/>
            <w:tcMar>
              <w:top w:w="110" w:type="dxa"/>
              <w:start w:w="130" w:type="dxa"/>
              <w:bottom w:w="110" w:type="dxa"/>
              <w:end w:w="130" w:type="dxa"/>
            </w:tcMar>
            <w:vAlign w:val="center"/>
          </w:tcPr>
          <w:p>
            <w:pPr>
              <w:spacing w:after="0"/>
            </w:pPr>
            <w:r>
              <w:rPr>
                <w:sz w:val="18"/>
              </w:rPr>
              <w:t>Administration</w:t>
            </w:r>
          </w:p>
        </w:tc>
        <w:tc>
          <w:tcPr>
            <w:tcW w:type="dxa" w:w="7344"/>
            <w:shd w:fill="F6F9FD"/>
            <w:tcMar>
              <w:top w:w="110" w:type="dxa"/>
              <w:start w:w="130" w:type="dxa"/>
              <w:bottom w:w="110" w:type="dxa"/>
              <w:end w:w="130" w:type="dxa"/>
            </w:tcMar>
            <w:vAlign w:val="center"/>
          </w:tcPr>
          <w:p>
            <w:pPr>
              <w:spacing w:after="0"/>
            </w:pPr>
            <w:r>
              <w:rPr>
                <w:sz w:val="18"/>
              </w:rPr>
              <w:t>Create and delete users; create, update, activate, and archive templates</w:t>
            </w:r>
          </w:p>
        </w:tc>
      </w:tr>
      <w:tr>
        <w:tc>
          <w:tcPr>
            <w:tcW w:type="dxa" w:w="2232"/>
            <w:tcMar>
              <w:top w:w="110" w:type="dxa"/>
              <w:start w:w="130" w:type="dxa"/>
              <w:bottom w:w="110" w:type="dxa"/>
              <w:end w:w="130" w:type="dxa"/>
            </w:tcMar>
            <w:vAlign w:val="center"/>
          </w:tcPr>
          <w:p>
            <w:pPr>
              <w:spacing w:after="0"/>
            </w:pPr>
            <w:r>
              <w:rPr>
                <w:sz w:val="18"/>
              </w:rPr>
              <w:t>Branding</w:t>
            </w:r>
          </w:p>
        </w:tc>
        <w:tc>
          <w:tcPr>
            <w:tcW w:type="dxa" w:w="7344"/>
            <w:tcMar>
              <w:top w:w="110" w:type="dxa"/>
              <w:start w:w="130" w:type="dxa"/>
              <w:bottom w:w="110" w:type="dxa"/>
              <w:end w:w="130" w:type="dxa"/>
            </w:tcMar>
            <w:vAlign w:val="center"/>
          </w:tcPr>
          <w:p>
            <w:pPr>
              <w:spacing w:after="0"/>
            </w:pPr>
            <w:r>
              <w:rPr>
                <w:sz w:val="18"/>
              </w:rPr>
              <w:t>MailForge logo, favicon, and consistent application styling</w:t>
            </w:r>
          </w:p>
        </w:tc>
      </w:tr>
    </w:tbl>
    <w:p>
      <w:pPr>
        <w:spacing w:after="0"/>
      </w:pPr>
    </w:p>
    <w:p>
      <w:r>
        <w:br w:type="page"/>
      </w:r>
    </w:p>
    <w:p>
      <w:pPr>
        <w:pStyle w:val="Heading1"/>
        <w:keepNext/>
      </w:pPr>
      <w:r>
        <w:t>Current architecture and technology stack</w:t>
      </w:r>
    </w:p>
    <w:p>
      <w:pPr>
        <w:pStyle w:val="BodyText"/>
      </w:pPr>
      <w:r>
        <w:t>MailForge is organized as four cooperating components. The browser user interface never communicates directly with Gmail or template storage. Django remains the central policy and rendering boundary, while the Chrome extension performs the browser-specific insertion step.</w:t>
      </w:r>
    </w:p>
    <w:p>
      <w:pPr>
        <w:pStyle w:val="Heading2"/>
        <w:keepNext/>
      </w:pPr>
      <w:r>
        <w:t>Request flow</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9"/>
        <w:gridCol w:w="2469"/>
        <w:gridCol w:w="2469"/>
        <w:gridCol w:w="2469"/>
      </w:tblGrid>
      <w:tr>
        <w:trPr>
          <w:tblHeader w:val="true"/>
        </w:trPr>
        <w:tc>
          <w:tcPr>
            <w:tcW w:type="dxa" w:w="2376"/>
            <w:shd w:fill="EEF5FF"/>
            <w:tcMar>
              <w:top w:w="150" w:type="dxa"/>
              <w:start w:w="90" w:type="dxa"/>
              <w:bottom w:w="150" w:type="dxa"/>
              <w:end w:w="90" w:type="dxa"/>
            </w:tcMar>
            <w:vAlign w:val="center"/>
          </w:tcPr>
          <w:p>
            <w:pPr>
              <w:jc w:val="center"/>
            </w:pPr>
            <w:r>
              <w:rPr>
                <w:b/>
                <w:sz w:val="20"/>
              </w:rPr>
              <w:t>Streamlit</w:t>
            </w:r>
            <w:r>
              <w:rPr>
                <w:sz w:val="17"/>
              </w:rPr>
              <w:br/>
              <w:t>User interface</w:t>
            </w:r>
          </w:p>
        </w:tc>
        <w:tc>
          <w:tcPr>
            <w:tcW w:type="dxa" w:w="2376"/>
            <w:shd w:fill="FFFFFF"/>
            <w:tcMar>
              <w:top w:w="150" w:type="dxa"/>
              <w:start w:w="90" w:type="dxa"/>
              <w:bottom w:w="150" w:type="dxa"/>
              <w:end w:w="90" w:type="dxa"/>
            </w:tcMar>
            <w:vAlign w:val="center"/>
          </w:tcPr>
          <w:p>
            <w:pPr>
              <w:jc w:val="center"/>
            </w:pPr>
            <w:r>
              <w:rPr>
                <w:b/>
                <w:sz w:val="20"/>
              </w:rPr>
              <w:t>Django API</w:t>
            </w:r>
            <w:r>
              <w:rPr>
                <w:sz w:val="17"/>
              </w:rPr>
              <w:br/>
              <w:t>Identity policy rendering</w:t>
            </w:r>
          </w:p>
        </w:tc>
        <w:tc>
          <w:tcPr>
            <w:tcW w:type="dxa" w:w="2376"/>
            <w:shd w:fill="EEF5FF"/>
            <w:tcMar>
              <w:top w:w="150" w:type="dxa"/>
              <w:start w:w="90" w:type="dxa"/>
              <w:bottom w:w="150" w:type="dxa"/>
              <w:end w:w="90" w:type="dxa"/>
            </w:tcMar>
            <w:vAlign w:val="center"/>
          </w:tcPr>
          <w:p>
            <w:pPr>
              <w:jc w:val="center"/>
            </w:pPr>
            <w:r>
              <w:rPr>
                <w:b/>
                <w:sz w:val="20"/>
              </w:rPr>
              <w:t>Chrome extension</w:t>
            </w:r>
            <w:r>
              <w:rPr>
                <w:sz w:val="17"/>
              </w:rPr>
              <w:br/>
              <w:t>Trusted browser bridge</w:t>
            </w:r>
          </w:p>
        </w:tc>
        <w:tc>
          <w:tcPr>
            <w:tcW w:type="dxa" w:w="2376"/>
            <w:shd w:fill="FFFFFF"/>
            <w:tcMar>
              <w:top w:w="150" w:type="dxa"/>
              <w:start w:w="90" w:type="dxa"/>
              <w:bottom w:w="150" w:type="dxa"/>
              <w:end w:w="90" w:type="dxa"/>
            </w:tcMar>
            <w:vAlign w:val="center"/>
          </w:tcPr>
          <w:p>
            <w:pPr>
              <w:jc w:val="center"/>
            </w:pPr>
            <w:r>
              <w:rPr>
                <w:b/>
                <w:sz w:val="20"/>
              </w:rPr>
              <w:t>Gmail</w:t>
            </w:r>
            <w:r>
              <w:rPr>
                <w:sz w:val="17"/>
              </w:rPr>
              <w:br/>
              <w:t>Final review and send</w:t>
            </w:r>
          </w:p>
        </w:tc>
      </w:tr>
    </w:tbl>
    <w:p>
      <w:pPr>
        <w:spacing w:after="0"/>
      </w:pPr>
    </w:p>
    <w:p>
      <w:pPr>
        <w:pStyle w:val="Heading2"/>
        <w:keepNext/>
      </w:pPr>
      <w:r>
        <w:t>Technology stack</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trPr>
        <w:tc>
          <w:tcPr>
            <w:tcW w:type="dxa" w:w="1613"/>
            <w:shd w:fill="17324D"/>
            <w:tcMar>
              <w:top w:w="110" w:type="dxa"/>
              <w:start w:w="130" w:type="dxa"/>
              <w:bottom w:w="110" w:type="dxa"/>
              <w:end w:w="130" w:type="dxa"/>
            </w:tcMar>
            <w:vAlign w:val="center"/>
          </w:tcPr>
          <w:p>
            <w:pPr>
              <w:jc w:val="left"/>
            </w:pPr>
            <w:r>
              <w:rPr>
                <w:b/>
                <w:color w:val="FFFFFF"/>
                <w:sz w:val="19"/>
              </w:rPr>
              <w:t>Layer</w:t>
            </w:r>
          </w:p>
        </w:tc>
        <w:tc>
          <w:tcPr>
            <w:tcW w:type="dxa" w:w="2520"/>
            <w:shd w:fill="17324D"/>
            <w:tcMar>
              <w:top w:w="110" w:type="dxa"/>
              <w:start w:w="130" w:type="dxa"/>
              <w:bottom w:w="110" w:type="dxa"/>
              <w:end w:w="130" w:type="dxa"/>
            </w:tcMar>
            <w:vAlign w:val="center"/>
          </w:tcPr>
          <w:p>
            <w:pPr>
              <w:jc w:val="left"/>
            </w:pPr>
            <w:r>
              <w:rPr>
                <w:b/>
                <w:color w:val="FFFFFF"/>
                <w:sz w:val="19"/>
              </w:rPr>
              <w:t>Technology</w:t>
            </w:r>
          </w:p>
        </w:tc>
        <w:tc>
          <w:tcPr>
            <w:tcW w:type="dxa" w:w="5472"/>
            <w:shd w:fill="17324D"/>
            <w:tcMar>
              <w:top w:w="110" w:type="dxa"/>
              <w:start w:w="130" w:type="dxa"/>
              <w:bottom w:w="110" w:type="dxa"/>
              <w:end w:w="130" w:type="dxa"/>
            </w:tcMar>
            <w:vAlign w:val="center"/>
          </w:tcPr>
          <w:p>
            <w:pPr>
              <w:jc w:val="left"/>
            </w:pPr>
            <w:r>
              <w:rPr>
                <w:b/>
                <w:color w:val="FFFFFF"/>
                <w:sz w:val="19"/>
              </w:rPr>
              <w:t>Responsibility</w:t>
            </w:r>
          </w:p>
        </w:tc>
      </w:tr>
      <w:tr>
        <w:tc>
          <w:tcPr>
            <w:tcW w:type="dxa" w:w="1613"/>
            <w:tcMar>
              <w:top w:w="110" w:type="dxa"/>
              <w:start w:w="130" w:type="dxa"/>
              <w:bottom w:w="110" w:type="dxa"/>
              <w:end w:w="130" w:type="dxa"/>
            </w:tcMar>
            <w:vAlign w:val="center"/>
          </w:tcPr>
          <w:p>
            <w:pPr>
              <w:spacing w:after="0"/>
            </w:pPr>
            <w:r>
              <w:rPr>
                <w:sz w:val="18"/>
              </w:rPr>
              <w:t>Frontend</w:t>
            </w:r>
          </w:p>
        </w:tc>
        <w:tc>
          <w:tcPr>
            <w:tcW w:type="dxa" w:w="2520"/>
            <w:tcMar>
              <w:top w:w="110" w:type="dxa"/>
              <w:start w:w="130" w:type="dxa"/>
              <w:bottom w:w="110" w:type="dxa"/>
              <w:end w:w="130" w:type="dxa"/>
            </w:tcMar>
            <w:vAlign w:val="center"/>
          </w:tcPr>
          <w:p>
            <w:pPr>
              <w:spacing w:after="0"/>
            </w:pPr>
            <w:r>
              <w:rPr>
                <w:sz w:val="18"/>
              </w:rPr>
              <w:t>Python and Streamlit</w:t>
            </w:r>
          </w:p>
        </w:tc>
        <w:tc>
          <w:tcPr>
            <w:tcW w:type="dxa" w:w="5472"/>
            <w:tcMar>
              <w:top w:w="110" w:type="dxa"/>
              <w:start w:w="130" w:type="dxa"/>
              <w:bottom w:w="110" w:type="dxa"/>
              <w:end w:w="130" w:type="dxa"/>
            </w:tcMar>
            <w:vAlign w:val="center"/>
          </w:tcPr>
          <w:p>
            <w:pPr>
              <w:spacing w:after="0"/>
            </w:pPr>
            <w:r>
              <w:rPr>
                <w:sz w:val="18"/>
              </w:rPr>
              <w:t>Navigation, forms, previews, loaders, session state, and admin screens</w:t>
            </w:r>
          </w:p>
        </w:tc>
      </w:tr>
      <w:tr>
        <w:tc>
          <w:tcPr>
            <w:tcW w:type="dxa" w:w="1613"/>
            <w:shd w:fill="F6F9FD"/>
            <w:tcMar>
              <w:top w:w="110" w:type="dxa"/>
              <w:start w:w="130" w:type="dxa"/>
              <w:bottom w:w="110" w:type="dxa"/>
              <w:end w:w="130" w:type="dxa"/>
            </w:tcMar>
            <w:vAlign w:val="center"/>
          </w:tcPr>
          <w:p>
            <w:pPr>
              <w:spacing w:after="0"/>
            </w:pPr>
            <w:r>
              <w:rPr>
                <w:sz w:val="18"/>
              </w:rPr>
              <w:t>Backend</w:t>
            </w:r>
          </w:p>
        </w:tc>
        <w:tc>
          <w:tcPr>
            <w:tcW w:type="dxa" w:w="2520"/>
            <w:shd w:fill="F6F9FD"/>
            <w:tcMar>
              <w:top w:w="110" w:type="dxa"/>
              <w:start w:w="130" w:type="dxa"/>
              <w:bottom w:w="110" w:type="dxa"/>
              <w:end w:w="130" w:type="dxa"/>
            </w:tcMar>
            <w:vAlign w:val="center"/>
          </w:tcPr>
          <w:p>
            <w:pPr>
              <w:spacing w:after="0"/>
            </w:pPr>
            <w:r>
              <w:rPr>
                <w:sz w:val="18"/>
              </w:rPr>
              <w:t>Python, Django, Django REST Framework</w:t>
            </w:r>
          </w:p>
        </w:tc>
        <w:tc>
          <w:tcPr>
            <w:tcW w:type="dxa" w:w="5472"/>
            <w:shd w:fill="F6F9FD"/>
            <w:tcMar>
              <w:top w:w="110" w:type="dxa"/>
              <w:start w:w="130" w:type="dxa"/>
              <w:bottom w:w="110" w:type="dxa"/>
              <w:end w:w="130" w:type="dxa"/>
            </w:tcMar>
            <w:vAlign w:val="center"/>
          </w:tcPr>
          <w:p>
            <w:pPr>
              <w:spacing w:after="0"/>
            </w:pPr>
            <w:r>
              <w:rPr>
                <w:sz w:val="18"/>
              </w:rPr>
              <w:t>Authentication, authorization, APIs, rendering, users, templates, and history</w:t>
            </w:r>
          </w:p>
        </w:tc>
      </w:tr>
      <w:tr>
        <w:tc>
          <w:tcPr>
            <w:tcW w:type="dxa" w:w="1613"/>
            <w:tcMar>
              <w:top w:w="110" w:type="dxa"/>
              <w:start w:w="130" w:type="dxa"/>
              <w:bottom w:w="110" w:type="dxa"/>
              <w:end w:w="130" w:type="dxa"/>
            </w:tcMar>
            <w:vAlign w:val="center"/>
          </w:tcPr>
          <w:p>
            <w:pPr>
              <w:spacing w:after="0"/>
            </w:pPr>
            <w:r>
              <w:rPr>
                <w:sz w:val="18"/>
              </w:rPr>
              <w:t>Template rendering</w:t>
            </w:r>
          </w:p>
        </w:tc>
        <w:tc>
          <w:tcPr>
            <w:tcW w:type="dxa" w:w="2520"/>
            <w:tcMar>
              <w:top w:w="110" w:type="dxa"/>
              <w:start w:w="130" w:type="dxa"/>
              <w:bottom w:w="110" w:type="dxa"/>
              <w:end w:w="130" w:type="dxa"/>
            </w:tcMar>
            <w:vAlign w:val="center"/>
          </w:tcPr>
          <w:p>
            <w:pPr>
              <w:spacing w:after="0"/>
            </w:pPr>
            <w:r>
              <w:rPr>
                <w:sz w:val="18"/>
              </w:rPr>
              <w:t>Jinja2 and MarkupSafe</w:t>
            </w:r>
          </w:p>
        </w:tc>
        <w:tc>
          <w:tcPr>
            <w:tcW w:type="dxa" w:w="5472"/>
            <w:tcMar>
              <w:top w:w="110" w:type="dxa"/>
              <w:start w:w="130" w:type="dxa"/>
              <w:bottom w:w="110" w:type="dxa"/>
              <w:end w:w="130" w:type="dxa"/>
            </w:tcMar>
            <w:vAlign w:val="center"/>
          </w:tcPr>
          <w:p>
            <w:pPr>
              <w:spacing w:after="0"/>
            </w:pPr>
            <w:r>
              <w:rPr>
                <w:sz w:val="18"/>
              </w:rPr>
              <w:t>HTML template parsing, placeholder rendering, and value escaping</w:t>
            </w:r>
          </w:p>
        </w:tc>
      </w:tr>
      <w:tr>
        <w:tc>
          <w:tcPr>
            <w:tcW w:type="dxa" w:w="1613"/>
            <w:shd w:fill="F6F9FD"/>
            <w:tcMar>
              <w:top w:w="110" w:type="dxa"/>
              <w:start w:w="130" w:type="dxa"/>
              <w:bottom w:w="110" w:type="dxa"/>
              <w:end w:w="130" w:type="dxa"/>
            </w:tcMar>
            <w:vAlign w:val="center"/>
          </w:tcPr>
          <w:p>
            <w:pPr>
              <w:spacing w:after="0"/>
            </w:pPr>
            <w:r>
              <w:rPr>
                <w:sz w:val="18"/>
              </w:rPr>
              <w:t>Database</w:t>
            </w:r>
          </w:p>
        </w:tc>
        <w:tc>
          <w:tcPr>
            <w:tcW w:type="dxa" w:w="2520"/>
            <w:shd w:fill="F6F9FD"/>
            <w:tcMar>
              <w:top w:w="110" w:type="dxa"/>
              <w:start w:w="130" w:type="dxa"/>
              <w:bottom w:w="110" w:type="dxa"/>
              <w:end w:w="130" w:type="dxa"/>
            </w:tcMar>
            <w:vAlign w:val="center"/>
          </w:tcPr>
          <w:p>
            <w:pPr>
              <w:spacing w:after="0"/>
            </w:pPr>
            <w:r>
              <w:rPr>
                <w:sz w:val="18"/>
              </w:rPr>
              <w:t>SQLite</w:t>
            </w:r>
          </w:p>
        </w:tc>
        <w:tc>
          <w:tcPr>
            <w:tcW w:type="dxa" w:w="5472"/>
            <w:shd w:fill="F6F9FD"/>
            <w:tcMar>
              <w:top w:w="110" w:type="dxa"/>
              <w:start w:w="130" w:type="dxa"/>
              <w:bottom w:w="110" w:type="dxa"/>
              <w:end w:w="130" w:type="dxa"/>
            </w:tcMar>
            <w:vAlign w:val="center"/>
          </w:tcPr>
          <w:p>
            <w:pPr>
              <w:spacing w:after="0"/>
            </w:pPr>
            <w:r>
              <w:rPr>
                <w:sz w:val="18"/>
              </w:rPr>
              <w:t>Users, groups, tokens, and email insertion history for the current local deployment</w:t>
            </w:r>
          </w:p>
        </w:tc>
      </w:tr>
      <w:tr>
        <w:tc>
          <w:tcPr>
            <w:tcW w:type="dxa" w:w="1613"/>
            <w:tcMar>
              <w:top w:w="110" w:type="dxa"/>
              <w:start w:w="130" w:type="dxa"/>
              <w:bottom w:w="110" w:type="dxa"/>
              <w:end w:w="130" w:type="dxa"/>
            </w:tcMar>
            <w:vAlign w:val="center"/>
          </w:tcPr>
          <w:p>
            <w:pPr>
              <w:spacing w:after="0"/>
            </w:pPr>
            <w:r>
              <w:rPr>
                <w:sz w:val="18"/>
              </w:rPr>
              <w:t>Template storage</w:t>
            </w:r>
          </w:p>
        </w:tc>
        <w:tc>
          <w:tcPr>
            <w:tcW w:type="dxa" w:w="2520"/>
            <w:tcMar>
              <w:top w:w="110" w:type="dxa"/>
              <w:start w:w="130" w:type="dxa"/>
              <w:bottom w:w="110" w:type="dxa"/>
              <w:end w:w="130" w:type="dxa"/>
            </w:tcMar>
            <w:vAlign w:val="center"/>
          </w:tcPr>
          <w:p>
            <w:pPr>
              <w:spacing w:after="0"/>
            </w:pPr>
            <w:r>
              <w:rPr>
                <w:sz w:val="18"/>
              </w:rPr>
              <w:t>Local JSON and HTML files</w:t>
            </w:r>
          </w:p>
        </w:tc>
        <w:tc>
          <w:tcPr>
            <w:tcW w:type="dxa" w:w="5472"/>
            <w:tcMar>
              <w:top w:w="110" w:type="dxa"/>
              <w:start w:w="130" w:type="dxa"/>
              <w:bottom w:w="110" w:type="dxa"/>
              <w:end w:w="130" w:type="dxa"/>
            </w:tcMar>
            <w:vAlign w:val="center"/>
          </w:tcPr>
          <w:p>
            <w:pPr>
              <w:spacing w:after="0"/>
            </w:pPr>
            <w:r>
              <w:rPr>
                <w:sz w:val="18"/>
              </w:rPr>
              <w:t>Template registry, field definitions, and locked HTML source</w:t>
            </w:r>
          </w:p>
        </w:tc>
      </w:tr>
      <w:tr>
        <w:tc>
          <w:tcPr>
            <w:tcW w:type="dxa" w:w="1613"/>
            <w:shd w:fill="F6F9FD"/>
            <w:tcMar>
              <w:top w:w="110" w:type="dxa"/>
              <w:start w:w="130" w:type="dxa"/>
              <w:bottom w:w="110" w:type="dxa"/>
              <w:end w:w="130" w:type="dxa"/>
            </w:tcMar>
            <w:vAlign w:val="center"/>
          </w:tcPr>
          <w:p>
            <w:pPr>
              <w:spacing w:after="0"/>
            </w:pPr>
            <w:r>
              <w:rPr>
                <w:sz w:val="18"/>
              </w:rPr>
              <w:t>Browser integration</w:t>
            </w:r>
          </w:p>
        </w:tc>
        <w:tc>
          <w:tcPr>
            <w:tcW w:type="dxa" w:w="2520"/>
            <w:shd w:fill="F6F9FD"/>
            <w:tcMar>
              <w:top w:w="110" w:type="dxa"/>
              <w:start w:w="130" w:type="dxa"/>
              <w:bottom w:w="110" w:type="dxa"/>
              <w:end w:w="130" w:type="dxa"/>
            </w:tcMar>
            <w:vAlign w:val="center"/>
          </w:tcPr>
          <w:p>
            <w:pPr>
              <w:spacing w:after="0"/>
            </w:pPr>
            <w:r>
              <w:rPr>
                <w:sz w:val="18"/>
              </w:rPr>
              <w:t>Chrome Manifest V3 and JavaScript</w:t>
            </w:r>
          </w:p>
        </w:tc>
        <w:tc>
          <w:tcPr>
            <w:tcW w:type="dxa" w:w="5472"/>
            <w:shd w:fill="F6F9FD"/>
            <w:tcMar>
              <w:top w:w="110" w:type="dxa"/>
              <w:start w:w="130" w:type="dxa"/>
              <w:bottom w:w="110" w:type="dxa"/>
              <w:end w:w="130" w:type="dxa"/>
            </w:tcMar>
            <w:vAlign w:val="center"/>
          </w:tcPr>
          <w:p>
            <w:pPr>
              <w:spacing w:after="0"/>
            </w:pPr>
            <w:r>
              <w:rPr>
                <w:sz w:val="18"/>
              </w:rPr>
              <w:t>MailForge page bridge, Gmail tab discovery, and compose-body insertion</w:t>
            </w:r>
          </w:p>
        </w:tc>
      </w:tr>
      <w:tr>
        <w:tc>
          <w:tcPr>
            <w:tcW w:type="dxa" w:w="1613"/>
            <w:tcMar>
              <w:top w:w="110" w:type="dxa"/>
              <w:start w:w="130" w:type="dxa"/>
              <w:bottom w:w="110" w:type="dxa"/>
              <w:end w:w="130" w:type="dxa"/>
            </w:tcMar>
            <w:vAlign w:val="center"/>
          </w:tcPr>
          <w:p>
            <w:pPr>
              <w:spacing w:after="0"/>
            </w:pPr>
            <w:r>
              <w:rPr>
                <w:sz w:val="18"/>
              </w:rPr>
              <w:t>HTTP client</w:t>
            </w:r>
          </w:p>
        </w:tc>
        <w:tc>
          <w:tcPr>
            <w:tcW w:type="dxa" w:w="2520"/>
            <w:tcMar>
              <w:top w:w="110" w:type="dxa"/>
              <w:start w:w="130" w:type="dxa"/>
              <w:bottom w:w="110" w:type="dxa"/>
              <w:end w:w="130" w:type="dxa"/>
            </w:tcMar>
            <w:vAlign w:val="center"/>
          </w:tcPr>
          <w:p>
            <w:pPr>
              <w:spacing w:after="0"/>
            </w:pPr>
            <w:r>
              <w:rPr>
                <w:sz w:val="18"/>
              </w:rPr>
              <w:t>Requests</w:t>
            </w:r>
          </w:p>
        </w:tc>
        <w:tc>
          <w:tcPr>
            <w:tcW w:type="dxa" w:w="5472"/>
            <w:tcMar>
              <w:top w:w="110" w:type="dxa"/>
              <w:start w:w="130" w:type="dxa"/>
              <w:bottom w:w="110" w:type="dxa"/>
              <w:end w:w="130" w:type="dxa"/>
            </w:tcMar>
            <w:vAlign w:val="center"/>
          </w:tcPr>
          <w:p>
            <w:pPr>
              <w:spacing w:after="0"/>
            </w:pPr>
            <w:r>
              <w:rPr>
                <w:sz w:val="18"/>
              </w:rPr>
              <w:t>Streamlit communication with the Django API</w:t>
            </w:r>
          </w:p>
        </w:tc>
      </w:tr>
      <w:tr>
        <w:tc>
          <w:tcPr>
            <w:tcW w:type="dxa" w:w="1613"/>
            <w:shd w:fill="F6F9FD"/>
            <w:tcMar>
              <w:top w:w="110" w:type="dxa"/>
              <w:start w:w="130" w:type="dxa"/>
              <w:bottom w:w="110" w:type="dxa"/>
              <w:end w:w="130" w:type="dxa"/>
            </w:tcMar>
            <w:vAlign w:val="center"/>
          </w:tcPr>
          <w:p>
            <w:pPr>
              <w:spacing w:after="0"/>
            </w:pPr>
            <w:r>
              <w:rPr>
                <w:sz w:val="18"/>
              </w:rPr>
              <w:t>Target template storage</w:t>
            </w:r>
          </w:p>
        </w:tc>
        <w:tc>
          <w:tcPr>
            <w:tcW w:type="dxa" w:w="2520"/>
            <w:shd w:fill="F6F9FD"/>
            <w:tcMar>
              <w:top w:w="110" w:type="dxa"/>
              <w:start w:w="130" w:type="dxa"/>
              <w:bottom w:w="110" w:type="dxa"/>
              <w:end w:w="130" w:type="dxa"/>
            </w:tcMar>
            <w:vAlign w:val="center"/>
          </w:tcPr>
          <w:p>
            <w:pPr>
              <w:spacing w:after="0"/>
            </w:pPr>
            <w:r>
              <w:rPr>
                <w:sz w:val="18"/>
              </w:rPr>
              <w:t>Private Amazon S3 bucket</w:t>
            </w:r>
          </w:p>
        </w:tc>
        <w:tc>
          <w:tcPr>
            <w:tcW w:type="dxa" w:w="5472"/>
            <w:shd w:fill="F6F9FD"/>
            <w:tcMar>
              <w:top w:w="110" w:type="dxa"/>
              <w:start w:w="130" w:type="dxa"/>
              <w:bottom w:w="110" w:type="dxa"/>
              <w:end w:w="130" w:type="dxa"/>
            </w:tcMar>
            <w:vAlign w:val="center"/>
          </w:tcPr>
          <w:p>
            <w:pPr>
              <w:spacing w:after="0"/>
            </w:pPr>
            <w:r>
              <w:rPr>
                <w:sz w:val="18"/>
              </w:rPr>
              <w:t>Versioned UAT template objects fetched only by Django</w:t>
            </w:r>
          </w:p>
        </w:tc>
      </w:tr>
    </w:tbl>
    <w:p>
      <w:pPr>
        <w:spacing w:after="0"/>
      </w:pPr>
    </w:p>
    <w:p>
      <w:pPr>
        <w:pStyle w:val="Heading2"/>
        <w:keepNext/>
      </w:pPr>
      <w:r>
        <w:t>Current data model</w:t>
      </w:r>
    </w:p>
    <w:p>
      <w:pPr>
        <w:pStyle w:val="BodyText"/>
      </w:pPr>
      <w:r>
        <w:t>Django stores user identities, group memberships, authentication tokens, and email insertion history. History intentionally does not store an HTML snapshot because the user may edit the message after insertion into Gmail. Local template files contain the registry, template HTML, editable-field definitions, access groups, and active status.</w:t>
      </w:r>
    </w:p>
    <w:p>
      <w:r>
        <w:br w:type="page"/>
      </w:r>
    </w:p>
    <w:p>
      <w:pPr>
        <w:pStyle w:val="Heading1"/>
        <w:keepNext/>
      </w:pPr>
      <w:r>
        <w:t>Security and operational model</w:t>
      </w:r>
    </w:p>
    <w:p>
      <w:pPr>
        <w:pStyle w:val="BodyText"/>
      </w:pPr>
      <w:r>
        <w:t>The current operating assumption is a controlled internal environment. Only authorized employees receive accounts and the unpacked Chrome extension. This reduces public exposure but does not remove the need for safe rendering, credential protection, backups, and controlled template publishing.</w:t>
      </w:r>
    </w:p>
    <w:p>
      <w:pPr>
        <w:pStyle w:val="Heading2"/>
        <w:keepNext/>
      </w:pPr>
      <w:r>
        <w:t>Security boundaries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232"/>
            <w:shd w:fill="17324D"/>
            <w:tcMar>
              <w:top w:w="110" w:type="dxa"/>
              <w:start w:w="130" w:type="dxa"/>
              <w:bottom w:w="110" w:type="dxa"/>
              <w:end w:w="130" w:type="dxa"/>
            </w:tcMar>
            <w:vAlign w:val="center"/>
          </w:tcPr>
          <w:p>
            <w:pPr>
              <w:jc w:val="left"/>
            </w:pPr>
            <w:r>
              <w:rPr>
                <w:b/>
                <w:color w:val="FFFFFF"/>
                <w:sz w:val="19"/>
              </w:rPr>
              <w:t>Boundary</w:t>
            </w:r>
          </w:p>
        </w:tc>
        <w:tc>
          <w:tcPr>
            <w:tcW w:type="dxa" w:w="7344"/>
            <w:shd w:fill="17324D"/>
            <w:tcMar>
              <w:top w:w="110" w:type="dxa"/>
              <w:start w:w="130" w:type="dxa"/>
              <w:bottom w:w="110" w:type="dxa"/>
              <w:end w:w="130" w:type="dxa"/>
            </w:tcMar>
            <w:vAlign w:val="center"/>
          </w:tcPr>
          <w:p>
            <w:pPr>
              <w:jc w:val="left"/>
            </w:pPr>
            <w:r>
              <w:rPr>
                <w:b/>
                <w:color w:val="FFFFFF"/>
                <w:sz w:val="19"/>
              </w:rPr>
              <w:t>Required control</w:t>
            </w:r>
          </w:p>
        </w:tc>
      </w:tr>
      <w:tr>
        <w:tc>
          <w:tcPr>
            <w:tcW w:type="dxa" w:w="2232"/>
            <w:tcMar>
              <w:top w:w="110" w:type="dxa"/>
              <w:start w:w="130" w:type="dxa"/>
              <w:bottom w:w="110" w:type="dxa"/>
              <w:end w:w="130" w:type="dxa"/>
            </w:tcMar>
            <w:vAlign w:val="center"/>
          </w:tcPr>
          <w:p>
            <w:pPr>
              <w:spacing w:after="0"/>
            </w:pPr>
            <w:r>
              <w:rPr>
                <w:sz w:val="18"/>
              </w:rPr>
              <w:t>User access</w:t>
            </w:r>
          </w:p>
        </w:tc>
        <w:tc>
          <w:tcPr>
            <w:tcW w:type="dxa" w:w="7344"/>
            <w:tcMar>
              <w:top w:w="110" w:type="dxa"/>
              <w:start w:w="130" w:type="dxa"/>
              <w:bottom w:w="110" w:type="dxa"/>
              <w:end w:w="130" w:type="dxa"/>
            </w:tcMar>
            <w:vAlign w:val="center"/>
          </w:tcPr>
          <w:p>
            <w:pPr>
              <w:spacing w:after="0"/>
            </w:pPr>
            <w:r>
              <w:rPr>
                <w:sz w:val="18"/>
              </w:rPr>
              <w:t>Django authenticates users and rejects protected API requests without a valid token</w:t>
            </w:r>
          </w:p>
        </w:tc>
      </w:tr>
      <w:tr>
        <w:tc>
          <w:tcPr>
            <w:tcW w:type="dxa" w:w="2232"/>
            <w:shd w:fill="F6F9FD"/>
            <w:tcMar>
              <w:top w:w="110" w:type="dxa"/>
              <w:start w:w="130" w:type="dxa"/>
              <w:bottom w:w="110" w:type="dxa"/>
              <w:end w:w="130" w:type="dxa"/>
            </w:tcMar>
            <w:vAlign w:val="center"/>
          </w:tcPr>
          <w:p>
            <w:pPr>
              <w:spacing w:after="0"/>
            </w:pPr>
            <w:r>
              <w:rPr>
                <w:sz w:val="18"/>
              </w:rPr>
              <w:t>Template access</w:t>
            </w:r>
          </w:p>
        </w:tc>
        <w:tc>
          <w:tcPr>
            <w:tcW w:type="dxa" w:w="7344"/>
            <w:shd w:fill="F6F9FD"/>
            <w:tcMar>
              <w:top w:w="110" w:type="dxa"/>
              <w:start w:w="130" w:type="dxa"/>
              <w:bottom w:w="110" w:type="dxa"/>
              <w:end w:w="130" w:type="dxa"/>
            </w:tcMar>
            <w:vAlign w:val="center"/>
          </w:tcPr>
          <w:p>
            <w:pPr>
              <w:spacing w:after="0"/>
            </w:pPr>
            <w:r>
              <w:rPr>
                <w:sz w:val="18"/>
              </w:rPr>
              <w:t>Django checks active status and access groups before returning or rendering a template</w:t>
            </w:r>
          </w:p>
        </w:tc>
      </w:tr>
      <w:tr>
        <w:tc>
          <w:tcPr>
            <w:tcW w:type="dxa" w:w="2232"/>
            <w:tcMar>
              <w:top w:w="110" w:type="dxa"/>
              <w:start w:w="130" w:type="dxa"/>
              <w:bottom w:w="110" w:type="dxa"/>
              <w:end w:w="130" w:type="dxa"/>
            </w:tcMar>
            <w:vAlign w:val="center"/>
          </w:tcPr>
          <w:p>
            <w:pPr>
              <w:spacing w:after="0"/>
            </w:pPr>
            <w:r>
              <w:rPr>
                <w:sz w:val="18"/>
              </w:rPr>
              <w:t>Editable content</w:t>
            </w:r>
          </w:p>
        </w:tc>
        <w:tc>
          <w:tcPr>
            <w:tcW w:type="dxa" w:w="7344"/>
            <w:tcMar>
              <w:top w:w="110" w:type="dxa"/>
              <w:start w:w="130" w:type="dxa"/>
              <w:bottom w:w="110" w:type="dxa"/>
              <w:end w:w="130" w:type="dxa"/>
            </w:tcMar>
            <w:vAlign w:val="center"/>
          </w:tcPr>
          <w:p>
            <w:pPr>
              <w:spacing w:after="0"/>
            </w:pPr>
            <w:r>
              <w:rPr>
                <w:sz w:val="18"/>
              </w:rPr>
              <w:t>User values must be treated as data and escaped; they must not be evaluated as executable template code</w:t>
            </w:r>
          </w:p>
        </w:tc>
      </w:tr>
      <w:tr>
        <w:tc>
          <w:tcPr>
            <w:tcW w:type="dxa" w:w="2232"/>
            <w:shd w:fill="F6F9FD"/>
            <w:tcMar>
              <w:top w:w="110" w:type="dxa"/>
              <w:start w:w="130" w:type="dxa"/>
              <w:bottom w:w="110" w:type="dxa"/>
              <w:end w:w="130" w:type="dxa"/>
            </w:tcMar>
            <w:vAlign w:val="center"/>
          </w:tcPr>
          <w:p>
            <w:pPr>
              <w:spacing w:after="0"/>
            </w:pPr>
            <w:r>
              <w:rPr>
                <w:sz w:val="18"/>
              </w:rPr>
              <w:t>Template publishing</w:t>
            </w:r>
          </w:p>
        </w:tc>
        <w:tc>
          <w:tcPr>
            <w:tcW w:type="dxa" w:w="7344"/>
            <w:shd w:fill="F6F9FD"/>
            <w:tcMar>
              <w:top w:w="110" w:type="dxa"/>
              <w:start w:w="130" w:type="dxa"/>
              <w:bottom w:w="110" w:type="dxa"/>
              <w:end w:w="130" w:type="dxa"/>
            </w:tcMar>
            <w:vAlign w:val="center"/>
          </w:tcPr>
          <w:p>
            <w:pPr>
              <w:spacing w:after="0"/>
            </w:pPr>
            <w:r>
              <w:rPr>
                <w:sz w:val="18"/>
              </w:rPr>
              <w:t>Only Super Admin users may change trusted HTML template source</w:t>
            </w:r>
          </w:p>
        </w:tc>
      </w:tr>
      <w:tr>
        <w:tc>
          <w:tcPr>
            <w:tcW w:type="dxa" w:w="2232"/>
            <w:tcMar>
              <w:top w:w="110" w:type="dxa"/>
              <w:start w:w="130" w:type="dxa"/>
              <w:bottom w:w="110" w:type="dxa"/>
              <w:end w:w="130" w:type="dxa"/>
            </w:tcMar>
            <w:vAlign w:val="center"/>
          </w:tcPr>
          <w:p>
            <w:pPr>
              <w:spacing w:after="0"/>
            </w:pPr>
            <w:r>
              <w:rPr>
                <w:sz w:val="18"/>
              </w:rPr>
              <w:t>Gmail insertion</w:t>
            </w:r>
          </w:p>
        </w:tc>
        <w:tc>
          <w:tcPr>
            <w:tcW w:type="dxa" w:w="7344"/>
            <w:tcMar>
              <w:top w:w="110" w:type="dxa"/>
              <w:start w:w="130" w:type="dxa"/>
              <w:bottom w:w="110" w:type="dxa"/>
              <w:end w:w="130" w:type="dxa"/>
            </w:tcMar>
            <w:vAlign w:val="center"/>
          </w:tcPr>
          <w:p>
            <w:pPr>
              <w:spacing w:after="0"/>
            </w:pPr>
            <w:r>
              <w:rPr>
                <w:sz w:val="18"/>
              </w:rPr>
              <w:t>The extension accepts insertion requests only from approved MailForge origins</w:t>
            </w:r>
          </w:p>
        </w:tc>
      </w:tr>
      <w:tr>
        <w:tc>
          <w:tcPr>
            <w:tcW w:type="dxa" w:w="2232"/>
            <w:shd w:fill="F6F9FD"/>
            <w:tcMar>
              <w:top w:w="110" w:type="dxa"/>
              <w:start w:w="130" w:type="dxa"/>
              <w:bottom w:w="110" w:type="dxa"/>
              <w:end w:w="130" w:type="dxa"/>
            </w:tcMar>
            <w:vAlign w:val="center"/>
          </w:tcPr>
          <w:p>
            <w:pPr>
              <w:spacing w:after="0"/>
            </w:pPr>
            <w:r>
              <w:rPr>
                <w:sz w:val="18"/>
              </w:rPr>
              <w:t>S3 access</w:t>
            </w:r>
          </w:p>
        </w:tc>
        <w:tc>
          <w:tcPr>
            <w:tcW w:type="dxa" w:w="7344"/>
            <w:shd w:fill="F6F9FD"/>
            <w:tcMar>
              <w:top w:w="110" w:type="dxa"/>
              <w:start w:w="130" w:type="dxa"/>
              <w:bottom w:w="110" w:type="dxa"/>
              <w:end w:w="130" w:type="dxa"/>
            </w:tcMar>
            <w:vAlign w:val="center"/>
          </w:tcPr>
          <w:p>
            <w:pPr>
              <w:spacing w:after="0"/>
            </w:pPr>
            <w:r>
              <w:rPr>
                <w:sz w:val="18"/>
              </w:rPr>
              <w:t>Only the Django backend receives AWS access; the browser and extension receive no AWS credentials</w:t>
            </w:r>
          </w:p>
        </w:tc>
      </w:tr>
      <w:tr>
        <w:tc>
          <w:tcPr>
            <w:tcW w:type="dxa" w:w="2232"/>
            <w:tcMar>
              <w:top w:w="110" w:type="dxa"/>
              <w:start w:w="130" w:type="dxa"/>
              <w:bottom w:w="110" w:type="dxa"/>
              <w:end w:w="130" w:type="dxa"/>
            </w:tcMar>
            <w:vAlign w:val="center"/>
          </w:tcPr>
          <w:p>
            <w:pPr>
              <w:spacing w:after="0"/>
            </w:pPr>
            <w:r>
              <w:rPr>
                <w:sz w:val="18"/>
              </w:rPr>
              <w:t>History</w:t>
            </w:r>
          </w:p>
        </w:tc>
        <w:tc>
          <w:tcPr>
            <w:tcW w:type="dxa" w:w="7344"/>
            <w:tcMar>
              <w:top w:w="110" w:type="dxa"/>
              <w:start w:w="130" w:type="dxa"/>
              <w:bottom w:w="110" w:type="dxa"/>
              <w:end w:w="130" w:type="dxa"/>
            </w:tcMar>
            <w:vAlign w:val="center"/>
          </w:tcPr>
          <w:p>
            <w:pPr>
              <w:spacing w:after="0"/>
            </w:pPr>
            <w:r>
              <w:rPr>
                <w:sz w:val="18"/>
              </w:rPr>
              <w:t>Records are private to the signed-in user and represent insertion rather than delivery</w:t>
            </w:r>
          </w:p>
        </w:tc>
      </w:tr>
    </w:tbl>
    <w:p>
      <w:pPr>
        <w:spacing w:after="0"/>
      </w:pPr>
    </w:p>
    <w:p>
      <w:pPr>
        <w:pStyle w:val="Heading2"/>
        <w:keepNext/>
      </w:pPr>
      <w:r>
        <w:t>Current deployment model</w:t>
      </w:r>
    </w:p>
    <w:p>
      <w:pPr>
        <w:pStyle w:val="ListBullet"/>
        <w:spacing w:after="80"/>
      </w:pPr>
      <w:r>
        <w:t>Django runs locally or on an approved internal host.</w:t>
      </w:r>
    </w:p>
    <w:p>
      <w:pPr>
        <w:pStyle w:val="ListBullet"/>
        <w:spacing w:after="80"/>
      </w:pPr>
      <w:r>
        <w:t>Streamlit runs as the internal web interface and calls the Django API.</w:t>
      </w:r>
    </w:p>
    <w:p>
      <w:pPr>
        <w:pStyle w:val="ListBullet"/>
        <w:spacing w:after="80"/>
      </w:pPr>
      <w:r>
        <w:t>The Chrome extension is loaded locally in authorized users' Chrome profiles.</w:t>
      </w:r>
    </w:p>
    <w:p>
      <w:pPr>
        <w:pStyle w:val="ListBullet"/>
        <w:spacing w:after="80"/>
      </w:pPr>
      <w:r>
        <w:t>Gmail must be open in the same Chrome profile with an active compose window.</w:t>
      </w:r>
    </w:p>
    <w:p>
      <w:pPr>
        <w:pStyle w:val="ListBullet"/>
        <w:spacing w:after="80"/>
      </w:pPr>
      <w:r>
        <w:t>SQLite and local template files require routine backup while they remain the system of record.</w:t>
      </w:r>
    </w:p>
    <w:p>
      <w:pPr>
        <w:pStyle w:val="Heading2"/>
        <w:keepNext/>
      </w:pPr>
      <w:r>
        <w:t>Near term S3 template storage</w:t>
      </w:r>
    </w:p>
    <w:p>
      <w:pPr>
        <w:pStyle w:val="BodyText"/>
      </w:pPr>
      <w:r>
        <w:t>The planned UAT design keeps the template object structure familiar while moving it to private S3 storage. Django should read a templates manifest and versioned HTML and field-definition objects. The backend should cache validated templates briefly, record the template version in history, and retain local storage as a development fallback.</w:t>
      </w:r>
    </w:p>
    <w:p>
      <w:pPr>
        <w:pStyle w:val="BodyText"/>
      </w:pPr>
      <w:r>
        <w:t>A recommended object structure is mailforge/templates/templates.json with one folder per template containing template.html and fields.json. S3 versioning should be enabled when permitted. Credentials must use the approved local AWS profile or runtime IAM role and must never be placed in source code, Streamlit, or the extension.</w:t>
      </w:r>
    </w:p>
    <w:p>
      <w:r>
        <w:br w:type="page"/>
      </w:r>
    </w:p>
    <w:p>
      <w:pPr>
        <w:pStyle w:val="Heading1"/>
        <w:keepNext/>
      </w:pPr>
      <w:r>
        <w:t>Future migration to a production frontend framework</w:t>
      </w:r>
    </w:p>
    <w:p>
      <w:pPr>
        <w:pStyle w:val="BodyText"/>
      </w:pPr>
      <w:r>
        <w:t>The future migration should replace the Streamlit presentation layer without rewriting the working backend at the same time. Django already owns the durable responsibilities that should survive the migration: identity, permissions, template APIs, rendering, history, and the future S3 repository. A React and TypeScript frontend, preferably Next.js for routing and production tooling, can consume the existing API contracts.</w:t>
      </w:r>
    </w:p>
    <w:p>
      <w:pPr>
        <w:pStyle w:val="Heading2"/>
        <w:keepNext/>
      </w:pPr>
      <w:r>
        <w:t>Recommended target architecture</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trPr>
        <w:tc>
          <w:tcPr>
            <w:tcW w:type="dxa" w:w="1800"/>
            <w:shd w:fill="17324D"/>
            <w:tcMar>
              <w:top w:w="110" w:type="dxa"/>
              <w:start w:w="130" w:type="dxa"/>
              <w:bottom w:w="110" w:type="dxa"/>
              <w:end w:w="130" w:type="dxa"/>
            </w:tcMar>
            <w:vAlign w:val="center"/>
          </w:tcPr>
          <w:p>
            <w:pPr>
              <w:jc w:val="left"/>
            </w:pPr>
            <w:r>
              <w:rPr>
                <w:b/>
                <w:color w:val="FFFFFF"/>
                <w:sz w:val="19"/>
              </w:rPr>
              <w:t>Component</w:t>
            </w:r>
          </w:p>
        </w:tc>
        <w:tc>
          <w:tcPr>
            <w:tcW w:type="dxa" w:w="2520"/>
            <w:shd w:fill="17324D"/>
            <w:tcMar>
              <w:top w:w="110" w:type="dxa"/>
              <w:start w:w="130" w:type="dxa"/>
              <w:bottom w:w="110" w:type="dxa"/>
              <w:end w:w="130" w:type="dxa"/>
            </w:tcMar>
            <w:vAlign w:val="center"/>
          </w:tcPr>
          <w:p>
            <w:pPr>
              <w:jc w:val="left"/>
            </w:pPr>
            <w:r>
              <w:rPr>
                <w:b/>
                <w:color w:val="FFFFFF"/>
                <w:sz w:val="19"/>
              </w:rPr>
              <w:t>Recommended target</w:t>
            </w:r>
          </w:p>
        </w:tc>
        <w:tc>
          <w:tcPr>
            <w:tcW w:type="dxa" w:w="5256"/>
            <w:shd w:fill="17324D"/>
            <w:tcMar>
              <w:top w:w="110" w:type="dxa"/>
              <w:start w:w="130" w:type="dxa"/>
              <w:bottom w:w="110" w:type="dxa"/>
              <w:end w:w="130" w:type="dxa"/>
            </w:tcMar>
            <w:vAlign w:val="center"/>
          </w:tcPr>
          <w:p>
            <w:pPr>
              <w:jc w:val="left"/>
            </w:pPr>
            <w:r>
              <w:rPr>
                <w:b/>
                <w:color w:val="FFFFFF"/>
                <w:sz w:val="19"/>
              </w:rPr>
              <w:t>Migration approach</w:t>
            </w:r>
          </w:p>
        </w:tc>
      </w:tr>
      <w:tr>
        <w:tc>
          <w:tcPr>
            <w:tcW w:type="dxa" w:w="1800"/>
            <w:tcMar>
              <w:top w:w="110" w:type="dxa"/>
              <w:start w:w="130" w:type="dxa"/>
              <w:bottom w:w="110" w:type="dxa"/>
              <w:end w:w="130" w:type="dxa"/>
            </w:tcMar>
            <w:vAlign w:val="center"/>
          </w:tcPr>
          <w:p>
            <w:pPr>
              <w:spacing w:after="0"/>
            </w:pPr>
            <w:r>
              <w:rPr>
                <w:sz w:val="18"/>
              </w:rPr>
              <w:t>Web application</w:t>
            </w:r>
          </w:p>
        </w:tc>
        <w:tc>
          <w:tcPr>
            <w:tcW w:type="dxa" w:w="2520"/>
            <w:tcMar>
              <w:top w:w="110" w:type="dxa"/>
              <w:start w:w="130" w:type="dxa"/>
              <w:bottom w:w="110" w:type="dxa"/>
              <w:end w:w="130" w:type="dxa"/>
            </w:tcMar>
            <w:vAlign w:val="center"/>
          </w:tcPr>
          <w:p>
            <w:pPr>
              <w:spacing w:after="0"/>
            </w:pPr>
            <w:r>
              <w:rPr>
                <w:sz w:val="18"/>
              </w:rPr>
              <w:t>Next.js, React, and TypeScript</w:t>
            </w:r>
          </w:p>
        </w:tc>
        <w:tc>
          <w:tcPr>
            <w:tcW w:type="dxa" w:w="5256"/>
            <w:tcMar>
              <w:top w:w="110" w:type="dxa"/>
              <w:start w:w="130" w:type="dxa"/>
              <w:bottom w:w="110" w:type="dxa"/>
              <w:end w:w="130" w:type="dxa"/>
            </w:tcMar>
            <w:vAlign w:val="center"/>
          </w:tcPr>
          <w:p>
            <w:pPr>
              <w:spacing w:after="0"/>
            </w:pPr>
            <w:r>
              <w:rPr>
                <w:sz w:val="18"/>
              </w:rPr>
              <w:t>Rebuild employee and admin screens against versioned Django APIs</w:t>
            </w:r>
          </w:p>
        </w:tc>
      </w:tr>
      <w:tr>
        <w:tc>
          <w:tcPr>
            <w:tcW w:type="dxa" w:w="1800"/>
            <w:shd w:fill="F6F9FD"/>
            <w:tcMar>
              <w:top w:w="110" w:type="dxa"/>
              <w:start w:w="130" w:type="dxa"/>
              <w:bottom w:w="110" w:type="dxa"/>
              <w:end w:w="130" w:type="dxa"/>
            </w:tcMar>
            <w:vAlign w:val="center"/>
          </w:tcPr>
          <w:p>
            <w:pPr>
              <w:spacing w:after="0"/>
            </w:pPr>
            <w:r>
              <w:rPr>
                <w:sz w:val="18"/>
              </w:rPr>
              <w:t>API</w:t>
            </w:r>
          </w:p>
        </w:tc>
        <w:tc>
          <w:tcPr>
            <w:tcW w:type="dxa" w:w="2520"/>
            <w:shd w:fill="F6F9FD"/>
            <w:tcMar>
              <w:top w:w="110" w:type="dxa"/>
              <w:start w:w="130" w:type="dxa"/>
              <w:bottom w:w="110" w:type="dxa"/>
              <w:end w:w="130" w:type="dxa"/>
            </w:tcMar>
            <w:vAlign w:val="center"/>
          </w:tcPr>
          <w:p>
            <w:pPr>
              <w:spacing w:after="0"/>
            </w:pPr>
            <w:r>
              <w:rPr>
                <w:sz w:val="18"/>
              </w:rPr>
              <w:t>Django REST Framework</w:t>
            </w:r>
          </w:p>
        </w:tc>
        <w:tc>
          <w:tcPr>
            <w:tcW w:type="dxa" w:w="5256"/>
            <w:shd w:fill="F6F9FD"/>
            <w:tcMar>
              <w:top w:w="110" w:type="dxa"/>
              <w:start w:w="130" w:type="dxa"/>
              <w:bottom w:w="110" w:type="dxa"/>
              <w:end w:w="130" w:type="dxa"/>
            </w:tcMar>
            <w:vAlign w:val="center"/>
          </w:tcPr>
          <w:p>
            <w:pPr>
              <w:spacing w:after="0"/>
            </w:pPr>
            <w:r>
              <w:rPr>
                <w:sz w:val="18"/>
              </w:rPr>
              <w:t>Retain and harden; add API versioning, pagination, throttling, and schema documentation</w:t>
            </w:r>
          </w:p>
        </w:tc>
      </w:tr>
      <w:tr>
        <w:tc>
          <w:tcPr>
            <w:tcW w:type="dxa" w:w="1800"/>
            <w:tcMar>
              <w:top w:w="110" w:type="dxa"/>
              <w:start w:w="130" w:type="dxa"/>
              <w:bottom w:w="110" w:type="dxa"/>
              <w:end w:w="130" w:type="dxa"/>
            </w:tcMar>
            <w:vAlign w:val="center"/>
          </w:tcPr>
          <w:p>
            <w:pPr>
              <w:spacing w:after="0"/>
            </w:pPr>
            <w:r>
              <w:rPr>
                <w:sz w:val="18"/>
              </w:rPr>
              <w:t>Authentication</w:t>
            </w:r>
          </w:p>
        </w:tc>
        <w:tc>
          <w:tcPr>
            <w:tcW w:type="dxa" w:w="2520"/>
            <w:tcMar>
              <w:top w:w="110" w:type="dxa"/>
              <w:start w:w="130" w:type="dxa"/>
              <w:bottom w:w="110" w:type="dxa"/>
              <w:end w:w="130" w:type="dxa"/>
            </w:tcMar>
            <w:vAlign w:val="center"/>
          </w:tcPr>
          <w:p>
            <w:pPr>
              <w:spacing w:after="0"/>
            </w:pPr>
            <w:r>
              <w:rPr>
                <w:sz w:val="18"/>
              </w:rPr>
              <w:t>Secure cookie session or short-lived tokens</w:t>
            </w:r>
          </w:p>
        </w:tc>
        <w:tc>
          <w:tcPr>
            <w:tcW w:type="dxa" w:w="5256"/>
            <w:tcMar>
              <w:top w:w="110" w:type="dxa"/>
              <w:start w:w="130" w:type="dxa"/>
              <w:bottom w:w="110" w:type="dxa"/>
              <w:end w:w="130" w:type="dxa"/>
            </w:tcMar>
            <w:vAlign w:val="center"/>
          </w:tcPr>
          <w:p>
            <w:pPr>
              <w:spacing w:after="0"/>
            </w:pPr>
            <w:r>
              <w:rPr>
                <w:sz w:val="18"/>
              </w:rPr>
              <w:t>Replace permanent tokens and define timeout and rotation behavior</w:t>
            </w:r>
          </w:p>
        </w:tc>
      </w:tr>
      <w:tr>
        <w:tc>
          <w:tcPr>
            <w:tcW w:type="dxa" w:w="1800"/>
            <w:shd w:fill="F6F9FD"/>
            <w:tcMar>
              <w:top w:w="110" w:type="dxa"/>
              <w:start w:w="130" w:type="dxa"/>
              <w:bottom w:w="110" w:type="dxa"/>
              <w:end w:w="130" w:type="dxa"/>
            </w:tcMar>
            <w:vAlign w:val="center"/>
          </w:tcPr>
          <w:p>
            <w:pPr>
              <w:spacing w:after="0"/>
            </w:pPr>
            <w:r>
              <w:rPr>
                <w:sz w:val="18"/>
              </w:rPr>
              <w:t>Primary database</w:t>
            </w:r>
          </w:p>
        </w:tc>
        <w:tc>
          <w:tcPr>
            <w:tcW w:type="dxa" w:w="2520"/>
            <w:shd w:fill="F6F9FD"/>
            <w:tcMar>
              <w:top w:w="110" w:type="dxa"/>
              <w:start w:w="130" w:type="dxa"/>
              <w:bottom w:w="110" w:type="dxa"/>
              <w:end w:w="130" w:type="dxa"/>
            </w:tcMar>
            <w:vAlign w:val="center"/>
          </w:tcPr>
          <w:p>
            <w:pPr>
              <w:spacing w:after="0"/>
            </w:pPr>
            <w:r>
              <w:rPr>
                <w:sz w:val="18"/>
              </w:rPr>
              <w:t>PostgreSQL</w:t>
            </w:r>
          </w:p>
        </w:tc>
        <w:tc>
          <w:tcPr>
            <w:tcW w:type="dxa" w:w="5256"/>
            <w:shd w:fill="F6F9FD"/>
            <w:tcMar>
              <w:top w:w="110" w:type="dxa"/>
              <w:start w:w="130" w:type="dxa"/>
              <w:bottom w:w="110" w:type="dxa"/>
              <w:end w:w="130" w:type="dxa"/>
            </w:tcMar>
            <w:vAlign w:val="center"/>
          </w:tcPr>
          <w:p>
            <w:pPr>
              <w:spacing w:after="0"/>
            </w:pPr>
            <w:r>
              <w:rPr>
                <w:sz w:val="18"/>
              </w:rPr>
              <w:t>Migrate users, permissions, and history from SQLite when concurrency or hosting requires it</w:t>
            </w:r>
          </w:p>
        </w:tc>
      </w:tr>
      <w:tr>
        <w:tc>
          <w:tcPr>
            <w:tcW w:type="dxa" w:w="1800"/>
            <w:tcMar>
              <w:top w:w="110" w:type="dxa"/>
              <w:start w:w="130" w:type="dxa"/>
              <w:bottom w:w="110" w:type="dxa"/>
              <w:end w:w="130" w:type="dxa"/>
            </w:tcMar>
            <w:vAlign w:val="center"/>
          </w:tcPr>
          <w:p>
            <w:pPr>
              <w:spacing w:after="0"/>
            </w:pPr>
            <w:r>
              <w:rPr>
                <w:sz w:val="18"/>
              </w:rPr>
              <w:t>Template storage</w:t>
            </w:r>
          </w:p>
        </w:tc>
        <w:tc>
          <w:tcPr>
            <w:tcW w:type="dxa" w:w="2520"/>
            <w:tcMar>
              <w:top w:w="110" w:type="dxa"/>
              <w:start w:w="130" w:type="dxa"/>
              <w:bottom w:w="110" w:type="dxa"/>
              <w:end w:w="130" w:type="dxa"/>
            </w:tcMar>
            <w:vAlign w:val="center"/>
          </w:tcPr>
          <w:p>
            <w:pPr>
              <w:spacing w:after="0"/>
            </w:pPr>
            <w:r>
              <w:rPr>
                <w:sz w:val="18"/>
              </w:rPr>
              <w:t>Private S3 with object versioning</w:t>
            </w:r>
          </w:p>
        </w:tc>
        <w:tc>
          <w:tcPr>
            <w:tcW w:type="dxa" w:w="5256"/>
            <w:tcMar>
              <w:top w:w="110" w:type="dxa"/>
              <w:start w:w="130" w:type="dxa"/>
              <w:bottom w:w="110" w:type="dxa"/>
              <w:end w:w="130" w:type="dxa"/>
            </w:tcMar>
            <w:vAlign w:val="center"/>
          </w:tcPr>
          <w:p>
            <w:pPr>
              <w:spacing w:after="0"/>
            </w:pPr>
            <w:r>
              <w:rPr>
                <w:sz w:val="18"/>
              </w:rPr>
              <w:t>Introduce a repository interface and preserve local storage for development</w:t>
            </w:r>
          </w:p>
        </w:tc>
      </w:tr>
      <w:tr>
        <w:tc>
          <w:tcPr>
            <w:tcW w:type="dxa" w:w="1800"/>
            <w:shd w:fill="F6F9FD"/>
            <w:tcMar>
              <w:top w:w="110" w:type="dxa"/>
              <w:start w:w="130" w:type="dxa"/>
              <w:bottom w:w="110" w:type="dxa"/>
              <w:end w:w="130" w:type="dxa"/>
            </w:tcMar>
            <w:vAlign w:val="center"/>
          </w:tcPr>
          <w:p>
            <w:pPr>
              <w:spacing w:after="0"/>
            </w:pPr>
            <w:r>
              <w:rPr>
                <w:sz w:val="18"/>
              </w:rPr>
              <w:t>Extension</w:t>
            </w:r>
          </w:p>
        </w:tc>
        <w:tc>
          <w:tcPr>
            <w:tcW w:type="dxa" w:w="2520"/>
            <w:shd w:fill="F6F9FD"/>
            <w:tcMar>
              <w:top w:w="110" w:type="dxa"/>
              <w:start w:w="130" w:type="dxa"/>
              <w:bottom w:w="110" w:type="dxa"/>
              <w:end w:w="130" w:type="dxa"/>
            </w:tcMar>
            <w:vAlign w:val="center"/>
          </w:tcPr>
          <w:p>
            <w:pPr>
              <w:spacing w:after="0"/>
            </w:pPr>
            <w:r>
              <w:rPr>
                <w:sz w:val="18"/>
              </w:rPr>
              <w:t>Chrome Manifest V3</w:t>
            </w:r>
          </w:p>
        </w:tc>
        <w:tc>
          <w:tcPr>
            <w:tcW w:type="dxa" w:w="5256"/>
            <w:shd w:fill="F6F9FD"/>
            <w:tcMar>
              <w:top w:w="110" w:type="dxa"/>
              <w:start w:w="130" w:type="dxa"/>
              <w:bottom w:w="110" w:type="dxa"/>
              <w:end w:w="130" w:type="dxa"/>
            </w:tcMar>
            <w:vAlign w:val="center"/>
          </w:tcPr>
          <w:p>
            <w:pPr>
              <w:spacing w:after="0"/>
            </w:pPr>
            <w:r>
              <w:rPr>
                <w:sz w:val="18"/>
              </w:rPr>
              <w:t>Keep the insertion workflow; update trusted production origins and strengthen message validation</w:t>
            </w:r>
          </w:p>
        </w:tc>
      </w:tr>
      <w:tr>
        <w:tc>
          <w:tcPr>
            <w:tcW w:type="dxa" w:w="1800"/>
            <w:tcMar>
              <w:top w:w="110" w:type="dxa"/>
              <w:start w:w="130" w:type="dxa"/>
              <w:bottom w:w="110" w:type="dxa"/>
              <w:end w:w="130" w:type="dxa"/>
            </w:tcMar>
            <w:vAlign w:val="center"/>
          </w:tcPr>
          <w:p>
            <w:pPr>
              <w:spacing w:after="0"/>
            </w:pPr>
            <w:r>
              <w:rPr>
                <w:sz w:val="18"/>
              </w:rPr>
              <w:t>Operations</w:t>
            </w:r>
          </w:p>
        </w:tc>
        <w:tc>
          <w:tcPr>
            <w:tcW w:type="dxa" w:w="2520"/>
            <w:tcMar>
              <w:top w:w="110" w:type="dxa"/>
              <w:start w:w="130" w:type="dxa"/>
              <w:bottom w:w="110" w:type="dxa"/>
              <w:end w:w="130" w:type="dxa"/>
            </w:tcMar>
            <w:vAlign w:val="center"/>
          </w:tcPr>
          <w:p>
            <w:pPr>
              <w:spacing w:after="0"/>
            </w:pPr>
            <w:r>
              <w:rPr>
                <w:sz w:val="18"/>
              </w:rPr>
              <w:t>Containerized internal deployment</w:t>
            </w:r>
          </w:p>
        </w:tc>
        <w:tc>
          <w:tcPr>
            <w:tcW w:type="dxa" w:w="5256"/>
            <w:tcMar>
              <w:top w:w="110" w:type="dxa"/>
              <w:start w:w="130" w:type="dxa"/>
              <w:bottom w:w="110" w:type="dxa"/>
              <w:end w:w="130" w:type="dxa"/>
            </w:tcMar>
            <w:vAlign w:val="center"/>
          </w:tcPr>
          <w:p>
            <w:pPr>
              <w:spacing w:after="0"/>
            </w:pPr>
            <w:r>
              <w:rPr>
                <w:sz w:val="18"/>
              </w:rPr>
              <w:t>Add health checks, structured logs, monitoring, backups, and automated releases</w:t>
            </w:r>
          </w:p>
        </w:tc>
      </w:tr>
    </w:tbl>
    <w:p>
      <w:pPr>
        <w:spacing w:after="0"/>
      </w:pPr>
    </w:p>
    <w:p>
      <w:pPr>
        <w:pStyle w:val="Heading2"/>
        <w:keepNext/>
      </w:pPr>
      <w:r>
        <w:t>Migration principles</w:t>
      </w:r>
    </w:p>
    <w:p>
      <w:pPr>
        <w:pStyle w:val="ListBullet"/>
        <w:spacing w:after="80"/>
      </w:pPr>
      <w:r>
        <w:t>Preserve user-visible behavior before improving it.</w:t>
      </w:r>
    </w:p>
    <w:p>
      <w:pPr>
        <w:pStyle w:val="ListBullet"/>
        <w:spacing w:after="80"/>
      </w:pPr>
      <w:r>
        <w:t>Define stable API contracts before replacing Streamlit screens.</w:t>
      </w:r>
    </w:p>
    <w:p>
      <w:pPr>
        <w:pStyle w:val="ListBullet"/>
        <w:spacing w:after="80"/>
      </w:pPr>
      <w:r>
        <w:t>Move one workflow at a time and run both frontends temporarily if needed.</w:t>
      </w:r>
    </w:p>
    <w:p>
      <w:pPr>
        <w:pStyle w:val="ListBullet"/>
        <w:spacing w:after="80"/>
      </w:pPr>
      <w:r>
        <w:t>Keep Gmail insertion and email sending as separate states.</w:t>
      </w:r>
    </w:p>
    <w:p>
      <w:pPr>
        <w:pStyle w:val="ListBullet"/>
        <w:spacing w:after="80"/>
      </w:pPr>
      <w:r>
        <w:t>Treat template versions as immutable published artifacts.</w:t>
      </w:r>
    </w:p>
    <w:p>
      <w:pPr>
        <w:pStyle w:val="ListBullet"/>
        <w:spacing w:after="80"/>
      </w:pPr>
      <w:r>
        <w:t>Do not place AWS credentials or privileged rendering logic in the browser.</w:t>
      </w:r>
    </w:p>
    <w:p>
      <w:pPr>
        <w:pStyle w:val="Heading2"/>
        <w:keepNext/>
      </w:pPr>
      <w:r>
        <w:t>Proposed application modules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520"/>
            <w:shd w:fill="17324D"/>
            <w:tcMar>
              <w:top w:w="110" w:type="dxa"/>
              <w:start w:w="130" w:type="dxa"/>
              <w:bottom w:w="110" w:type="dxa"/>
              <w:end w:w="130" w:type="dxa"/>
            </w:tcMar>
            <w:vAlign w:val="center"/>
          </w:tcPr>
          <w:p>
            <w:pPr>
              <w:jc w:val="left"/>
            </w:pPr>
            <w:r>
              <w:rPr>
                <w:b/>
                <w:color w:val="FFFFFF"/>
                <w:sz w:val="19"/>
              </w:rPr>
              <w:t>Frontend module</w:t>
            </w:r>
          </w:p>
        </w:tc>
        <w:tc>
          <w:tcPr>
            <w:tcW w:type="dxa" w:w="7056"/>
            <w:shd w:fill="17324D"/>
            <w:tcMar>
              <w:top w:w="110" w:type="dxa"/>
              <w:start w:w="130" w:type="dxa"/>
              <w:bottom w:w="110" w:type="dxa"/>
              <w:end w:w="130" w:type="dxa"/>
            </w:tcMar>
            <w:vAlign w:val="center"/>
          </w:tcPr>
          <w:p>
            <w:pPr>
              <w:jc w:val="left"/>
            </w:pPr>
            <w:r>
              <w:rPr>
                <w:b/>
                <w:color w:val="FFFFFF"/>
                <w:sz w:val="19"/>
              </w:rPr>
              <w:t>Scope</w:t>
            </w:r>
          </w:p>
        </w:tc>
      </w:tr>
      <w:tr>
        <w:tc>
          <w:tcPr>
            <w:tcW w:type="dxa" w:w="2520"/>
            <w:tcMar>
              <w:top w:w="110" w:type="dxa"/>
              <w:start w:w="130" w:type="dxa"/>
              <w:bottom w:w="110" w:type="dxa"/>
              <w:end w:w="130" w:type="dxa"/>
            </w:tcMar>
            <w:vAlign w:val="center"/>
          </w:tcPr>
          <w:p>
            <w:pPr>
              <w:spacing w:after="0"/>
            </w:pPr>
            <w:r>
              <w:rPr>
                <w:sz w:val="18"/>
              </w:rPr>
              <w:t>Authentication</w:t>
            </w:r>
          </w:p>
        </w:tc>
        <w:tc>
          <w:tcPr>
            <w:tcW w:type="dxa" w:w="7056"/>
            <w:tcMar>
              <w:top w:w="110" w:type="dxa"/>
              <w:start w:w="130" w:type="dxa"/>
              <w:bottom w:w="110" w:type="dxa"/>
              <w:end w:w="130" w:type="dxa"/>
            </w:tcMar>
            <w:vAlign w:val="center"/>
          </w:tcPr>
          <w:p>
            <w:pPr>
              <w:spacing w:after="0"/>
            </w:pPr>
            <w:r>
              <w:rPr>
                <w:sz w:val="18"/>
              </w:rPr>
              <w:t>Sign in, sign out, session expiry, and current-user context</w:t>
            </w:r>
          </w:p>
        </w:tc>
      </w:tr>
      <w:tr>
        <w:tc>
          <w:tcPr>
            <w:tcW w:type="dxa" w:w="2520"/>
            <w:shd w:fill="F6F9FD"/>
            <w:tcMar>
              <w:top w:w="110" w:type="dxa"/>
              <w:start w:w="130" w:type="dxa"/>
              <w:bottom w:w="110" w:type="dxa"/>
              <w:end w:w="130" w:type="dxa"/>
            </w:tcMar>
            <w:vAlign w:val="center"/>
          </w:tcPr>
          <w:p>
            <w:pPr>
              <w:spacing w:after="0"/>
            </w:pPr>
            <w:r>
              <w:rPr>
                <w:sz w:val="18"/>
              </w:rPr>
              <w:t>Template library</w:t>
            </w:r>
          </w:p>
        </w:tc>
        <w:tc>
          <w:tcPr>
            <w:tcW w:type="dxa" w:w="7056"/>
            <w:shd w:fill="F6F9FD"/>
            <w:tcMar>
              <w:top w:w="110" w:type="dxa"/>
              <w:start w:w="130" w:type="dxa"/>
              <w:bottom w:w="110" w:type="dxa"/>
              <w:end w:w="130" w:type="dxa"/>
            </w:tcMar>
            <w:vAlign w:val="center"/>
          </w:tcPr>
          <w:p>
            <w:pPr>
              <w:spacing w:after="0"/>
            </w:pPr>
            <w:r>
              <w:rPr>
                <w:sz w:val="18"/>
              </w:rPr>
              <w:t>Search, authorization-aware results, and template selection</w:t>
            </w:r>
          </w:p>
        </w:tc>
      </w:tr>
      <w:tr>
        <w:tc>
          <w:tcPr>
            <w:tcW w:type="dxa" w:w="2520"/>
            <w:tcMar>
              <w:top w:w="110" w:type="dxa"/>
              <w:start w:w="130" w:type="dxa"/>
              <w:bottom w:w="110" w:type="dxa"/>
              <w:end w:w="130" w:type="dxa"/>
            </w:tcMar>
            <w:vAlign w:val="center"/>
          </w:tcPr>
          <w:p>
            <w:pPr>
              <w:spacing w:after="0"/>
            </w:pPr>
            <w:r>
              <w:rPr>
                <w:sz w:val="18"/>
              </w:rPr>
              <w:t>Email preparation</w:t>
            </w:r>
          </w:p>
        </w:tc>
        <w:tc>
          <w:tcPr>
            <w:tcW w:type="dxa" w:w="7056"/>
            <w:tcMar>
              <w:top w:w="110" w:type="dxa"/>
              <w:start w:w="130" w:type="dxa"/>
              <w:bottom w:w="110" w:type="dxa"/>
              <w:end w:w="130" w:type="dxa"/>
            </w:tcMar>
            <w:vAlign w:val="center"/>
          </w:tcPr>
          <w:p>
            <w:pPr>
              <w:spacing w:after="0"/>
            </w:pPr>
            <w:r>
              <w:rPr>
                <w:sz w:val="18"/>
              </w:rPr>
              <w:t>Recipient input, server-rendered preview, Gmail insertion, and completion state</w:t>
            </w:r>
          </w:p>
        </w:tc>
      </w:tr>
      <w:tr>
        <w:tc>
          <w:tcPr>
            <w:tcW w:type="dxa" w:w="2520"/>
            <w:shd w:fill="F6F9FD"/>
            <w:tcMar>
              <w:top w:w="110" w:type="dxa"/>
              <w:start w:w="130" w:type="dxa"/>
              <w:bottom w:w="110" w:type="dxa"/>
              <w:end w:w="130" w:type="dxa"/>
            </w:tcMar>
            <w:vAlign w:val="center"/>
          </w:tcPr>
          <w:p>
            <w:pPr>
              <w:spacing w:after="0"/>
            </w:pPr>
            <w:r>
              <w:rPr>
                <w:sz w:val="18"/>
              </w:rPr>
              <w:t>History</w:t>
            </w:r>
          </w:p>
        </w:tc>
        <w:tc>
          <w:tcPr>
            <w:tcW w:type="dxa" w:w="7056"/>
            <w:shd w:fill="F6F9FD"/>
            <w:tcMar>
              <w:top w:w="110" w:type="dxa"/>
              <w:start w:w="130" w:type="dxa"/>
              <w:bottom w:w="110" w:type="dxa"/>
              <w:end w:w="130" w:type="dxa"/>
            </w:tcMar>
            <w:vAlign w:val="center"/>
          </w:tcPr>
          <w:p>
            <w:pPr>
              <w:spacing w:after="0"/>
            </w:pPr>
            <w:r>
              <w:rPr>
                <w:sz w:val="18"/>
              </w:rPr>
              <w:t>Paginated insertion records with template version and recipient company</w:t>
            </w:r>
          </w:p>
        </w:tc>
      </w:tr>
      <w:tr>
        <w:tc>
          <w:tcPr>
            <w:tcW w:type="dxa" w:w="2520"/>
            <w:tcMar>
              <w:top w:w="110" w:type="dxa"/>
              <w:start w:w="130" w:type="dxa"/>
              <w:bottom w:w="110" w:type="dxa"/>
              <w:end w:w="130" w:type="dxa"/>
            </w:tcMar>
            <w:vAlign w:val="center"/>
          </w:tcPr>
          <w:p>
            <w:pPr>
              <w:spacing w:after="0"/>
            </w:pPr>
            <w:r>
              <w:rPr>
                <w:sz w:val="18"/>
              </w:rPr>
              <w:t>User administration</w:t>
            </w:r>
          </w:p>
        </w:tc>
        <w:tc>
          <w:tcPr>
            <w:tcW w:type="dxa" w:w="7056"/>
            <w:tcMar>
              <w:top w:w="110" w:type="dxa"/>
              <w:start w:w="130" w:type="dxa"/>
              <w:bottom w:w="110" w:type="dxa"/>
              <w:end w:w="130" w:type="dxa"/>
            </w:tcMar>
            <w:vAlign w:val="center"/>
          </w:tcPr>
          <w:p>
            <w:pPr>
              <w:spacing w:after="0"/>
            </w:pPr>
            <w:r>
              <w:rPr>
                <w:sz w:val="18"/>
              </w:rPr>
              <w:t>Account lifecycle and approved role or group assignment</w:t>
            </w:r>
          </w:p>
        </w:tc>
      </w:tr>
      <w:tr>
        <w:tc>
          <w:tcPr>
            <w:tcW w:type="dxa" w:w="2520"/>
            <w:shd w:fill="F6F9FD"/>
            <w:tcMar>
              <w:top w:w="110" w:type="dxa"/>
              <w:start w:w="130" w:type="dxa"/>
              <w:bottom w:w="110" w:type="dxa"/>
              <w:end w:w="130" w:type="dxa"/>
            </w:tcMar>
            <w:vAlign w:val="center"/>
          </w:tcPr>
          <w:p>
            <w:pPr>
              <w:spacing w:after="0"/>
            </w:pPr>
            <w:r>
              <w:rPr>
                <w:sz w:val="18"/>
              </w:rPr>
              <w:t>Template administration</w:t>
            </w:r>
          </w:p>
        </w:tc>
        <w:tc>
          <w:tcPr>
            <w:tcW w:type="dxa" w:w="7056"/>
            <w:shd w:fill="F6F9FD"/>
            <w:tcMar>
              <w:top w:w="110" w:type="dxa"/>
              <w:start w:w="130" w:type="dxa"/>
              <w:bottom w:w="110" w:type="dxa"/>
              <w:end w:w="130" w:type="dxa"/>
            </w:tcMar>
            <w:vAlign w:val="center"/>
          </w:tcPr>
          <w:p>
            <w:pPr>
              <w:spacing w:after="0"/>
            </w:pPr>
            <w:r>
              <w:rPr>
                <w:sz w:val="18"/>
              </w:rPr>
              <w:t>Validated source editing, preview, publishing, versioning, and rollback</w:t>
            </w:r>
          </w:p>
        </w:tc>
      </w:tr>
    </w:tbl>
    <w:p>
      <w:pPr>
        <w:spacing w:after="0"/>
      </w:pPr>
    </w:p>
    <w:p>
      <w:r>
        <w:br w:type="page"/>
      </w:r>
    </w:p>
    <w:p>
      <w:pPr>
        <w:pStyle w:val="Heading1"/>
        <w:keepNext/>
      </w:pPr>
      <w:r>
        <w:t>Phased migration roadmap</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trPr>
        <w:tc>
          <w:tcPr>
            <w:tcW w:type="dxa" w:w="1613"/>
            <w:shd w:fill="17324D"/>
            <w:tcMar>
              <w:top w:w="110" w:type="dxa"/>
              <w:start w:w="130" w:type="dxa"/>
              <w:bottom w:w="110" w:type="dxa"/>
              <w:end w:w="130" w:type="dxa"/>
            </w:tcMar>
            <w:vAlign w:val="center"/>
          </w:tcPr>
          <w:p>
            <w:pPr>
              <w:jc w:val="left"/>
            </w:pPr>
            <w:r>
              <w:rPr>
                <w:b/>
                <w:color w:val="FFFFFF"/>
                <w:sz w:val="19"/>
              </w:rPr>
              <w:t>Phase</w:t>
            </w:r>
          </w:p>
        </w:tc>
        <w:tc>
          <w:tcPr>
            <w:tcW w:type="dxa" w:w="2376"/>
            <w:shd w:fill="17324D"/>
            <w:tcMar>
              <w:top w:w="110" w:type="dxa"/>
              <w:start w:w="130" w:type="dxa"/>
              <w:bottom w:w="110" w:type="dxa"/>
              <w:end w:w="130" w:type="dxa"/>
            </w:tcMar>
            <w:vAlign w:val="center"/>
          </w:tcPr>
          <w:p>
            <w:pPr>
              <w:jc w:val="left"/>
            </w:pPr>
            <w:r>
              <w:rPr>
                <w:b/>
                <w:color w:val="FFFFFF"/>
                <w:sz w:val="19"/>
              </w:rPr>
              <w:t>Outcome</w:t>
            </w:r>
          </w:p>
        </w:tc>
        <w:tc>
          <w:tcPr>
            <w:tcW w:type="dxa" w:w="5587"/>
            <w:shd w:fill="17324D"/>
            <w:tcMar>
              <w:top w:w="110" w:type="dxa"/>
              <w:start w:w="130" w:type="dxa"/>
              <w:bottom w:w="110" w:type="dxa"/>
              <w:end w:w="130" w:type="dxa"/>
            </w:tcMar>
            <w:vAlign w:val="center"/>
          </w:tcPr>
          <w:p>
            <w:pPr>
              <w:jc w:val="left"/>
            </w:pPr>
            <w:r>
              <w:rPr>
                <w:b/>
                <w:color w:val="FFFFFF"/>
                <w:sz w:val="19"/>
              </w:rPr>
              <w:t>Key work</w:t>
            </w:r>
          </w:p>
        </w:tc>
      </w:tr>
      <w:tr>
        <w:tc>
          <w:tcPr>
            <w:tcW w:type="dxa" w:w="1613"/>
            <w:tcMar>
              <w:top w:w="110" w:type="dxa"/>
              <w:start w:w="130" w:type="dxa"/>
              <w:bottom w:w="110" w:type="dxa"/>
              <w:end w:w="130" w:type="dxa"/>
            </w:tcMar>
            <w:vAlign w:val="center"/>
          </w:tcPr>
          <w:p>
            <w:pPr>
              <w:spacing w:after="0"/>
            </w:pPr>
            <w:r>
              <w:rPr>
                <w:sz w:val="18"/>
              </w:rPr>
              <w:t>1 Stabilize</w:t>
            </w:r>
          </w:p>
        </w:tc>
        <w:tc>
          <w:tcPr>
            <w:tcW w:type="dxa" w:w="2376"/>
            <w:tcMar>
              <w:top w:w="110" w:type="dxa"/>
              <w:start w:w="130" w:type="dxa"/>
              <w:bottom w:w="110" w:type="dxa"/>
              <w:end w:w="130" w:type="dxa"/>
            </w:tcMar>
            <w:vAlign w:val="center"/>
          </w:tcPr>
          <w:p>
            <w:pPr>
              <w:spacing w:after="0"/>
            </w:pPr>
            <w:r>
              <w:rPr>
                <w:sz w:val="18"/>
              </w:rPr>
              <w:t>A reliable internal baseline</w:t>
            </w:r>
          </w:p>
        </w:tc>
        <w:tc>
          <w:tcPr>
            <w:tcW w:type="dxa" w:w="5587"/>
            <w:tcMar>
              <w:top w:w="110" w:type="dxa"/>
              <w:start w:w="130" w:type="dxa"/>
              <w:bottom w:w="110" w:type="dxa"/>
              <w:end w:w="130" w:type="dxa"/>
            </w:tcMar>
            <w:vAlign w:val="center"/>
          </w:tcPr>
          <w:p>
            <w:pPr>
              <w:spacing w:after="0"/>
            </w:pPr>
            <w:r>
              <w:rPr>
                <w:sz w:val="18"/>
              </w:rPr>
              <w:t>Remove unsafe value evaluation, pin dependencies, document configuration, back up SQLite and templates, and add security regression tests</w:t>
            </w:r>
          </w:p>
        </w:tc>
      </w:tr>
      <w:tr>
        <w:tc>
          <w:tcPr>
            <w:tcW w:type="dxa" w:w="1613"/>
            <w:shd w:fill="F6F9FD"/>
            <w:tcMar>
              <w:top w:w="110" w:type="dxa"/>
              <w:start w:w="130" w:type="dxa"/>
              <w:bottom w:w="110" w:type="dxa"/>
              <w:end w:w="130" w:type="dxa"/>
            </w:tcMar>
            <w:vAlign w:val="center"/>
          </w:tcPr>
          <w:p>
            <w:pPr>
              <w:spacing w:after="0"/>
            </w:pPr>
            <w:r>
              <w:rPr>
                <w:sz w:val="18"/>
              </w:rPr>
              <w:t>2 Move templates to S3</w:t>
            </w:r>
          </w:p>
        </w:tc>
        <w:tc>
          <w:tcPr>
            <w:tcW w:type="dxa" w:w="2376"/>
            <w:shd w:fill="F6F9FD"/>
            <w:tcMar>
              <w:top w:w="110" w:type="dxa"/>
              <w:start w:w="130" w:type="dxa"/>
              <w:bottom w:w="110" w:type="dxa"/>
              <w:end w:w="130" w:type="dxa"/>
            </w:tcMar>
            <w:vAlign w:val="center"/>
          </w:tcPr>
          <w:p>
            <w:pPr>
              <w:spacing w:after="0"/>
            </w:pPr>
            <w:r>
              <w:rPr>
                <w:sz w:val="18"/>
              </w:rPr>
              <w:t>Versioned centralized template storage</w:t>
            </w:r>
          </w:p>
        </w:tc>
        <w:tc>
          <w:tcPr>
            <w:tcW w:type="dxa" w:w="5587"/>
            <w:shd w:fill="F6F9FD"/>
            <w:tcMar>
              <w:top w:w="110" w:type="dxa"/>
              <w:start w:w="130" w:type="dxa"/>
              <w:bottom w:w="110" w:type="dxa"/>
              <w:end w:w="130" w:type="dxa"/>
            </w:tcMar>
            <w:vAlign w:val="center"/>
          </w:tcPr>
          <w:p>
            <w:pPr>
              <w:spacing w:after="0"/>
            </w:pPr>
            <w:r>
              <w:rPr>
                <w:sz w:val="18"/>
              </w:rPr>
              <w:t>Implement local and S3 repository adapters, validate objects, cache reads, publish versions, and store template version in history</w:t>
            </w:r>
          </w:p>
        </w:tc>
      </w:tr>
      <w:tr>
        <w:tc>
          <w:tcPr>
            <w:tcW w:type="dxa" w:w="1613"/>
            <w:tcMar>
              <w:top w:w="110" w:type="dxa"/>
              <w:start w:w="130" w:type="dxa"/>
              <w:bottom w:w="110" w:type="dxa"/>
              <w:end w:w="130" w:type="dxa"/>
            </w:tcMar>
            <w:vAlign w:val="center"/>
          </w:tcPr>
          <w:p>
            <w:pPr>
              <w:spacing w:after="0"/>
            </w:pPr>
            <w:r>
              <w:rPr>
                <w:sz w:val="18"/>
              </w:rPr>
              <w:t>3 Formalize APIs</w:t>
            </w:r>
          </w:p>
        </w:tc>
        <w:tc>
          <w:tcPr>
            <w:tcW w:type="dxa" w:w="2376"/>
            <w:tcMar>
              <w:top w:w="110" w:type="dxa"/>
              <w:start w:w="130" w:type="dxa"/>
              <w:bottom w:w="110" w:type="dxa"/>
              <w:end w:w="130" w:type="dxa"/>
            </w:tcMar>
            <w:vAlign w:val="center"/>
          </w:tcPr>
          <w:p>
            <w:pPr>
              <w:spacing w:after="0"/>
            </w:pPr>
            <w:r>
              <w:rPr>
                <w:sz w:val="18"/>
              </w:rPr>
              <w:t>Frontend-ready contracts</w:t>
            </w:r>
          </w:p>
        </w:tc>
        <w:tc>
          <w:tcPr>
            <w:tcW w:type="dxa" w:w="5587"/>
            <w:tcMar>
              <w:top w:w="110" w:type="dxa"/>
              <w:start w:w="130" w:type="dxa"/>
              <w:bottom w:w="110" w:type="dxa"/>
              <w:end w:w="130" w:type="dxa"/>
            </w:tcMar>
            <w:vAlign w:val="center"/>
          </w:tcPr>
          <w:p>
            <w:pPr>
              <w:spacing w:after="0"/>
            </w:pPr>
            <w:r>
              <w:rPr>
                <w:sz w:val="18"/>
              </w:rPr>
              <w:t>Add API versioning, OpenAPI documentation, pagination, idempotency for history, consistent errors, and stronger authentication</w:t>
            </w:r>
          </w:p>
        </w:tc>
      </w:tr>
      <w:tr>
        <w:tc>
          <w:tcPr>
            <w:tcW w:type="dxa" w:w="1613"/>
            <w:shd w:fill="F6F9FD"/>
            <w:tcMar>
              <w:top w:w="110" w:type="dxa"/>
              <w:start w:w="130" w:type="dxa"/>
              <w:bottom w:w="110" w:type="dxa"/>
              <w:end w:w="130" w:type="dxa"/>
            </w:tcMar>
            <w:vAlign w:val="center"/>
          </w:tcPr>
          <w:p>
            <w:pPr>
              <w:spacing w:after="0"/>
            </w:pPr>
            <w:r>
              <w:rPr>
                <w:sz w:val="18"/>
              </w:rPr>
              <w:t>4 Build the new frontend</w:t>
            </w:r>
          </w:p>
        </w:tc>
        <w:tc>
          <w:tcPr>
            <w:tcW w:type="dxa" w:w="2376"/>
            <w:shd w:fill="F6F9FD"/>
            <w:tcMar>
              <w:top w:w="110" w:type="dxa"/>
              <w:start w:w="130" w:type="dxa"/>
              <w:bottom w:w="110" w:type="dxa"/>
              <w:end w:w="130" w:type="dxa"/>
            </w:tcMar>
            <w:vAlign w:val="center"/>
          </w:tcPr>
          <w:p>
            <w:pPr>
              <w:spacing w:after="0"/>
            </w:pPr>
            <w:r>
              <w:rPr>
                <w:sz w:val="18"/>
              </w:rPr>
              <w:t>React-based employee workflow</w:t>
            </w:r>
          </w:p>
        </w:tc>
        <w:tc>
          <w:tcPr>
            <w:tcW w:type="dxa" w:w="5587"/>
            <w:shd w:fill="F6F9FD"/>
            <w:tcMar>
              <w:top w:w="110" w:type="dxa"/>
              <w:start w:w="130" w:type="dxa"/>
              <w:bottom w:w="110" w:type="dxa"/>
              <w:end w:w="130" w:type="dxa"/>
            </w:tcMar>
            <w:vAlign w:val="center"/>
          </w:tcPr>
          <w:p>
            <w:pPr>
              <w:spacing w:after="0"/>
            </w:pPr>
            <w:r>
              <w:rPr>
                <w:sz w:val="18"/>
              </w:rPr>
              <w:t>Implement sign-in, library, preparation, preview, Gmail insertion, completion, and history</w:t>
            </w:r>
          </w:p>
        </w:tc>
      </w:tr>
      <w:tr>
        <w:tc>
          <w:tcPr>
            <w:tcW w:type="dxa" w:w="1613"/>
            <w:tcMar>
              <w:top w:w="110" w:type="dxa"/>
              <w:start w:w="130" w:type="dxa"/>
              <w:bottom w:w="110" w:type="dxa"/>
              <w:end w:w="130" w:type="dxa"/>
            </w:tcMar>
            <w:vAlign w:val="center"/>
          </w:tcPr>
          <w:p>
            <w:pPr>
              <w:spacing w:after="0"/>
            </w:pPr>
            <w:r>
              <w:rPr>
                <w:sz w:val="18"/>
              </w:rPr>
              <w:t>5 Migrate administration</w:t>
            </w:r>
          </w:p>
        </w:tc>
        <w:tc>
          <w:tcPr>
            <w:tcW w:type="dxa" w:w="2376"/>
            <w:tcMar>
              <w:top w:w="110" w:type="dxa"/>
              <w:start w:w="130" w:type="dxa"/>
              <w:bottom w:w="110" w:type="dxa"/>
              <w:end w:w="130" w:type="dxa"/>
            </w:tcMar>
            <w:vAlign w:val="center"/>
          </w:tcPr>
          <w:p>
            <w:pPr>
              <w:spacing w:after="0"/>
            </w:pPr>
            <w:r>
              <w:rPr>
                <w:sz w:val="18"/>
              </w:rPr>
              <w:t>Complete Streamlit replacement</w:t>
            </w:r>
          </w:p>
        </w:tc>
        <w:tc>
          <w:tcPr>
            <w:tcW w:type="dxa" w:w="5587"/>
            <w:tcMar>
              <w:top w:w="110" w:type="dxa"/>
              <w:start w:w="130" w:type="dxa"/>
              <w:bottom w:w="110" w:type="dxa"/>
              <w:end w:w="130" w:type="dxa"/>
            </w:tcMar>
            <w:vAlign w:val="center"/>
          </w:tcPr>
          <w:p>
            <w:pPr>
              <w:spacing w:after="0"/>
            </w:pPr>
            <w:r>
              <w:rPr>
                <w:sz w:val="18"/>
              </w:rPr>
              <w:t>Implement user and template administration with preview, validation, publishing, and rollback</w:t>
            </w:r>
          </w:p>
        </w:tc>
      </w:tr>
      <w:tr>
        <w:tc>
          <w:tcPr>
            <w:tcW w:type="dxa" w:w="1613"/>
            <w:shd w:fill="F6F9FD"/>
            <w:tcMar>
              <w:top w:w="110" w:type="dxa"/>
              <w:start w:w="130" w:type="dxa"/>
              <w:bottom w:w="110" w:type="dxa"/>
              <w:end w:w="130" w:type="dxa"/>
            </w:tcMar>
            <w:vAlign w:val="center"/>
          </w:tcPr>
          <w:p>
            <w:pPr>
              <w:spacing w:after="0"/>
            </w:pPr>
            <w:r>
              <w:rPr>
                <w:sz w:val="18"/>
              </w:rPr>
              <w:t>6 Harden deployment</w:t>
            </w:r>
          </w:p>
        </w:tc>
        <w:tc>
          <w:tcPr>
            <w:tcW w:type="dxa" w:w="2376"/>
            <w:shd w:fill="F6F9FD"/>
            <w:tcMar>
              <w:top w:w="110" w:type="dxa"/>
              <w:start w:w="130" w:type="dxa"/>
              <w:bottom w:w="110" w:type="dxa"/>
              <w:end w:w="130" w:type="dxa"/>
            </w:tcMar>
            <w:vAlign w:val="center"/>
          </w:tcPr>
          <w:p>
            <w:pPr>
              <w:spacing w:after="0"/>
            </w:pPr>
            <w:r>
              <w:rPr>
                <w:sz w:val="18"/>
              </w:rPr>
              <w:t>Operationally maintainable service</w:t>
            </w:r>
          </w:p>
        </w:tc>
        <w:tc>
          <w:tcPr>
            <w:tcW w:type="dxa" w:w="5587"/>
            <w:shd w:fill="F6F9FD"/>
            <w:tcMar>
              <w:top w:w="110" w:type="dxa"/>
              <w:start w:w="130" w:type="dxa"/>
              <w:bottom w:w="110" w:type="dxa"/>
              <w:end w:w="130" w:type="dxa"/>
            </w:tcMar>
            <w:vAlign w:val="center"/>
          </w:tcPr>
          <w:p>
            <w:pPr>
              <w:spacing w:after="0"/>
            </w:pPr>
            <w:r>
              <w:rPr>
                <w:sz w:val="18"/>
              </w:rPr>
              <w:t>Move to PostgreSQL if required, containerize, automate tests and releases, add monitoring, and verify restore procedures</w:t>
            </w:r>
          </w:p>
        </w:tc>
      </w:tr>
      <w:tr>
        <w:tc>
          <w:tcPr>
            <w:tcW w:type="dxa" w:w="1613"/>
            <w:tcMar>
              <w:top w:w="110" w:type="dxa"/>
              <w:start w:w="130" w:type="dxa"/>
              <w:bottom w:w="110" w:type="dxa"/>
              <w:end w:w="130" w:type="dxa"/>
            </w:tcMar>
            <w:vAlign w:val="center"/>
          </w:tcPr>
          <w:p>
            <w:pPr>
              <w:spacing w:after="0"/>
            </w:pPr>
            <w:r>
              <w:rPr>
                <w:sz w:val="18"/>
              </w:rPr>
              <w:t>7 Retire Streamlit</w:t>
            </w:r>
          </w:p>
        </w:tc>
        <w:tc>
          <w:tcPr>
            <w:tcW w:type="dxa" w:w="2376"/>
            <w:tcMar>
              <w:top w:w="110" w:type="dxa"/>
              <w:start w:w="130" w:type="dxa"/>
              <w:bottom w:w="110" w:type="dxa"/>
              <w:end w:w="130" w:type="dxa"/>
            </w:tcMar>
            <w:vAlign w:val="center"/>
          </w:tcPr>
          <w:p>
            <w:pPr>
              <w:spacing w:after="0"/>
            </w:pPr>
            <w:r>
              <w:rPr>
                <w:sz w:val="18"/>
              </w:rPr>
              <w:t>Single supported interface</w:t>
            </w:r>
          </w:p>
        </w:tc>
        <w:tc>
          <w:tcPr>
            <w:tcW w:type="dxa" w:w="5587"/>
            <w:tcMar>
              <w:top w:w="110" w:type="dxa"/>
              <w:start w:w="130" w:type="dxa"/>
              <w:bottom w:w="110" w:type="dxa"/>
              <w:end w:w="130" w:type="dxa"/>
            </w:tcMar>
            <w:vAlign w:val="center"/>
          </w:tcPr>
          <w:p>
            <w:pPr>
              <w:spacing w:after="0"/>
            </w:pPr>
            <w:r>
              <w:rPr>
                <w:sz w:val="18"/>
              </w:rPr>
              <w:t>Complete user acceptance testing, migrate bookmarks and documentation, remove Streamlit code, and retain rollback for an agreed period</w:t>
            </w:r>
          </w:p>
        </w:tc>
      </w:tr>
    </w:tbl>
    <w:p>
      <w:pPr>
        <w:spacing w:after="0"/>
      </w:pPr>
    </w:p>
    <w:p>
      <w:pPr>
        <w:pStyle w:val="Heading2"/>
        <w:keepNext/>
      </w:pPr>
      <w:r>
        <w:t>Migration acceptance criteria</w:t>
      </w:r>
    </w:p>
    <w:p>
      <w:pPr>
        <w:pStyle w:val="ListBullet"/>
        <w:spacing w:after="80"/>
      </w:pPr>
      <w:r>
        <w:t>Authorized users see the same templates and cannot access unauthorized templates.</w:t>
      </w:r>
    </w:p>
    <w:p>
      <w:pPr>
        <w:pStyle w:val="ListBullet"/>
        <w:spacing w:after="80"/>
      </w:pPr>
      <w:r>
        <w:t>Rendered emails match the approved template in desktop preview and Gmail compose.</w:t>
      </w:r>
    </w:p>
    <w:p>
      <w:pPr>
        <w:pStyle w:val="ListBullet"/>
        <w:spacing w:after="80"/>
      </w:pPr>
      <w:r>
        <w:t>A successful Gmail insertion produces one history entry and resets the preparation form.</w:t>
      </w:r>
    </w:p>
    <w:p>
      <w:pPr>
        <w:pStyle w:val="ListBullet"/>
        <w:spacing w:after="80"/>
      </w:pPr>
      <w:r>
        <w:t>History never claims that Gmail sent a message unless a future verified-send integration is introduced.</w:t>
      </w:r>
    </w:p>
    <w:p>
      <w:pPr>
        <w:pStyle w:val="ListBullet"/>
        <w:spacing w:after="80"/>
      </w:pPr>
      <w:r>
        <w:t>Super Admin publishing is versioned, validated, auditable, and reversible.</w:t>
      </w:r>
    </w:p>
    <w:p>
      <w:pPr>
        <w:pStyle w:val="ListBullet"/>
        <w:spacing w:after="80"/>
      </w:pPr>
      <w:r>
        <w:t>The application has automated tests for authentication, rendering, permissions, history, S3 failures, and the extension bridge.</w:t>
      </w:r>
    </w:p>
    <w:p>
      <w:pPr>
        <w:pStyle w:val="ListBullet"/>
        <w:spacing w:after="80"/>
      </w:pPr>
      <w:r>
        <w:t>Backups and restore procedures are documented and tested before the old interface is retired.</w:t>
      </w:r>
    </w:p>
    <w:p>
      <w:pPr>
        <w:pStyle w:val="Heading2"/>
        <w:keepNext/>
      </w:pPr>
      <w:r>
        <w:t>Recommended immediate priorities</w:t>
      </w:r>
    </w:p>
    <w:p>
      <w:pPr>
        <w:pStyle w:val="ListNumber"/>
        <w:spacing w:after="100"/>
      </w:pPr>
      <w:r>
        <w:t>Keep the current internal workflow stable while correcting the editable-value rendering boundary.</w:t>
      </w:r>
    </w:p>
    <w:p>
      <w:pPr>
        <w:pStyle w:val="ListNumber"/>
        <w:spacing w:after="100"/>
      </w:pPr>
      <w:r>
        <w:t>Prepare the UAT S3 bucket details and implement the repository abstraction with local fallback.</w:t>
      </w:r>
    </w:p>
    <w:p>
      <w:pPr>
        <w:pStyle w:val="ListNumber"/>
        <w:spacing w:after="100"/>
      </w:pPr>
      <w:r>
        <w:t>Record a template version in history before multiple templates begin changing independently.</w:t>
      </w:r>
    </w:p>
    <w:p>
      <w:pPr>
        <w:pStyle w:val="ListNumber"/>
        <w:spacing w:after="100"/>
      </w:pPr>
      <w:r>
        <w:t>Document and version the current Django APIs before building the replacement frontend.</w:t>
      </w:r>
    </w:p>
    <w:p>
      <w:pPr>
        <w:pStyle w:val="ListNumber"/>
        <w:spacing w:after="100"/>
      </w:pPr>
      <w:r>
        <w:t>Begin the framework migration with the employee template and email-preparation flow, then move administrative screens.</w:t>
      </w:r>
    </w:p>
    <w:p>
      <w:pPr>
        <w:pStyle w:val="BodyText"/>
      </w:pPr>
      <w:r>
        <w:rPr>
          <w:b/>
        </w:rPr>
        <w:t xml:space="preserve">Conclusion  </w:t>
      </w:r>
      <w:r>
        <w:t>MailForge already separates core backend responsibilities from its user interface well enough to support an incremental migration. Retaining Django, introducing S3 behind a repository interface, and replacing Streamlit one workflow at a time provides the clearest path to a maintainable production application without disrupting the working Gmail integration.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7080"/>
        <w:sz w:val="17"/>
      </w:rPr>
      <w:t xml:space="preserve">MailForge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42D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MailForge Product Overview and Migration Roadmap</dc:title>
  <dc:subject>Product purpose, architecture, technology stack, and future framework migration</dc:subject>
  <dc:creator>MailForge</dc:creator>
  <cp:keywords>MailForge, product documentation, architecture, migration, Streamlit, Django, Chrome extension, S3</cp:keywords>
  <dc:description>generated by python-docx</dc:description>
  <cp:lastModifiedBy/>
  <cp:revision>1</cp:revision>
  <dcterms:created xsi:type="dcterms:W3CDTF">2013-12-23T23:15:00Z</dcterms:created>
  <dcterms:modified xsi:type="dcterms:W3CDTF">2013-12-23T23:15:00Z</dcterms:modified>
  <cp:category/>
</cp:coreProperties>
</file>