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CFO – Phase 0: Strategic Definition</w:t>
      </w:r>
    </w:p>
    <w:p>
      <w:pPr>
        <w:jc w:val="center"/>
      </w:pPr>
      <w:r>
        <w:rPr>
          <w:color w:val="666666"/>
          <w:sz w:val="20"/>
        </w:rPr>
        <w:t>Versão 3.0  |  Mentor C-Level – CFO  |  Março 2026</w:t>
      </w:r>
    </w:p>
    <w:p>
      <w:pPr>
        <w:pStyle w:val="Heading2"/>
      </w:pPr>
      <w:r>
        <w:t>1. Objetivo</w:t>
      </w:r>
    </w:p>
    <w:p>
      <w:r>
        <w:t>Definir propósito institucional, escopo e critérios de validação do MVP do CFO Mentor, alinhado ao APQC Domínio 9 (Manage Financial Resources).</w:t>
      </w:r>
    </w:p>
    <w:p>
      <w:pPr>
        <w:pStyle w:val="Heading2"/>
      </w:pPr>
      <w:r>
        <w:t>2. Escopo</w:t>
      </w:r>
    </w:p>
    <w:p>
      <w:r>
        <w:t>Camada de governança cognitiva aplicada a decisões financeiras relevantes.</w:t>
      </w:r>
    </w:p>
    <w:p>
      <w:pPr>
        <w:pStyle w:val="ListBullet"/>
      </w:pPr>
      <w:r>
        <w:t>Cobre: planejamento, reporting, treasury, estrutura de capital e risco financeiro.</w:t>
      </w:r>
    </w:p>
    <w:p>
      <w:pPr>
        <w:pStyle w:val="ListBullet"/>
      </w:pPr>
      <w:r>
        <w:t>Sem execução transacional (sem pagamentos, sem lançamentos contábeis).</w:t>
      </w:r>
    </w:p>
    <w:p>
      <w:pPr>
        <w:pStyle w:val="ListBullet"/>
      </w:pPr>
      <w:r>
        <w:t>Uso voluntário no MVP; enforcement por impacto implementado (impact_score &gt;= 4).</w:t>
      </w:r>
    </w:p>
    <w:p>
      <w:pPr>
        <w:pStyle w:val="ListBullet"/>
      </w:pPr>
      <w:r>
        <w:t>Mecanismos anti-terceirização cognitiva ativos para prevenir aceitação passiva de IA.</w:t>
      </w:r>
    </w:p>
    <w:p>
      <w:pPr>
        <w:pStyle w:val="Heading2"/>
      </w:pPr>
      <w:r>
        <w:t>3. Critérios de Sucesso</w:t>
      </w:r>
    </w:p>
    <w:p>
      <w:r>
        <w:t>Critérios quantitativos:</w:t>
      </w:r>
    </w:p>
    <w:p>
      <w:pPr>
        <w:pStyle w:val="ListBullet"/>
      </w:pPr>
      <w:r>
        <w:t>Mínimo 5 decisões financeiras históricas processadas. [ATINGIDO: 5/5]</w:t>
      </w:r>
    </w:p>
    <w:p>
      <w:pPr>
        <w:pStyle w:val="ListBullet"/>
      </w:pPr>
      <w:r>
        <w:t>100% de enforcement do protocolo nos casos simulados. [ATINGIDO: 100%]</w:t>
      </w:r>
    </w:p>
    <w:p>
      <w:pPr>
        <w:pStyle w:val="ListBullet"/>
      </w:pPr>
      <w:r>
        <w:t>Comparação estruturada entre racional original vs racional com protocolo. [ATINGIDO: 5 Comparison Reports]</w:t>
      </w:r>
    </w:p>
    <w:p>
      <w:pPr>
        <w:pStyle w:val="ListBullet"/>
      </w:pPr>
      <w:r>
        <w:t>Premissas implícitas capturadas &gt;= 10. [ATINGIDO: 16]</w:t>
      </w:r>
    </w:p>
    <w:p>
      <w:pPr>
        <w:pStyle w:val="ListBullet"/>
      </w:pPr>
      <w:r>
        <w:t>Teoria dos Jogos ativa em &gt;= 2 casos elegíveis. [ATINGIDO: 2/2]</w:t>
      </w:r>
    </w:p>
    <w:p>
      <w:r>
        <w:t>KPIs qualitativos [v2]:</w:t>
      </w:r>
    </w:p>
    <w:p>
      <w:pPr>
        <w:pStyle w:val="ListBullet"/>
      </w:pPr>
      <w:r>
        <w:t>Score de clareza da recomendação &gt;= 4/5 em todos os casos.</w:t>
      </w:r>
    </w:p>
    <w:p>
      <w:pPr>
        <w:pStyle w:val="ListBullet"/>
      </w:pPr>
      <w:r>
        <w:t>Ganho cognitivo mensurável: +3.2 premissas/caso em média.</w:t>
      </w:r>
    </w:p>
    <w:p>
      <w:pPr>
        <w:pStyle w:val="ListBullet"/>
      </w:pPr>
      <w:r>
        <w:t>Tempo de estruturação: ~5 min via protocolo vs ~2h em comitê.</w:t>
      </w:r>
    </w:p>
    <w:p>
      <w:r>
        <w:t>KPIs de inteligência decisória [v3]:</w:t>
      </w:r>
    </w:p>
    <w:p>
      <w:pPr>
        <w:pStyle w:val="ListBullet"/>
      </w:pPr>
      <w:r>
        <w:t>Acurácia média de forecast (casos closed).</w:t>
      </w:r>
    </w:p>
    <w:p>
      <w:pPr>
        <w:pStyle w:val="ListBullet"/>
      </w:pPr>
      <w:r>
        <w:t>Taxa de divergência bem-sucedida (divergence_outcome_flag).</w:t>
      </w:r>
    </w:p>
    <w:p>
      <w:pPr>
        <w:pStyle w:val="ListBullet"/>
      </w:pPr>
      <w:r>
        <w:t>Taxa de materialização de riscos (risk_realization_rate).</w:t>
      </w:r>
    </w:p>
    <w:p>
      <w:pPr>
        <w:pStyle w:val="ListBullet"/>
      </w:pPr>
      <w:r>
        <w:t>Eficiência de alocação de capital (capital_allocation_efficiency_score).</w:t>
      </w:r>
    </w:p>
    <w:p>
      <w:pPr>
        <w:pStyle w:val="Heading2"/>
      </w:pPr>
      <w:r>
        <w:t>4. Restrições Não-Funcionais</w:t>
      </w:r>
    </w:p>
    <w:p>
      <w:pPr>
        <w:pStyle w:val="ListBullet"/>
      </w:pPr>
      <w:r>
        <w:t>Latência de análise LLM: &lt;= 30s (timeout configurável).</w:t>
      </w:r>
    </w:p>
    <w:p>
      <w:pPr>
        <w:pStyle w:val="ListBullet"/>
      </w:pPr>
      <w:r>
        <w:t>Fallback determinístico obrigatório: llm_unavailable=true nunca impede transição.</w:t>
      </w:r>
    </w:p>
    <w:p>
      <w:pPr>
        <w:pStyle w:val="ListBullet"/>
      </w:pPr>
      <w:r>
        <w:t>Cache Redis 24h para respostas LLM idênticas.</w:t>
      </w:r>
    </w:p>
    <w:p>
      <w:pPr>
        <w:pStyle w:val="ListBullet"/>
      </w:pPr>
      <w:r>
        <w:t>Audit trail completo: toda ação gera AuditLog.</w:t>
      </w:r>
    </w:p>
    <w:p>
      <w:pPr>
        <w:pStyle w:val="ListBullet"/>
      </w:pPr>
      <w:r>
        <w:t>JWT sem banco de usuários (MVP): qualquer username aceito.</w:t>
      </w:r>
    </w:p>
    <w:p>
      <w:pPr>
        <w:pStyle w:val="ListBullet"/>
      </w:pPr>
      <w:r>
        <w:t>Upload de documentos: máx 10MB, tipos PDF/DOCX/TXT.</w:t>
      </w:r>
    </w:p>
    <w:p>
      <w:pPr>
        <w:pStyle w:val="Heading2"/>
      </w:pPr>
      <w:r>
        <w:t>5. Anti-Terceirização Cognitiva [v3 NOVO]</w:t>
      </w:r>
    </w:p>
    <w:p>
      <w:r>
        <w:t>Mecanismos para prevenir 'obesidade de IA' — aceitação passiva de recomendações sem reflexão:</w:t>
      </w:r>
    </w:p>
    <w:p>
      <w:pPr>
        <w:pStyle w:val="ListBullet"/>
      </w:pPr>
      <w:r>
        <w:t>P1 — Reflexão Pré-Recomendação: CFO registra hipótese (min 30 chars) ANTES de ver a recomendação da IA. Backend persiste initial_hypothesis no registro Decision.</w:t>
      </w:r>
    </w:p>
    <w:p>
      <w:pPr>
        <w:pStyle w:val="ListBullet"/>
      </w:pPr>
      <w:r>
        <w:t>P2 — Detecção de Rubber-Stamping: Frontend calcula Jaccard similarity entre decisão e recomendação. Threshold &gt; 0.70 exibe modal de confirmação.</w:t>
      </w:r>
    </w:p>
    <w:p>
      <w:pPr>
        <w:pStyle w:val="ListBullet"/>
      </w:pPr>
      <w:r>
        <w:t>P4 — Reconhecimento de Alertas: Se há alertas heurísticos de casos similares, checkbox obrigatório antes de decidir.</w:t>
      </w:r>
    </w:p>
    <w:p>
      <w:pPr>
        <w:pStyle w:val="Heading2"/>
      </w:pPr>
      <w:r>
        <w:t>6. Veredicto de Enforcement</w:t>
      </w:r>
    </w:p>
    <w:p>
      <w:r>
        <w:t>DECISÃO: GO — Mentor CFO aprovado para enforcement no protocolo decisório financeiro.</w:t>
      </w:r>
    </w:p>
    <w:p>
      <w:pPr>
        <w:pStyle w:val="ListBullet"/>
      </w:pPr>
      <w:r>
        <w:t>Enforcement imediato para decisões &gt;= R$ 2M (impact_score &gt;= 4).</w:t>
      </w:r>
    </w:p>
    <w:p>
      <w:pPr>
        <w:pStyle w:val="ListBullet"/>
      </w:pPr>
      <w:r>
        <w:t>Recomendado para decisões R$ 500k–R$ 2M (impact_score = 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