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CFO – Phase 5: MVP Simulation</w:t>
      </w:r>
    </w:p>
    <w:p>
      <w:pPr>
        <w:jc w:val="center"/>
      </w:pPr>
      <w:r>
        <w:rPr>
          <w:color w:val="666666"/>
          <w:sz w:val="20"/>
        </w:rPr>
        <w:t>Versão 3.0  |  Mentor C-Level – CFO  |  Março 2026</w:t>
      </w:r>
    </w:p>
    <w:p>
      <w:pPr>
        <w:pStyle w:val="Heading2"/>
      </w:pPr>
      <w:r>
        <w:t>1. Casos Históricos para Simulação</w:t>
      </w:r>
    </w:p>
    <w:p>
      <w:r>
        <w:t>5 casos documentados com campos completos, premissas, riscos e resultado real:</w:t>
      </w:r>
    </w:p>
    <w:p>
      <w:pPr>
        <w:pStyle w:val="ListBullet"/>
      </w:pPr>
      <w:r>
        <w:t>Caso 1 — Realocação Orçamentária Q2: COGS vs. Marketing (planning, budget_adjustment, R$ 380k, score 2)</w:t>
      </w:r>
    </w:p>
    <w:p>
      <w:pPr>
        <w:pStyle w:val="ListBullet"/>
      </w:pPr>
      <w:r>
        <w:t>Caso 2 — Renegociação de CCBs: Sindicato de Bancos R$ 52M (funding, debt_structuring, score 5, Game Theory ativo)</w:t>
      </w:r>
    </w:p>
    <w:p>
      <w:pPr>
        <w:pStyle w:val="ListBullet"/>
      </w:pPr>
      <w:r>
        <w:t>Caso 3 — Gestão de Liquidez: Gap de Caixa R$ 3,8M (treasury, liquidity_management, score 4)</w:t>
      </w:r>
    </w:p>
    <w:p>
      <w:pPr>
        <w:pStyle w:val="ListBullet"/>
      </w:pPr>
      <w:r>
        <w:t>Caso 4 — CAPEX Nova Planta Recife R$ 18M (funding, investment_evaluation, score 5, Game Theory ativo)</w:t>
      </w:r>
    </w:p>
    <w:p>
      <w:pPr>
        <w:pStyle w:val="ListBullet"/>
      </w:pPr>
      <w:r>
        <w:t>Caso 5 — Revisão Forecast Q3: Impacto Cambial (reporting, forecast_revision, R$ 1,2M, score 3)</w:t>
      </w:r>
    </w:p>
    <w:p>
      <w:pPr>
        <w:pStyle w:val="Heading2"/>
      </w:pPr>
      <w:r>
        <w:t>2. Resultado da Simulação</w:t>
      </w:r>
    </w:p>
    <w:p>
      <w:pPr>
        <w:pStyle w:val="ListBullet"/>
      </w:pPr>
      <w:r>
        <w:t>5/5 casos com análise LLM real (Claude Sonnet, 0 fallbacks).</w:t>
      </w:r>
    </w:p>
    <w:p>
      <w:pPr>
        <w:pStyle w:val="ListBullet"/>
      </w:pPr>
      <w:r>
        <w:t>100% alinhamento CFO/Mentor.</w:t>
      </w:r>
    </w:p>
    <w:p>
      <w:pPr>
        <w:pStyle w:val="ListBullet"/>
      </w:pPr>
      <w:r>
        <w:t>22 premissas declaradas + 16 premissas implícitas capturadas (42%).</w:t>
      </w:r>
    </w:p>
    <w:p>
      <w:pPr>
        <w:pStyle w:val="ListBullet"/>
      </w:pPr>
      <w:r>
        <w:t>22 riscos estruturados.</w:t>
      </w:r>
    </w:p>
    <w:p>
      <w:pPr>
        <w:pStyle w:val="ListBullet"/>
      </w:pPr>
      <w:r>
        <w:t>4/4 cenários gerados em casos com impact &gt;= 4.</w:t>
      </w:r>
    </w:p>
    <w:p>
      <w:pPr>
        <w:pStyle w:val="ListBullet"/>
      </w:pPr>
      <w:r>
        <w:t>2/2 casos elegíveis com Teoria dos Jogos ativa.</w:t>
      </w:r>
    </w:p>
    <w:p>
      <w:pPr>
        <w:pStyle w:val="ListBullet"/>
      </w:pPr>
      <w:r>
        <w:t>0 divergências registradas na simulação.</w:t>
      </w:r>
    </w:p>
    <w:p>
      <w:pPr>
        <w:pStyle w:val="Heading2"/>
      </w:pPr>
      <w:r>
        <w:t>3. Heurísticas Aprendidas</w:t>
      </w:r>
    </w:p>
    <w:p>
      <w:r>
        <w:t>3 heurísticas extraídas dos 5 casos simulados:</w:t>
      </w:r>
    </w:p>
    <w:p>
      <w:pPr>
        <w:pStyle w:val="ListBullet"/>
      </w:pPr>
      <w:r>
        <w:t>bilateral_negotiation_over_syndicate (debt_structuring + &gt;= 3 credores, confiança 0.87) — Caso 02</w:t>
      </w:r>
    </w:p>
    <w:p>
      <w:pPr>
        <w:pStyle w:val="ListBullet"/>
      </w:pPr>
      <w:r>
        <w:t>hybrid_coverage_for_short_liquidity_gaps (liquidity_management + short + R$1–10M, confiança 0.91) — Caso 03</w:t>
      </w:r>
    </w:p>
    <w:p>
      <w:pPr>
        <w:pStyle w:val="ListBullet"/>
      </w:pPr>
      <w:r>
        <w:t>pe_fund_alignment_in_coinvestment_structures (investment_evaluation + PE co-investidor, confiança 0.83) — Caso 04</w:t>
      </w:r>
    </w:p>
    <w:p>
      <w:pPr>
        <w:pStyle w:val="Heading2"/>
      </w:pPr>
      <w:r>
        <w:t>4. Ganho Cognitivo Mensurável</w:t>
      </w:r>
    </w:p>
    <w:p>
      <w:pPr>
        <w:pStyle w:val="ListBullet"/>
      </w:pPr>
      <w:r>
        <w:t>+3.2 premissas implícitas por caso em média.</w:t>
      </w:r>
    </w:p>
    <w:p>
      <w:pPr>
        <w:pStyle w:val="ListBullet"/>
      </w:pPr>
      <w:r>
        <w:t>Riscos priorizados por severidade estruturada (vs. lista plana do CFO).</w:t>
      </w:r>
    </w:p>
    <w:p>
      <w:pPr>
        <w:pStyle w:val="ListBullet"/>
      </w:pPr>
      <w:r>
        <w:t>+3 cenários formalizados por caso crítico.</w:t>
      </w:r>
    </w:p>
    <w:p>
      <w:pPr>
        <w:pStyle w:val="ListBullet"/>
      </w:pPr>
      <w:r>
        <w:t>Tempo de análise: ~5 min (protocolo) vs ~2h (comitê).</w:t>
      </w:r>
    </w:p>
    <w:p>
      <w:pPr>
        <w:pStyle w:val="ListBullet"/>
      </w:pPr>
      <w:r>
        <w:t>Trilha de auditoria completa em banco (vs. email/PowerPoint).</w:t>
      </w:r>
    </w:p>
    <w:p>
      <w:pPr>
        <w:pStyle w:val="Heading2"/>
      </w:pPr>
      <w:r>
        <w:t>5. Comparison Report Template</w:t>
      </w:r>
    </w:p>
    <w:p>
      <w:r>
        <w:t>Cada caso gera um Comparison Report com 3 seções:</w:t>
      </w:r>
    </w:p>
    <w:p>
      <w:pPr>
        <w:pStyle w:val="ListBullet"/>
      </w:pPr>
      <w:r>
        <w:t>Seção A — Racional Original: justificativa original, premissas e riscos do CFO.</w:t>
      </w:r>
    </w:p>
    <w:p>
      <w:pPr>
        <w:pStyle w:val="ListBullet"/>
      </w:pPr>
      <w:r>
        <w:t>Seção B — Racional Estruturado: framework aplicado, premissas explícitas + implícitas, riscos priorizados, cenários, recomendação.</w:t>
      </w:r>
    </w:p>
    <w:p>
      <w:pPr>
        <w:pStyle w:val="ListBullet"/>
      </w:pPr>
      <w:r>
        <w:t>Seção C — Delta de Qualidade: premissas_adicionais, riscos_adicionais, cenarios_gerados, divergencia, score_clareza_executivo.</w:t>
      </w:r>
    </w:p>
    <w:p>
      <w:pPr>
        <w:pStyle w:val="Heading2"/>
      </w:pPr>
      <w:r>
        <w:t>6. Veredicto</w:t>
      </w:r>
    </w:p>
    <w:p>
      <w:r>
        <w:t>DECISÃO: GO — Todos os 5 critérios de qualidade atendidos.</w:t>
      </w:r>
    </w:p>
    <w:p>
      <w:pPr>
        <w:pStyle w:val="ListBullet"/>
      </w:pPr>
      <w:r>
        <w:t>Enforcement imediato para exposições &gt;= R$ 2M.</w:t>
      </w:r>
    </w:p>
    <w:p>
      <w:pPr>
        <w:pStyle w:val="ListBullet"/>
      </w:pPr>
      <w:r>
        <w:t>Recomendado para exposições R$ 500k–R$ 2M.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