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CFO – Phase 0 Strategic Definition</w:t>
      </w:r>
    </w:p>
    <w:p>
      <w:pPr>
        <w:pStyle w:val="Heading2"/>
      </w:pPr>
      <w:r>
        <w:t>Objective</w:t>
      </w:r>
    </w:p>
    <w:p>
      <w:r>
        <w:t>Define institutional purpose, scope and validation criteria for the CFO Mentor MVP aligned with APQC Domain 9 (Manage Financial Resources).</w:t>
      </w:r>
    </w:p>
    <w:p>
      <w:pPr>
        <w:pStyle w:val="Heading2"/>
      </w:pPr>
      <w:r>
        <w:t>Scope Definition</w:t>
      </w:r>
    </w:p>
    <w:p>
      <w:r>
        <w:t>Cognitive governance layer applied to financial decisions.</w:t>
      </w:r>
    </w:p>
    <w:p>
      <w:r>
        <w:t>Covers planning, reporting, treasury, capital structure and financial risk.</w:t>
      </w:r>
    </w:p>
    <w:p>
      <w:r>
        <w:t>No transactional execution (no payments, no ledger postings).</w:t>
      </w:r>
    </w:p>
    <w:p>
      <w:r>
        <w:t>Voluntary usage during MVP, ready for impact-based enforcement.</w:t>
      </w:r>
    </w:p>
    <w:p>
      <w:pPr>
        <w:pStyle w:val="Heading2"/>
      </w:pPr>
      <w:r>
        <w:t>Success Criteria</w:t>
      </w:r>
    </w:p>
    <w:p>
      <w:r>
        <w:t>Minimum 5 historical financial decisions processed.</w:t>
      </w:r>
    </w:p>
    <w:p>
      <w:r>
        <w:t>100% protocol enforcement across simulated cases.</w:t>
      </w:r>
    </w:p>
    <w:p>
      <w:r>
        <w:t>Structured comparison between original vs protocol-driven reasoning.</w:t>
      </w:r>
    </w:p>
    <w:p>
      <w:pPr>
        <w:pStyle w:val="Heading2"/>
      </w:pPr>
      <w:r>
        <w:t>Non-Functional Constraints</w:t>
      </w:r>
    </w:p>
    <w:p>
      <w:r>
        <w:t>Full audit trail.</w:t>
      </w:r>
    </w:p>
    <w:p>
      <w:r>
        <w:t>Versioned financial cases.</w:t>
      </w:r>
    </w:p>
    <w:p>
      <w:r>
        <w:t>Financial data confidentiality preserved.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