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1 Conceptual Architecture</w:t>
      </w:r>
    </w:p>
    <w:p>
      <w:pPr>
        <w:pStyle w:val="Heading2"/>
      </w:pPr>
      <w:r>
        <w:t>Architecture Model</w:t>
      </w:r>
    </w:p>
    <w:p>
      <w:r>
        <w:t>Hybrid engine: deterministic financial governance rules + LLM analytical layer.</w:t>
      </w:r>
    </w:p>
    <w:p>
      <w:r>
        <w:t>Deterministic engine enforces protocol and compliance checks.</w:t>
      </w:r>
    </w:p>
    <w:p>
      <w:r>
        <w:t>LLM provides structured financial reasoning and scenario analysis.</w:t>
      </w:r>
    </w:p>
    <w:p>
      <w:pPr>
        <w:pStyle w:val="Heading2"/>
      </w:pPr>
      <w:r>
        <w:t>Core Modules</w:t>
      </w:r>
    </w:p>
    <w:p>
      <w:r>
        <w:t>FinancialDecisionCase Manager</w:t>
      </w:r>
    </w:p>
    <w:p>
      <w:r>
        <w:t>State Machine Controller</w:t>
      </w:r>
    </w:p>
    <w:p>
      <w:r>
        <w:t>Financial Framework Orchestrator (Budgeting, Scenario, Risk, Capital Allocation)</w:t>
      </w:r>
    </w:p>
    <w:p>
      <w:r>
        <w:t>Game Theory Capability (for negotiations, competitive pricing, capital market interactions)</w:t>
      </w:r>
    </w:p>
    <w:p>
      <w:r>
        <w:t>Audit &amp; Compliance Logger</w:t>
      </w:r>
    </w:p>
    <w:p>
      <w:pPr>
        <w:pStyle w:val="Heading2"/>
      </w:pPr>
      <w:r>
        <w:t>APQC Alignment</w:t>
      </w:r>
    </w:p>
    <w:p>
      <w:r>
        <w:t>9.1 Financial Planning &amp; Budgeting</w:t>
      </w:r>
    </w:p>
    <w:p>
      <w:r>
        <w:t>9.2 General Accounting &amp; Reporting</w:t>
      </w:r>
    </w:p>
    <w:p>
      <w:r>
        <w:t>9.3 Treasury Operations</w:t>
      </w:r>
    </w:p>
    <w:p>
      <w:r>
        <w:t>9.4 External Funding Management</w:t>
      </w:r>
    </w:p>
    <w:p>
      <w:r>
        <w:t>9.5 Financial Controls &amp;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