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CFO – Phase 5 MVP Simulation</w:t>
      </w:r>
    </w:p>
    <w:p>
      <w:pPr>
        <w:pStyle w:val="Heading2"/>
      </w:pPr>
      <w:r>
        <w:t>Historical Case Examples</w:t>
      </w:r>
    </w:p>
    <w:p>
      <w:r>
        <w:t>Budget reallocation decision</w:t>
      </w:r>
    </w:p>
    <w:p>
      <w:r>
        <w:t>Debt renegotiation case</w:t>
      </w:r>
    </w:p>
    <w:p>
      <w:r>
        <w:t>Liquidity management decision</w:t>
      </w:r>
    </w:p>
    <w:p>
      <w:r>
        <w:t>Capital investment approval</w:t>
      </w:r>
    </w:p>
    <w:p>
      <w:r>
        <w:t>Forecast revision under stress scenario</w:t>
      </w:r>
    </w:p>
    <w:p>
      <w:pPr>
        <w:pStyle w:val="Heading2"/>
      </w:pPr>
      <w:r>
        <w:t>Comparison Report Must Include</w:t>
      </w:r>
    </w:p>
    <w:p>
      <w:r>
        <w:t>Original financial rationale summary.</w:t>
      </w:r>
    </w:p>
    <w:p>
      <w:r>
        <w:t>Structured protocol-driven analysis.</w:t>
      </w:r>
    </w:p>
    <w:p>
      <w:r>
        <w:t>Financial risk gaps identified.</w:t>
      </w:r>
    </w:p>
    <w:p>
      <w:r>
        <w:t>Scenario sensitivity analysis delta.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