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0: Strategic Definition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Objetivo</w:t>
      </w:r>
    </w:p>
    <w:p>
      <w:r>
        <w:t>Definir propósito institucional, escopo e critérios de validação do MVP do CFO Mentor, alinhado ao APQC Domínio 9 (Manage Financial Resources).</w:t>
      </w:r>
    </w:p>
    <w:p>
      <w:pPr>
        <w:pStyle w:val="Heading2"/>
      </w:pPr>
      <w:r>
        <w:rPr>
          <w:color w:val="2E74B5"/>
        </w:rPr>
        <w:t>2. Escopo</w:t>
      </w:r>
    </w:p>
    <w:p>
      <w:pPr>
        <w:pStyle w:val="ListBullet"/>
        <w:ind w:left="360"/>
      </w:pPr>
      <w:r>
        <w:t>Camada de governança cognitiva aplicada a decisões financeiras relevantes.</w:t>
      </w:r>
    </w:p>
    <w:p>
      <w:pPr>
        <w:pStyle w:val="ListBullet"/>
        <w:ind w:left="360"/>
      </w:pPr>
      <w:r>
        <w:t>Cobre: planejamento, reporting, treasury, estrutura de capital e risco financeiro.</w:t>
      </w:r>
    </w:p>
    <w:p>
      <w:pPr>
        <w:pStyle w:val="ListBullet"/>
        <w:ind w:left="360"/>
      </w:pPr>
      <w:r>
        <w:t>Sem execução transacional (sem pagamentos, sem lançamentos contábeis).</w:t>
      </w:r>
    </w:p>
    <w:p>
      <w:pPr>
        <w:pStyle w:val="ListBullet"/>
        <w:ind w:left="360"/>
      </w:pPr>
      <w:r>
        <w:t>Uso voluntário no MVP; preparado para enforcement por impacto na próxima fase.</w:t>
      </w:r>
    </w:p>
    <w:p>
      <w:pPr>
        <w:pStyle w:val="Heading2"/>
      </w:pPr>
      <w:r>
        <w:rPr>
          <w:color w:val="2E74B5"/>
        </w:rPr>
        <w:t>3. Critérios de Sucesso</w:t>
      </w:r>
    </w:p>
    <w:p>
      <w:r>
        <w:t>Critérios quantitativos originais:</w:t>
      </w:r>
    </w:p>
    <w:p>
      <w:pPr>
        <w:pStyle w:val="ListBullet"/>
        <w:ind w:left="360"/>
      </w:pPr>
      <w:r>
        <w:t>Mínimo 5 decisões financeiras históricas processadas.</w:t>
      </w:r>
    </w:p>
    <w:p>
      <w:pPr>
        <w:pStyle w:val="ListBullet"/>
        <w:ind w:left="360"/>
      </w:pPr>
      <w:r>
        <w:t>100% de enforcement do protocolo nos casos simulados.</w:t>
      </w:r>
    </w:p>
    <w:p>
      <w:pPr>
        <w:pStyle w:val="ListBullet"/>
        <w:ind w:left="360"/>
      </w:pPr>
      <w:r>
        <w:t>Comparação estruturada entre racional original vs racional com protocolo.</w:t>
      </w:r>
    </w:p>
    <w:p>
      <w:r>
        <w:rPr>
          <w:b/>
          <w:color w:val="C05515"/>
        </w:rPr>
        <w:t>[MELHORIA v2]  KPIs qualitativos adicionados:</w:t>
      </w:r>
    </w:p>
    <w:p>
      <w:pPr>
        <w:pStyle w:val="ListBullet"/>
        <w:ind w:left="360"/>
      </w:pPr>
      <w:r>
        <w:t>≥ 60% de premissas implícitas capturadas pelo protocolo que não estavam no racional original.</w:t>
      </w:r>
    </w:p>
    <w:p>
      <w:pPr>
        <w:pStyle w:val="ListBullet"/>
        <w:ind w:left="360"/>
      </w:pPr>
      <w:r>
        <w:t>≥ 50% de riscos não identificados no racional original mas detectados pelo Mentor.</w:t>
      </w:r>
    </w:p>
    <w:p>
      <w:pPr>
        <w:pStyle w:val="ListBullet"/>
        <w:ind w:left="360"/>
      </w:pPr>
      <w:r>
        <w:t>Score de ganho de clareza ≥ 3/5 (avaliação qualitativa pelo executivo após simulação).</w:t>
      </w:r>
    </w:p>
    <w:p>
      <w:pPr>
        <w:pStyle w:val="ListBullet"/>
        <w:ind w:left="360"/>
      </w:pPr>
      <w:r>
        <w:t>Zero omissões de divergência registradas nos casos simulados.</w:t>
      </w:r>
    </w:p>
    <w:p>
      <w:pPr>
        <w:pStyle w:val="Heading2"/>
      </w:pPr>
      <w:r>
        <w:rPr>
          <w:color w:val="2E74B5"/>
        </w:rPr>
        <w:t>4. Metodologia de Medição  [NOVO v2]</w:t>
      </w:r>
    </w:p>
    <w:p>
      <w:r>
        <w:rPr>
          <w:b/>
          <w:color w:val="C05515"/>
        </w:rPr>
        <w:t>[MELHORIA v2]  Seção ausente no original. Define como os KPIs serão medidos.</w:t>
      </w:r>
    </w:p>
    <w:p>
      <w:r>
        <w:t>Para cada caso simulado:</w:t>
      </w:r>
    </w:p>
    <w:p>
      <w:pPr>
        <w:pStyle w:val="ListBullet"/>
        <w:ind w:left="360"/>
      </w:pPr>
      <w:r>
        <w:t>Coletar o racional original da decisão (email, ata, documento).</w:t>
      </w:r>
    </w:p>
    <w:p>
      <w:pPr>
        <w:pStyle w:val="ListBullet"/>
        <w:ind w:left="360"/>
      </w:pPr>
      <w:r>
        <w:t>Executar o protocolo completo pelo Mentor.</w:t>
      </w:r>
    </w:p>
    <w:p>
      <w:pPr>
        <w:pStyle w:val="ListBullet"/>
        <w:ind w:left="360"/>
      </w:pPr>
      <w:r>
        <w:t>Comparar lado a lado: premissas, riscos, métricas impactadas.</w:t>
      </w:r>
    </w:p>
    <w:p>
      <w:pPr>
        <w:pStyle w:val="ListBullet"/>
        <w:ind w:left="360"/>
      </w:pPr>
      <w:r>
        <w:t>Preencher Comparison Report (template definido na Fase 5).</w:t>
      </w:r>
    </w:p>
    <w:p>
      <w:pPr>
        <w:pStyle w:val="ListBullet"/>
        <w:ind w:left="360"/>
      </w:pPr>
      <w:r>
        <w:t>Calcular delta de premissas e riscos identificados.</w:t>
      </w:r>
    </w:p>
    <w:p>
      <w:pPr>
        <w:pStyle w:val="ListBullet"/>
        <w:ind w:left="360"/>
      </w:pPr>
      <w:r>
        <w:t>Registrar score de clareza subjetivo do executivo (1-5).</w:t>
      </w:r>
    </w:p>
    <w:p>
      <w:pPr>
        <w:pStyle w:val="Heading2"/>
      </w:pPr>
      <w:r>
        <w:rPr>
          <w:color w:val="2E74B5"/>
        </w:rPr>
        <w:t>5. Restrições Não-Funcionais</w:t>
      </w:r>
    </w:p>
    <w:p>
      <w:pPr>
        <w:pStyle w:val="ListBullet"/>
        <w:ind w:left="360"/>
      </w:pPr>
      <w:r>
        <w:t>Trilha de auditoria completa (tabelas state_transitions e audit_logs).</w:t>
      </w:r>
    </w:p>
    <w:p>
      <w:pPr>
        <w:pStyle w:val="ListBullet"/>
        <w:ind w:left="360"/>
      </w:pPr>
      <w:r>
        <w:t>Casos financeiros versionados.</w:t>
      </w:r>
    </w:p>
    <w:p>
      <w:pPr>
        <w:pStyle w:val="ListBullet"/>
        <w:ind w:left="360"/>
      </w:pPr>
      <w:r>
        <w:t>Confidencialidade dos dados financeiros preservada.</w:t>
      </w:r>
    </w:p>
    <w:p>
      <w:pPr>
        <w:pStyle w:val="ListBullet"/>
        <w:ind w:left="360"/>
      </w:pPr>
      <w:r>
        <w:t>Nenhuma integração com sistemas transacionais no MVP.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