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CFO – Phase 5: MVP Simulation</w:t>
      </w:r>
    </w:p>
    <w:p>
      <w:r>
        <w:t>Versão 2.0  |  Mentor C-Level – CFO  |  Março 2026</w:t>
      </w:r>
    </w:p>
    <w:p/>
    <w:p>
      <w:pPr>
        <w:pStyle w:val="Heading2"/>
      </w:pPr>
      <w:r>
        <w:rPr>
          <w:color w:val="2E74B5"/>
        </w:rPr>
        <w:t>1. Casos Históricos para Simulação</w:t>
      </w:r>
    </w:p>
    <w:p>
      <w:r>
        <w:rPr>
          <w:b/>
          <w:color w:val="C05515"/>
        </w:rPr>
        <w:t>[MELHORIA v2]  Casos detalhados com campos mínimos esperados.</w:t>
      </w:r>
    </w:p>
    <w:p>
      <w:r>
        <w:t>Cada caso deve ser documentado com os seguintes campos antes da simulação: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título                 : string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financial_domain       : enum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decision_type          : enum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financial_exposure     : numeric (BRL)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time_horizon           : short|medium|long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racional original      : texto livre (email, ata, PPT)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decisão tomada         : texto livre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resultado real         : texto livre (preencher pós-simulação)</w:t>
      </w:r>
    </w:p>
    <w:p/>
    <w:p/>
    <w:p>
      <w:pPr>
        <w:pStyle w:val="Heading3"/>
      </w:pPr>
      <w:r>
        <w:rPr>
          <w:color w:val="404040"/>
        </w:rPr>
        <w:t>Caso 1 – Realocação Orçamentária</w:t>
      </w:r>
    </w:p>
    <w:p>
      <w:pPr>
        <w:pStyle w:val="ListBullet"/>
        <w:ind w:left="360"/>
      </w:pPr>
      <w:r>
        <w:t>Domínio: planning  |  Tipo: budget_adjustment</w:t>
      </w:r>
    </w:p>
    <w:p>
      <w:pPr>
        <w:pStyle w:val="ListBullet"/>
        <w:ind w:left="360"/>
      </w:pPr>
      <w:r>
        <w:t>Exemplo: remanejamento de verba de capex para opex mid-year.</w:t>
      </w:r>
    </w:p>
    <w:p>
      <w:pPr>
        <w:pStyle w:val="Heading3"/>
      </w:pPr>
      <w:r>
        <w:rPr>
          <w:color w:val="404040"/>
        </w:rPr>
        <w:t>Caso 2 – Renegociação de Dívida</w:t>
      </w:r>
    </w:p>
    <w:p>
      <w:pPr>
        <w:pStyle w:val="ListBullet"/>
        <w:ind w:left="360"/>
      </w:pPr>
      <w:r>
        <w:t>Domínio: funding  |  Tipo: debt_structuring</w:t>
      </w:r>
    </w:p>
    <w:p>
      <w:pPr>
        <w:pStyle w:val="ListBullet"/>
        <w:ind w:left="360"/>
      </w:pPr>
      <w:r>
        <w:t>External agents present: true → Game Theory ativada.</w:t>
      </w:r>
    </w:p>
    <w:p>
      <w:pPr>
        <w:pStyle w:val="Heading3"/>
      </w:pPr>
      <w:r>
        <w:rPr>
          <w:color w:val="404040"/>
        </w:rPr>
        <w:t>Caso 3 – Gestão de Liquidez</w:t>
      </w:r>
    </w:p>
    <w:p>
      <w:pPr>
        <w:pStyle w:val="ListBullet"/>
        <w:ind w:left="360"/>
      </w:pPr>
      <w:r>
        <w:t>Domínio: treasury  |  Tipo: liquidity_management</w:t>
      </w:r>
    </w:p>
    <w:p>
      <w:pPr>
        <w:pStyle w:val="ListBullet"/>
        <w:ind w:left="360"/>
      </w:pPr>
      <w:r>
        <w:t>Exemplo: decisão de aplicar caixa excedente vs manter reserva.</w:t>
      </w:r>
    </w:p>
    <w:p>
      <w:pPr>
        <w:pStyle w:val="Heading3"/>
      </w:pPr>
      <w:r>
        <w:rPr>
          <w:color w:val="404040"/>
        </w:rPr>
        <w:t>Caso 4 – Aprovação de Investimento</w:t>
      </w:r>
    </w:p>
    <w:p>
      <w:pPr>
        <w:pStyle w:val="ListBullet"/>
        <w:ind w:left="360"/>
      </w:pPr>
      <w:r>
        <w:t>Domínio: funding  |  Tipo: investment_evaluation</w:t>
      </w:r>
    </w:p>
    <w:p>
      <w:pPr>
        <w:pStyle w:val="ListBullet"/>
        <w:ind w:left="360"/>
      </w:pPr>
      <w:r>
        <w:t>impact_score esperado: 4 ou 5 → scenario_required = true.</w:t>
      </w:r>
    </w:p>
    <w:p>
      <w:pPr>
        <w:pStyle w:val="Heading3"/>
      </w:pPr>
      <w:r>
        <w:rPr>
          <w:color w:val="404040"/>
        </w:rPr>
        <w:t>Caso 5 – Revisão de Forecast sob Stress</w:t>
      </w:r>
    </w:p>
    <w:p>
      <w:pPr>
        <w:pStyle w:val="ListBullet"/>
        <w:ind w:left="360"/>
      </w:pPr>
      <w:r>
        <w:t>Domínio: reporting  |  Tipo: forecast_revision</w:t>
      </w:r>
    </w:p>
    <w:p>
      <w:pPr>
        <w:pStyle w:val="ListBullet"/>
        <w:ind w:left="360"/>
      </w:pPr>
      <w:r>
        <w:t>Exemplo: revisão de forecast diante de cenário macro adverso.</w:t>
      </w:r>
    </w:p>
    <w:p>
      <w:pPr>
        <w:pStyle w:val="Heading2"/>
      </w:pPr>
      <w:r>
        <w:rPr>
          <w:color w:val="2E74B5"/>
        </w:rPr>
        <w:t>2. Template do Comparison Report  [NOVO v2]</w:t>
      </w:r>
    </w:p>
    <w:p>
      <w:r>
        <w:rPr>
          <w:b/>
          <w:color w:val="C05515"/>
        </w:rPr>
        <w:t>[MELHORIA v2]  Template ausente no original.</w:t>
      </w:r>
    </w:p>
    <w:p>
      <w:r>
        <w:t>Para cada caso simulado, o Comparison Report deve conter:</w:t>
      </w:r>
    </w:p>
    <w:p>
      <w:pPr>
        <w:pStyle w:val="Heading3"/>
      </w:pPr>
      <w:r>
        <w:rPr>
          <w:color w:val="404040"/>
        </w:rPr>
        <w:t>Seção A – Racional Original</w:t>
      </w:r>
    </w:p>
    <w:p>
      <w:pPr>
        <w:pStyle w:val="ListBullet"/>
        <w:ind w:left="360"/>
      </w:pPr>
      <w:r>
        <w:t>Resumo da justificativa original (máx. 200 palavras).</w:t>
      </w:r>
    </w:p>
    <w:p>
      <w:pPr>
        <w:pStyle w:val="ListBullet"/>
        <w:ind w:left="360"/>
      </w:pPr>
      <w:r>
        <w:t>Premissas identificadas no racional original.</w:t>
      </w:r>
    </w:p>
    <w:p>
      <w:pPr>
        <w:pStyle w:val="ListBullet"/>
        <w:ind w:left="360"/>
      </w:pPr>
      <w:r>
        <w:t>Riscos mencionados no racional original.</w:t>
      </w:r>
    </w:p>
    <w:p>
      <w:pPr>
        <w:pStyle w:val="Heading3"/>
      </w:pPr>
      <w:r>
        <w:rPr>
          <w:color w:val="404040"/>
        </w:rPr>
        <w:t>Seção B – Racional Estruturado pelo Mentor</w:t>
      </w:r>
    </w:p>
    <w:p>
      <w:pPr>
        <w:pStyle w:val="ListBullet"/>
        <w:ind w:left="360"/>
      </w:pPr>
      <w:r>
        <w:t>Framework aplicado.</w:t>
      </w:r>
    </w:p>
    <w:p>
      <w:pPr>
        <w:pStyle w:val="ListBullet"/>
        <w:ind w:left="360"/>
      </w:pPr>
      <w:r>
        <w:t>Premissas explicitadas pelo Mentor (incluindo implícitas capturadas).</w:t>
      </w:r>
    </w:p>
    <w:p>
      <w:pPr>
        <w:pStyle w:val="ListBullet"/>
        <w:ind w:left="360"/>
      </w:pPr>
      <w:r>
        <w:t>Riscos identificados pelo Mentor.</w:t>
      </w:r>
    </w:p>
    <w:p>
      <w:pPr>
        <w:pStyle w:val="ListBullet"/>
        <w:ind w:left="360"/>
      </w:pPr>
      <w:r>
        <w:t>Análise de cenários (se applicable).</w:t>
      </w:r>
    </w:p>
    <w:p>
      <w:pPr>
        <w:pStyle w:val="ListBullet"/>
        <w:ind w:left="360"/>
      </w:pPr>
      <w:r>
        <w:t>Recomendação estruturada.</w:t>
      </w:r>
    </w:p>
    <w:p>
      <w:pPr>
        <w:pStyle w:val="Heading3"/>
      </w:pPr>
      <w:r>
        <w:rPr>
          <w:color w:val="404040"/>
        </w:rPr>
        <w:t>Seção C – Delta de Qualidade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premissas_adicionais     : int (Mentor - Original)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riscos_adicionais        : int (Mentor - Original)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cenarios_gerados         : int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divergencia_registrada   : boolean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score_clareza_executivo  : 1-5 (avaliação subjetiva)</w:t>
      </w:r>
    </w:p>
    <w:p/>
    <w:p>
      <w:pPr>
        <w:pStyle w:val="Heading3"/>
      </w:pPr>
      <w:r>
        <w:rPr>
          <w:color w:val="404040"/>
        </w:rPr>
        <w:t>Seção D – Resultado Real (preencher 90d após decisão)</w:t>
      </w:r>
    </w:p>
    <w:p>
      <w:pPr>
        <w:pStyle w:val="ListBullet"/>
        <w:ind w:left="360"/>
      </w:pPr>
      <w:r>
        <w:t>O que aconteceu vs o que foi projetado.</w:t>
      </w:r>
    </w:p>
    <w:p>
      <w:pPr>
        <w:pStyle w:val="ListBullet"/>
        <w:ind w:left="360"/>
      </w:pPr>
      <w:r>
        <w:t>Riscos que se materializaram.</w:t>
      </w:r>
    </w:p>
    <w:p>
      <w:pPr>
        <w:pStyle w:val="ListBullet"/>
        <w:ind w:left="360"/>
      </w:pPr>
      <w:r>
        <w:t>Forecast accuracy score.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