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Blueprint do Produto e Arquitetura v1.3_CODEX</w:t>
      </w:r>
    </w:p>
    <w:p>
      <w:pPr>
        <w:spacing w:after="120"/>
      </w:pPr>
      <w:r>
        <w:t xml:space="preserve">Versão: 1.4 (reconciliada) | Data: março/2026 | Status: Aprovado — itens de backlog resolvidos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FF3CD" w:val="clear"/>
        <w:spacing w:after="300" w:before="300"/>
        <w:ind w:left="431" w:right="431"/>
      </w:pPr>
      <w:r>
        <w:rPr>
          <w:b/>
          <w:bCs/>
          <w:sz w:val="24"/>
          <w:szCs w:val="24"/>
        </w:rPr>
        <w:t xml:space="preserve">NOTA DE ATUALIZAÇÃO — DIVERGÊNCIAS CÓDIGO × SPEC</w:t>
      </w:r>
      <w:r>
        <w:t xml:space="preserve">
</w:t>
      </w:r>
      <w:r>
        <w:t xml:space="preserve">
• Backlog imediato: todos os 6 itens P0-P6 resolvidos via prompts P01-P11 (março/2026)</w:t>
      </w:r>
      <w:r>
        <w:t xml:space="preserve">
• Roadmap: Fase 1 (0-30 dias) CONCLUÍDA; Fase 2 (31-60 dias) PARCIAL; Fase 3 (61-90 dias) PARCIAL</w:t>
      </w:r>
      <w:r>
        <w:t xml:space="preserve">
• Deployment: infraestrutura (CI/CD, Sentry, Grafana, BullMQ/Redis) ainda não configurada</w:t>
      </w:r>
    </w:p>
    <w:p>
      <w:pPr>
        <w:pStyle w:val="Heading2"/>
        <w:spacing w:after="150" w:before="300"/>
      </w:pPr>
      <w:r>
        <w:t xml:space="preserve">1. Objetivo</w:t>
      </w:r>
    </w:p>
    <w:p>
      <w:pPr>
        <w:spacing w:after="120"/>
      </w:pPr>
      <w:r>
        <w:t xml:space="preserve">Consolidar a especificação funcional e técnica do FCA-MTR em contrato operacional sem ambiguidade, com critérios de aceite, governança, observabilidade e controles de risco para LIGHT e FULL.</w:t>
      </w:r>
    </w:p>
    <w:p>
      <w:pPr>
        <w:pStyle w:val="Heading2"/>
        <w:spacing w:after="150" w:before="300"/>
      </w:pPr>
      <w:r>
        <w:t xml:space="preserve">2. Backlog imediato — status atualizado (março/2026)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Status (original)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Status (atual)</w:t>
            </w:r>
          </w:p>
        </w:tc>
      </w:tr>
      <w:tr>
        <w:tc>
          <w:tcPr>
            <w:tcW w:type="dxa" w:w="2250"/>
          </w:tcPr>
          <w:p>
            <w:r>
              <w:t xml:space="preserve">1</w:t>
            </w:r>
          </w:p>
        </w:tc>
        <w:tc>
          <w:tcPr>
            <w:tcW w:type="dxa" w:w="2250"/>
          </w:tcPr>
          <w:p>
            <w:r>
              <w:t xml:space="preserve">Eliminar 500 conhecidos → erro contratual com código estável</w:t>
            </w:r>
          </w:p>
        </w:tc>
        <w:tc>
          <w:tcPr>
            <w:tcW w:type="dxa" w:w="2250"/>
          </w:tcPr>
          <w:p>
            <w:r>
              <w:t xml:space="preserve">Pendente</w:t>
            </w:r>
          </w:p>
        </w:tc>
        <w:tc>
          <w:tcPr>
            <w:tcW w:type="dxa" w:w="2250"/>
          </w:tcPr>
          <w:p>
            <w:r>
              <w:t xml:space="preserve">✅ RESOLVIDO (P03/P04)</w:t>
            </w:r>
          </w:p>
        </w:tc>
      </w:tr>
      <w:tr>
        <w:tc>
          <w:tcPr>
            <w:tcW w:type="dxa" w:w="2250"/>
          </w:tcPr>
          <w:p>
            <w:r>
              <w:t xml:space="preserve">2</w:t>
            </w:r>
          </w:p>
        </w:tc>
        <w:tc>
          <w:tcPr>
            <w:tcW w:type="dxa" w:w="2250"/>
          </w:tcPr>
          <w:p>
            <w:r>
              <w:t xml:space="preserve">Garantir current(for_wizard=1) cria DRAFT após CLOSED</w:t>
            </w:r>
          </w:p>
        </w:tc>
        <w:tc>
          <w:tcPr>
            <w:tcW w:type="dxa" w:w="2250"/>
          </w:tcPr>
          <w:p>
            <w:r>
              <w:t xml:space="preserve">Pendente</w:t>
            </w:r>
          </w:p>
        </w:tc>
        <w:tc>
          <w:tcPr>
            <w:tcW w:type="dxa" w:w="2250"/>
          </w:tcPr>
          <w:p>
            <w:r>
              <w:t xml:space="preserve">✅ RESOLVIDO</w:t>
            </w:r>
          </w:p>
        </w:tc>
      </w:tr>
      <w:tr>
        <w:tc>
          <w:tcPr>
            <w:tcW w:type="dxa" w:w="2250"/>
          </w:tcPr>
          <w:p>
            <w:r>
              <w:t xml:space="preserve">3</w:t>
            </w:r>
          </w:p>
        </w:tc>
        <w:tc>
          <w:tcPr>
            <w:tcW w:type="dxa" w:w="2250"/>
          </w:tcPr>
          <w:p>
            <w:r>
              <w:t xml:space="preserve">Garantir ativação de teste FULL sem falso 403</w:t>
            </w:r>
          </w:p>
        </w:tc>
        <w:tc>
          <w:tcPr>
            <w:tcW w:type="dxa" w:w="2250"/>
          </w:tcPr>
          <w:p>
            <w:r>
              <w:t xml:space="preserve">Pendente</w:t>
            </w:r>
          </w:p>
        </w:tc>
        <w:tc>
          <w:tcPr>
            <w:tcW w:type="dxa" w:w="2250"/>
          </w:tcPr>
          <w:p>
            <w:r>
              <w:t xml:space="preserve">✅ RESOLVIDO (requireFullEntitlement)</w:t>
            </w:r>
          </w:p>
        </w:tc>
      </w:tr>
      <w:tr>
        <w:tc>
          <w:tcPr>
            <w:tcW w:type="dxa" w:w="2250"/>
          </w:tcPr>
          <w:p>
            <w:r>
              <w:t xml:space="preserve">4</w:t>
            </w:r>
          </w:p>
        </w:tc>
        <w:tc>
          <w:tcPr>
            <w:tcW w:type="dxa" w:w="2250"/>
          </w:tcPr>
          <w:p>
            <w:r>
              <w:t xml:space="preserve">Permitir último bloco com 1-2 ações sem quebra de contrato</w:t>
            </w:r>
          </w:p>
        </w:tc>
        <w:tc>
          <w:tcPr>
            <w:tcW w:type="dxa" w:w="2250"/>
          </w:tcPr>
          <w:p>
            <w:r>
              <w:t xml:space="preserve">Pendente</w:t>
            </w:r>
          </w:p>
        </w:tc>
        <w:tc>
          <w:tcPr>
            <w:tcW w:type="dxa" w:w="2250"/>
          </w:tcPr>
          <w:p>
            <w:r>
              <w:t xml:space="preserve">✅ RESOLVIDO (P01 — Math.min(3,remaining))</w:t>
            </w:r>
          </w:p>
        </w:tc>
      </w:tr>
      <w:tr>
        <w:tc>
          <w:tcPr>
            <w:tcW w:type="dxa" w:w="2250"/>
          </w:tcPr>
          <w:p>
            <w:r>
              <w:t xml:space="preserve">5</w:t>
            </w:r>
          </w:p>
        </w:tc>
        <w:tc>
          <w:tcPr>
            <w:tcW w:type="dxa" w:w="2250"/>
          </w:tcPr>
          <w:p>
            <w:r>
              <w:t xml:space="preserve">Garantir leitura pós-ciclo para USER e CONSULTOR por permissão</w:t>
            </w:r>
          </w:p>
        </w:tc>
        <w:tc>
          <w:tcPr>
            <w:tcW w:type="dxa" w:w="2250"/>
          </w:tcPr>
          <w:p>
            <w:r>
              <w:t xml:space="preserve">Pendente</w:t>
            </w:r>
          </w:p>
        </w:tc>
        <w:tc>
          <w:tcPr>
            <w:tcW w:type="dxa" w:w="2250"/>
          </w:tcPr>
          <w:p>
            <w:r>
              <w:t xml:space="preserve">✅ RESOLVIDO (P05 + guards)</w:t>
            </w:r>
          </w:p>
        </w:tc>
      </w:tr>
      <w:tr>
        <w:tc>
          <w:tcPr>
            <w:tcW w:type="dxa" w:w="2250"/>
          </w:tcPr>
          <w:p>
            <w:r>
              <w:t xml:space="preserve">6</w:t>
            </w:r>
          </w:p>
        </w:tc>
        <w:tc>
          <w:tcPr>
            <w:tcW w:type="dxa" w:w="2250"/>
          </w:tcPr>
          <w:p>
            <w:r>
              <w:t xml:space="preserve">Fechar segregação portal/rotas do consultor</w:t>
            </w:r>
          </w:p>
        </w:tc>
        <w:tc>
          <w:tcPr>
            <w:tcW w:type="dxa" w:w="2250"/>
          </w:tcPr>
          <w:p>
            <w:r>
              <w:t xml:space="preserve">Pendente</w:t>
            </w:r>
          </w:p>
        </w:tc>
        <w:tc>
          <w:tcPr>
            <w:tcW w:type="dxa" w:w="2250"/>
          </w:tcPr>
          <w:p>
            <w:r>
              <w:t xml:space="preserve">✅ RESOLVIDO (P05 + requireConsultorOrAdmin)</w:t>
            </w:r>
          </w:p>
        </w:tc>
      </w:tr>
    </w:tbl>
    <w:p>
      <w:pPr>
        <w:pStyle w:val="Heading2"/>
        <w:spacing w:after="150" w:before="300"/>
      </w:pPr>
      <w:r>
        <w:t xml:space="preserve">3. Roadmap 90 dias — status atualizado</w:t>
      </w:r>
    </w:p>
    <w:p>
      <w:pPr>
        <w:pStyle w:val="Heading3"/>
        <w:spacing w:after="100" w:before="200"/>
      </w:pPr>
      <w:r>
        <w:t xml:space="preserve">Fase 1 (0-30 dias): FULL hardening + contratos de erro + testes de regressão</w:t>
      </w:r>
    </w:p>
    <w:p>
      <w:pPr>
        <w:spacing w:after="100"/>
        <w:ind w:left="431"/>
      </w:pPr>
      <w:r>
        <w:rPr>
          <w:color w:val="27AE60"/>
        </w:rPr>
        <w:t xml:space="preserve">✅ FULL hardening: P01-P11 aplicados (score, evidência, LGPD, versioning, audit, PDF, subscriptions, encerramento)</w:t>
      </w:r>
    </w:p>
    <w:p>
      <w:pPr>
        <w:spacing w:after="100"/>
        <w:ind w:left="431"/>
      </w:pPr>
      <w:r>
        <w:rPr>
          <w:color w:val="27AE60"/>
        </w:rPr>
        <w:t xml:space="preserve">✅ Contratos de erro: 13+ códigos implementados</w:t>
      </w:r>
    </w:p>
    <w:p>
      <w:pPr>
        <w:spacing w:after="100"/>
        <w:ind w:left="431"/>
      </w:pPr>
      <w:r>
        <w:rPr>
          <w:color w:val="27AE60"/>
        </w:rPr>
        <w:t xml:space="preserve">✅ Testes de regressão: 17 arquivos de teste (negativeContracts, auditLog, fullEvidenceStatus, etc.)</w:t>
      </w:r>
    </w:p>
    <w:p>
      <w:pPr>
        <w:pStyle w:val="Heading3"/>
        <w:spacing w:after="100" w:before="200"/>
      </w:pPr>
      <w:r>
        <w:t xml:space="preserve">Fase 2 (31-60 dias): Segregação consultor + help_request com SLA</w:t>
      </w:r>
    </w:p>
    <w:p>
      <w:pPr>
        <w:spacing w:after="100"/>
        <w:ind w:left="431"/>
      </w:pPr>
      <w:r>
        <w:rPr>
          <w:color w:val="27AE60"/>
        </w:rPr>
        <w:t xml:space="preserve">✅ Segregação consultor: /consultor/* implementado com requireConsultorOrAdmin</w:t>
      </w:r>
    </w:p>
    <w:p>
      <w:pPr>
        <w:spacing w:after="100"/>
        <w:ind w:left="431"/>
      </w:pPr>
      <w:r>
        <w:rPr>
          <w:color w:val="27AE60"/>
        </w:rPr>
        <w:t xml:space="preserve">✅ Help requests: migration 022 + rotas implementadas</w:t>
      </w:r>
    </w:p>
    <w:p>
      <w:pPr>
        <w:spacing w:after="100"/>
        <w:ind w:left="431"/>
      </w:pPr>
      <w:r>
        <w:rPr>
          <w:color w:val="C0392B"/>
        </w:rPr>
        <w:t xml:space="preserve">❌ SLA de resposta (48h) com notificações de email</w:t>
      </w:r>
    </w:p>
    <w:p>
      <w:pPr>
        <w:spacing w:after="100"/>
        <w:ind w:left="431"/>
      </w:pPr>
      <w:r>
        <w:rPr>
          <w:color w:val="C0392B"/>
        </w:rPr>
        <w:t xml:space="preserve">❌ Integração Resend para emails transacionais</w:t>
      </w:r>
    </w:p>
    <w:p>
      <w:pPr>
        <w:pStyle w:val="Heading3"/>
        <w:spacing w:after="100" w:before="200"/>
      </w:pPr>
      <w:r>
        <w:t xml:space="preserve">Fase 3 (61-90 dias): Cause Engine MVP estabilizado + métricas ROI</w:t>
      </w:r>
    </w:p>
    <w:p>
      <w:pPr>
        <w:spacing w:after="100"/>
        <w:ind w:left="431"/>
      </w:pPr>
      <w:r>
        <w:rPr>
          <w:color w:val="27AE60"/>
        </w:rPr>
        <w:t xml:space="preserve">✅ Cause Engine MVP: migrations 023-024, lógica de classificação implementada</w:t>
      </w:r>
    </w:p>
    <w:p>
      <w:pPr>
        <w:spacing w:after="100"/>
        <w:ind w:left="431"/>
      </w:pPr>
      <w:r>
        <w:rPr>
          <w:color w:val="27AE60"/>
        </w:rPr>
        <w:t xml:space="preserve">✅ 6 classes de causa implementadas (GOVERNANCE, RITUAL, DATA, ACCOUNTABILITY, CAPABILITY, INCENTIVES)</w:t>
      </w:r>
    </w:p>
    <w:p>
      <w:pPr>
        <w:spacing w:after="100"/>
        <w:ind w:left="431"/>
      </w:pPr>
      <w:r>
        <w:rPr>
          <w:color w:val="E67E22"/>
        </w:rPr>
        <w:t xml:space="preserve">⏳ Métricas ROI: logEvent() implementado para 5 eventos; dashboards Sentry/Grafana não configurados</w:t>
      </w:r>
    </w:p>
    <w:p>
      <w:pPr>
        <w:spacing w:after="100"/>
        <w:ind w:left="431"/>
      </w:pPr>
      <w:r>
        <w:rPr>
          <w:color w:val="C0392B"/>
        </w:rPr>
        <w:t xml:space="preserve">❌ taxa_ciclos_com_ganho, tempo_submit_para_plano — KPIs não instrumentados como métricas</w:t>
      </w:r>
    </w:p>
    <w:p>
      <w:pPr>
        <w:pStyle w:val="Heading2"/>
        <w:spacing w:after="150" w:before="300"/>
      </w:pPr>
      <w:r>
        <w:t xml:space="preserve">4. Princípios não-negociáveis — todos mantidos</w:t>
      </w:r>
    </w:p>
    <w:p>
      <w:pPr>
        <w:spacing w:after="100"/>
        <w:ind w:left="431"/>
      </w:pPr>
      <w:r>
        <w:rPr>
          <w:color w:val="27AE60"/>
        </w:rPr>
        <w:t xml:space="preserve">✅ Determinismo: lógica de negócio no backend</w:t>
      </w:r>
    </w:p>
    <w:p>
      <w:pPr>
        <w:spacing w:after="100"/>
        <w:ind w:left="431"/>
      </w:pPr>
      <w:r>
        <w:rPr>
          <w:color w:val="27AE60"/>
        </w:rPr>
        <w:t xml:space="preserve">✅ DB-first: banco como fonte de verdade</w:t>
      </w:r>
    </w:p>
    <w:p>
      <w:pPr>
        <w:spacing w:after="100"/>
        <w:ind w:left="431"/>
      </w:pPr>
      <w:r>
        <w:rPr>
          <w:color w:val="27AE60"/>
        </w:rPr>
        <w:t xml:space="preserve">✅ Evidence write-once: 409 EVIDENCE_WRITE_ONCE implementado</w:t>
      </w:r>
    </w:p>
    <w:p>
      <w:pPr>
        <w:spacing w:after="100"/>
        <w:ind w:left="431"/>
      </w:pPr>
      <w:r>
        <w:rPr>
          <w:color w:val="27AE60"/>
        </w:rPr>
        <w:t xml:space="preserve">✅ Fail-closed: ausência de permissão → bloqueia com erro contratual</w:t>
      </w:r>
    </w:p>
    <w:p>
      <w:pPr>
        <w:spacing w:after="100"/>
        <w:ind w:left="431"/>
      </w:pPr>
      <w:r>
        <w:rPr>
          <w:color w:val="27AE60"/>
        </w:rPr>
        <w:t xml:space="preserve">✅ Catálogo canônico versionado: catalog.v1.json sob controle de versão</w:t>
      </w:r>
    </w:p>
    <w:p>
      <w:pPr>
        <w:spacing w:after="100"/>
        <w:ind w:left="431"/>
      </w:pPr>
      <w:r>
        <w:rPr>
          <w:color w:val="27AE60"/>
        </w:rPr>
        <w:t xml:space="preserve">✅ Auditabilidade end-to-end: logEvent() com actor_id, company_id, assessment_id, timestamp</w:t>
      </w:r>
    </w:p>
    <w:p>
      <w:pPr>
        <w:pStyle w:val="Heading2"/>
        <w:spacing w:after="150" w:before="300"/>
      </w:pPr>
      <w:r>
        <w:t xml:space="preserve">5. Profiles e segregação — implementados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Profile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Escopo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t xml:space="preserve">USER</w:t>
            </w:r>
          </w:p>
        </w:tc>
        <w:tc>
          <w:tcPr>
            <w:tcW w:type="dxa" w:w="3000"/>
          </w:tcPr>
          <w:p>
            <w:r>
              <w:t xml:space="preserve">Empresa própria apenas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CONSULTOR</w:t>
            </w:r>
          </w:p>
        </w:tc>
        <w:tc>
          <w:tcPr>
            <w:tcW w:type="dxa" w:w="3000"/>
          </w:tcPr>
          <w:p>
            <w:r>
              <w:t xml:space="preserve">Empresas autorizadas (read-only)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ADMIN</w:t>
            </w:r>
          </w:p>
        </w:tc>
        <w:tc>
          <w:tcPr>
            <w:tcW w:type="dxa" w:w="3000"/>
          </w:tcPr>
          <w:p>
            <w:r>
              <w:t xml:space="preserve">Acesso total + modo de teste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t xml:space="preserve">6. Entitlements — implementados</w:t>
      </w:r>
    </w:p>
    <w:p>
      <w:pPr>
        <w:spacing w:after="100"/>
        <w:ind w:left="431"/>
      </w:pPr>
      <w:r>
        <w:rPr>
          <w:color w:val="27AE60"/>
        </w:rPr>
        <w:t xml:space="preserve">✅ requireFullEntitlement middleware: FULL_TEST_MODE → whitelist → DB entitlement</w:t>
      </w:r>
    </w:p>
    <w:p>
      <w:pPr>
        <w:spacing w:after="100"/>
        <w:ind w:left="431"/>
      </w:pPr>
      <w:r>
        <w:rPr>
          <w:color w:val="27AE60"/>
        </w:rPr>
        <w:t xml:space="preserve">✅ Fail-closed por padrão</w:t>
      </w:r>
    </w:p>
    <w:p>
      <w:pPr>
        <w:spacing w:after="100"/>
        <w:ind w:left="431"/>
      </w:pPr>
      <w:r>
        <w:rPr>
          <w:color w:val="27AE60"/>
        </w:rPr>
        <w:t xml:space="preserve">✅ POST /entitlements/full/activate_test (apenas ADMIN)</w:t>
      </w:r>
    </w:p>
    <w:p>
      <w:pPr>
        <w:spacing w:after="100"/>
        <w:ind w:left="431"/>
      </w:pPr>
      <w:r>
        <w:rPr>
          <w:color w:val="E67E22"/>
        </w:rPr>
        <w:t xml:space="preserve">⏳ Entitlement por plano PRO/CONSULTORIA via subscription.status — dependente de gateway</w:t>
      </w:r>
    </w:p>
    <w:p>
      <w:pPr>
        <w:pStyle w:val="Heading2"/>
        <w:spacing w:after="150" w:before="300"/>
      </w:pPr>
      <w:r>
        <w:t xml:space="preserve">7. Segurança e compliance — status</w:t>
      </w:r>
    </w:p>
    <w:p>
      <w:pPr>
        <w:spacing w:after="100"/>
        <w:ind w:left="431"/>
      </w:pPr>
      <w:r>
        <w:rPr>
          <w:color w:val="27AE60"/>
        </w:rPr>
        <w:t xml:space="preserve">✅ PII masking em logs (sem dados sensíveis em meta do audit_log)</w:t>
      </w:r>
    </w:p>
    <w:p>
      <w:pPr>
        <w:spacing w:after="100"/>
        <w:ind w:left="431"/>
      </w:pPr>
      <w:r>
        <w:rPr>
          <w:color w:val="27AE60"/>
        </w:rPr>
        <w:t xml:space="preserve">✅ company_id segregation em todas as queries de negócio</w:t>
      </w:r>
    </w:p>
    <w:p>
      <w:pPr>
        <w:spacing w:after="100"/>
        <w:ind w:left="431"/>
      </w:pPr>
      <w:r>
        <w:rPr>
          <w:color w:val="27AE60"/>
        </w:rPr>
        <w:t xml:space="preserve">✅ LGPD consent: migration 036 + lgpd_accepted_at + checkbox no onboarding</w:t>
      </w:r>
    </w:p>
    <w:p>
      <w:pPr>
        <w:spacing w:after="100"/>
        <w:ind w:left="431"/>
      </w:pPr>
      <w:r>
        <w:rPr>
          <w:color w:val="E67E22"/>
        </w:rPr>
        <w:t xml:space="preserve">⏳ trace_id em todos os erros e audits: parcialmente implementado</w:t>
      </w:r>
    </w:p>
    <w:p>
      <w:pPr>
        <w:spacing w:after="100"/>
        <w:ind w:left="431"/>
      </w:pPr>
      <w:r>
        <w:rPr>
          <w:color w:val="C0392B"/>
        </w:rPr>
        <w:t xml:space="preserve">❌ Vault para secrets/tokens (usando env vars)</w:t>
      </w:r>
    </w:p>
    <w:p>
      <w:pPr>
        <w:pStyle w:val="Heading2"/>
        <w:spacing w:after="150" w:before="300"/>
      </w:pPr>
      <w:r>
        <w:t xml:space="preserve">8. Observabilidade — status</w:t>
      </w:r>
    </w:p>
    <w:p>
      <w:pPr>
        <w:spacing w:after="100"/>
        <w:ind w:left="431"/>
      </w:pPr>
      <w:r>
        <w:rPr>
          <w:color w:val="27AE60"/>
        </w:rPr>
        <w:t xml:space="preserve">✅ 5 eventos auditados: cause_classified, plan_created, evidence_recorded, gain_declared, report_generated</w:t>
      </w:r>
    </w:p>
    <w:p>
      <w:pPr>
        <w:spacing w:after="100"/>
        <w:ind w:left="431"/>
      </w:pPr>
      <w:r>
        <w:rPr>
          <w:color w:val="27AE60"/>
        </w:rPr>
        <w:t xml:space="preserve">✅ logEvent() fire-and-forget com try/catch isolado</w:t>
      </w:r>
    </w:p>
    <w:p>
      <w:pPr>
        <w:spacing w:after="100"/>
        <w:ind w:left="431"/>
      </w:pPr>
      <w:r>
        <w:rPr>
          <w:color w:val="C0392B"/>
        </w:rPr>
        <w:t xml:space="preserve">❌ Sentry (error tracking) — não integrado</w:t>
      </w:r>
    </w:p>
    <w:p>
      <w:pPr>
        <w:spacing w:after="100"/>
        <w:ind w:left="431"/>
      </w:pPr>
      <w:r>
        <w:rPr>
          <w:color w:val="C0392B"/>
        </w:rPr>
        <w:t xml:space="preserve">❌ Grafana (metrics dashboards) — não configurado</w:t>
      </w:r>
    </w:p>
    <w:p>
      <w:pPr>
        <w:spacing w:after="100"/>
        <w:ind w:left="431"/>
      </w:pPr>
      <w:r>
        <w:rPr>
          <w:color w:val="C0392B"/>
        </w:rPr>
        <w:t xml:space="preserve">❌ SLA alerts (p95 latência, taxa_erro_500)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2026-03-03T00:13:27.641Z</dcterms:created>
  <dcterms:modified xsi:type="dcterms:W3CDTF">2026-03-03T00:13:27.641Z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