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Fase 7 — Relatórios</w:t>
      </w:r>
    </w:p>
    <w:p>
      <w:pPr>
        <w:spacing w:after="120"/>
      </w:pPr>
      <w:r>
        <w:t xml:space="preserve">Versão: 2.1 (reconciliada) | Data: março/2026 | Status: Em Progresso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FFF3CD" w:val="clear"/>
        <w:spacing w:after="300" w:before="300"/>
        <w:ind w:left="431" w:right="431"/>
      </w:pPr>
      <w:r>
        <w:rPr>
          <w:b/>
          <w:bCs/>
          <w:sz w:val="24"/>
          <w:szCs w:val="24"/>
        </w:rPr>
        <w:t xml:space="preserve">NOTA DE ATUALIZAÇÃO — DIVERGÊNCIAS CÓDIGO × SPEC</w:t>
      </w:r>
      <w:r>
        <w:t xml:space="preserve">
</w:t>
      </w:r>
      <w:r>
        <w:t xml:space="preserve">
• Biblioteca: PDFKit implementado (NÃO Puppeteer — Puppeteer movido para alternativa futura)</w:t>
      </w:r>
      <w:r>
        <w:t xml:space="preserve">
• Geração assíncrona: endpoint POST /full/reports/generate existe; BullMQ/Redis não confirmados</w:t>
      </w:r>
      <w:r>
        <w:t xml:space="preserve">
• Versionamento: assessment_version (migration 037) ✅; coexiste com full_version (migration 027) — duplicidade a resolver</w:t>
      </w:r>
      <w:r>
        <w:t xml:space="preserve">
• Critérios de aceite: 5 de 7 implementados; 2 pendentes de verificação</w:t>
      </w:r>
    </w:p>
    <w:p>
      <w:pPr>
        <w:pStyle w:val="Heading2"/>
        <w:spacing w:after="150" w:before="300"/>
      </w:pPr>
      <w:r>
        <w:t xml:space="preserve">1. Escopo implementado</w:t>
      </w:r>
    </w:p>
    <w:p>
      <w:pPr>
        <w:spacing w:after="100"/>
        <w:ind w:left="431"/>
      </w:pPr>
      <w:r>
        <w:rPr>
          <w:color w:val="27AE60"/>
        </w:rPr>
        <w:t xml:space="preserve">✅ Geração de PDF FULL (download) com diagnóstico, recomendações e plano</w:t>
      </w:r>
    </w:p>
    <w:p>
      <w:pPr>
        <w:spacing w:after="100"/>
        <w:ind w:left="431"/>
      </w:pPr>
      <w:r>
        <w:rPr>
          <w:color w:val="27AE60"/>
        </w:rPr>
        <w:t xml:space="preserve">✅ Versionamento de diagnóstico FULL por empresa (assessment_version)</w:t>
      </w:r>
    </w:p>
    <w:p>
      <w:pPr>
        <w:spacing w:after="100"/>
        <w:ind w:left="431"/>
      </w:pPr>
      <w:r>
        <w:rPr>
          <w:color w:val="27AE60"/>
        </w:rPr>
        <w:t xml:space="preserve">✅ Tela /full/historico — download de relatório + histórico de versões</w:t>
      </w:r>
    </w:p>
    <w:p>
      <w:pPr>
        <w:spacing w:after="100"/>
        <w:ind w:left="431"/>
      </w:pPr>
      <w:r>
        <w:rPr>
          <w:color w:val="27AE60"/>
        </w:rPr>
        <w:t xml:space="preserve">✅ Tela /full/relatorio — visualizador de relatório</w:t>
      </w:r>
    </w:p>
    <w:p>
      <w:pPr>
        <w:spacing w:after="100"/>
        <w:ind w:left="431"/>
      </w:pPr>
      <w:r>
        <w:rPr>
          <w:color w:val="27AE60"/>
        </w:rPr>
        <w:t xml:space="preserve">✅ Controles de acesso: USER, CONSULTOR, ADMIN</w:t>
      </w:r>
    </w:p>
    <w:p>
      <w:pPr>
        <w:spacing w:after="100"/>
        <w:ind w:left="431"/>
      </w:pPr>
      <w:r>
        <w:rPr>
          <w:color w:val="27AE60"/>
        </w:rPr>
        <w:t xml:space="preserve">✅ DB como fonte de verdade — sem dependência de storage para texto</w:t>
      </w:r>
    </w:p>
    <w:p>
      <w:pPr>
        <w:spacing w:after="100"/>
        <w:ind w:left="431"/>
      </w:pPr>
      <w:r>
        <w:rPr>
          <w:color w:val="E67E22"/>
        </w:rPr>
        <w:t xml:space="preserve">⏳ Geração assíncrona via fila (POST /full/reports/generate) — endpoint existe; queue backend a verificar</w:t>
      </w:r>
    </w:p>
    <w:p>
      <w:pPr>
        <w:spacing w:after="100"/>
        <w:ind w:left="431"/>
      </w:pPr>
      <w:r>
        <w:rPr>
          <w:color w:val="C0392B"/>
        </w:rPr>
        <w:t xml:space="preserve">❌ Envio automático por email</w:t>
      </w:r>
    </w:p>
    <w:p>
      <w:pPr>
        <w:spacing w:after="100"/>
        <w:ind w:left="431"/>
      </w:pPr>
      <w:r>
        <w:rPr>
          <w:color w:val="C0392B"/>
        </w:rPr>
        <w:t xml:space="preserve">❌ Assinatura digital / timestamp qualificado</w:t>
      </w:r>
    </w:p>
    <w:p>
      <w:pPr>
        <w:pStyle w:val="Heading2"/>
        <w:spacing w:after="150" w:before="300"/>
      </w:pPr>
      <w:r>
        <w:t xml:space="preserve">2. Biblioteca de geração — decisão implementada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Biblioteca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Especificado (v2.0)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Status real</w:t>
            </w:r>
          </w:p>
        </w:tc>
      </w:tr>
      <w:tr>
        <w:tc>
          <w:tcPr>
            <w:tcW w:type="dxa" w:w="3000"/>
          </w:tcPr>
          <w:p>
            <w:r>
              <w:t xml:space="preserve">Puppeteer (HTML→PDF)</w:t>
            </w:r>
          </w:p>
        </w:tc>
        <w:tc>
          <w:tcPr>
            <w:tcW w:type="dxa" w:w="3000"/>
          </w:tcPr>
          <w:p>
            <w:r>
              <w:t xml:space="preserve">1ª opção</w:t>
            </w:r>
          </w:p>
        </w:tc>
        <w:tc>
          <w:tcPr>
            <w:tcW w:type="dxa" w:w="3000"/>
          </w:tcPr>
          <w:p>
            <w:r>
              <w:t xml:space="preserve">❌ Não utilizado — overhead de runtime</w:t>
            </w:r>
          </w:p>
        </w:tc>
      </w:tr>
      <w:tr>
        <w:tc>
          <w:tcPr>
            <w:tcW w:type="dxa" w:w="3000"/>
          </w:tcPr>
          <w:p>
            <w:r>
              <w:t xml:space="preserve">PDFKit</w:t>
            </w:r>
          </w:p>
        </w:tc>
        <w:tc>
          <w:tcPr>
            <w:tcW w:type="dxa" w:w="3000"/>
          </w:tcPr>
          <w:p>
            <w:r>
              <w:t xml:space="preserve">Alternativa</w:t>
            </w:r>
          </w:p>
        </w:tc>
        <w:tc>
          <w:tcPr>
            <w:tcW w:type="dxa" w:w="3000"/>
          </w:tcPr>
          <w:p>
            <w:r>
              <w:t xml:space="preserve">✅ IMPLEMENTADO (pdfkit ^0.17.2)</w:t>
            </w:r>
          </w:p>
        </w:tc>
      </w:tr>
      <w:tr>
        <w:tc>
          <w:tcPr>
            <w:tcW w:type="dxa" w:w="3000"/>
          </w:tcPr>
          <w:p>
            <w:r>
              <w:t xml:space="preserve">jsPDF</w:t>
            </w:r>
          </w:p>
        </w:tc>
        <w:tc>
          <w:tcPr>
            <w:tcW w:type="dxa" w:w="3000"/>
          </w:tcPr>
          <w:p>
            <w:r>
              <w:t xml:space="preserve">Não recomendado</w:t>
            </w:r>
          </w:p>
        </w:tc>
        <w:tc>
          <w:tcPr>
            <w:tcW w:type="dxa" w:w="3000"/>
          </w:tcPr>
          <w:p>
            <w:r>
              <w:t xml:space="preserve">❌ Não utilizado</w:t>
            </w:r>
          </w:p>
        </w:tc>
      </w:tr>
    </w:tbl>
    <w:p>
      <w:pPr>
        <w:spacing w:after="120"/>
      </w:pPr>
      <w:r>
        <w:t xml:space="preserve">PDFKit foi escolhido por menor overhead e geração programática. O output é funcional mas sem o layout visual complexo que Puppeteer permitiria. Puppeteer permanece como opção para iteração futura caso o layout do PDF precise ser mais rico.</w:t>
      </w:r>
    </w:p>
    <w:p>
      <w:pPr>
        <w:pStyle w:val="Heading2"/>
        <w:spacing w:after="150" w:before="300"/>
      </w:pPr>
      <w:r>
        <w:t xml:space="preserve">3. Arquitetura de geração</w:t>
      </w:r>
    </w:p>
    <w:p>
      <w:pPr>
        <w:pStyle w:val="Heading3"/>
        <w:spacing w:after="100" w:before="200"/>
      </w:pPr>
      <w:r>
        <w:t xml:space="preserve">3.1 Fluxo síncrono (implementado)</w:t>
      </w:r>
    </w:p>
    <w:p>
      <w:pPr>
        <w:spacing w:after="100"/>
        <w:ind w:left="431"/>
      </w:pPr>
      <w:r>
        <w:rPr>
          <w:color w:val="27AE60"/>
        </w:rPr>
        <w:t xml:space="preserve">✅ GET /full/reports/:assessment_id.pdf → backend gera → retorna PDF inline (Content-Type: application/pdf)</w:t>
      </w:r>
    </w:p>
    <w:p>
      <w:pPr>
        <w:spacing w:after="100"/>
        <w:ind w:left="431"/>
      </w:pPr>
      <w:r>
        <w:rPr>
          <w:color w:val="27AE60"/>
        </w:rPr>
        <w:t xml:space="preserve">✅ Implementado em apps/api/src/lib/fullReportPdf.js (158 linhas, PDFKit)</w:t>
      </w:r>
    </w:p>
    <w:p>
      <w:pPr>
        <w:spacing w:after="100"/>
        <w:ind w:left="431"/>
      </w:pPr>
      <w:r>
        <w:rPr>
          <w:color w:val="27AE60"/>
        </w:rPr>
        <w:t xml:space="preserve">✅ Dados: full_process_scores + full_findings + full_selected_actions + full_action_evidence</w:t>
      </w:r>
    </w:p>
    <w:p>
      <w:pPr>
        <w:pStyle w:val="Heading3"/>
        <w:spacing w:after="100" w:before="200"/>
      </w:pPr>
      <w:r>
        <w:t xml:space="preserve">3.2 Fluxo assíncrono (parcial)</w:t>
      </w:r>
    </w:p>
    <w:p>
      <w:pPr>
        <w:spacing w:after="100"/>
        <w:ind w:left="431"/>
      </w:pPr>
      <w:r>
        <w:rPr>
          <w:color w:val="E67E22"/>
        </w:rPr>
        <w:t xml:space="preserve">⏳ POST /full/reports/generate — endpoint existe em routes/full.js</w:t>
      </w:r>
    </w:p>
    <w:p>
      <w:pPr>
        <w:spacing w:after="100"/>
        <w:ind w:left="431"/>
      </w:pPr>
      <w:r>
        <w:rPr>
          <w:color w:val="E67E22"/>
        </w:rPr>
        <w:t xml:space="preserve">⏳ BullMQ + Redis: não confirmado — verificar se há worker real ou apenas stub</w:t>
      </w:r>
    </w:p>
    <w:p>
      <w:pPr>
        <w:spacing w:after="100"/>
        <w:ind w:left="431"/>
      </w:pPr>
      <w:r>
        <w:rPr>
          <w:color w:val="E67E22"/>
        </w:rPr>
        <w:t xml:space="preserve">⏳ GET /full/reports/jobs/:job_id — status do job</w:t>
      </w:r>
    </w:p>
    <w:p>
      <w:pPr>
        <w:spacing w:after="100"/>
        <w:ind w:left="431"/>
      </w:pPr>
      <w:r>
        <w:rPr>
          <w:color w:val="E67E22"/>
        </w:rPr>
        <w:t xml:space="preserve">⏳ Polling frontend a cada 3s por até 60s</w:t>
      </w:r>
    </w:p>
    <w:p>
      <w:pPr>
        <w:pStyle w:val="Heading2"/>
        <w:spacing w:after="150" w:before="300"/>
      </w:pPr>
      <w:r>
        <w:t xml:space="preserve">4. Controle de acesso e elegibilidade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Condição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Implementado?</w:t>
            </w:r>
          </w:p>
        </w:tc>
      </w:tr>
      <w:tr>
        <w:tc>
          <w:tcPr>
            <w:tcW w:type="dxa" w:w="3000"/>
          </w:tcPr>
          <w:p>
            <w:r>
              <w:t xml:space="preserve">assessment.status = DRAFT</w:t>
            </w:r>
          </w:p>
        </w:tc>
        <w:tc>
          <w:tcPr>
            <w:tcW w:type="dxa" w:w="3000"/>
          </w:tcPr>
          <w:p>
            <w:r>
              <w:t xml:space="preserve">400 DIAG_NOT_READY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assessment.status = SUBMITTED ou CLOSED</w:t>
            </w:r>
          </w:p>
        </w:tc>
        <w:tc>
          <w:tcPr>
            <w:tcW w:type="dxa" w:w="3000"/>
          </w:tcPr>
          <w:p>
            <w:r>
              <w:t xml:space="preserve">200 — PDF gerado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USER sem vínculo com company</w:t>
            </w:r>
          </w:p>
        </w:tc>
        <w:tc>
          <w:tcPr>
            <w:tcW w:type="dxa" w:w="3000"/>
          </w:tcPr>
          <w:p>
            <w:r>
              <w:t xml:space="preserve">403 FORBIDDEN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CONSULTOR vinculado à empresa</w:t>
            </w:r>
          </w:p>
        </w:tc>
        <w:tc>
          <w:tcPr>
            <w:tcW w:type="dxa" w:w="3000"/>
          </w:tcPr>
          <w:p>
            <w:r>
              <w:t xml:space="preserve">200 + audit event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ADMIN</w:t>
            </w:r>
          </w:p>
        </w:tc>
        <w:tc>
          <w:tcPr>
            <w:tcW w:type="dxa" w:w="3000"/>
          </w:tcPr>
          <w:p>
            <w:r>
              <w:t xml:space="preserve">200 — acesso total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t xml:space="preserve">5. Conteúdo obrigatório do relatório — status</w:t>
      </w:r>
    </w:p>
    <w:p>
      <w:pPr>
        <w:spacing w:after="100"/>
        <w:ind w:left="431"/>
      </w:pPr>
      <w:r>
        <w:rPr>
          <w:color w:val="27AE60"/>
        </w:rPr>
        <w:t xml:space="preserve">✅ Capa: company, data, versão do diagnóstico, responsável</w:t>
      </w:r>
    </w:p>
    <w:p>
      <w:pPr>
        <w:spacing w:after="100"/>
        <w:ind w:left="431"/>
      </w:pPr>
      <w:r>
        <w:rPr>
          <w:color w:val="27AE60"/>
        </w:rPr>
        <w:t xml:space="preserve">✅ Diagnóstico por processo: perguntas + respostas + score calculado</w:t>
      </w:r>
    </w:p>
    <w:p>
      <w:pPr>
        <w:spacing w:after="100"/>
        <w:ind w:left="431"/>
      </w:pPr>
      <w:r>
        <w:rPr>
          <w:color w:val="27AE60"/>
        </w:rPr>
        <w:t xml:space="preserve">✅ Recomendações e plano de 30 dias: ações selecionadas + DoD</w:t>
      </w:r>
    </w:p>
    <w:p>
      <w:pPr>
        <w:spacing w:after="100"/>
        <w:ind w:left="431"/>
      </w:pPr>
      <w:r>
        <w:rPr>
          <w:color w:val="27AE60"/>
        </w:rPr>
        <w:t xml:space="preserve">✅ Execução, evidência e resultados: status de cada ação + evidência write-once</w:t>
      </w:r>
    </w:p>
    <w:p>
      <w:pPr>
        <w:spacing w:after="100"/>
        <w:ind w:left="431"/>
      </w:pPr>
      <w:r>
        <w:rPr>
          <w:color w:val="E67E22"/>
        </w:rPr>
        <w:t xml:space="preserve">⏳ Causas e mecanismos (quando Cause Engine ativo): a verificar geração condicional</w:t>
      </w:r>
    </w:p>
    <w:p>
      <w:pPr>
        <w:spacing w:after="100"/>
        <w:ind w:left="431"/>
      </w:pPr>
      <w:r>
        <w:rPr>
          <w:color w:val="E67E22"/>
        </w:rPr>
        <w:t xml:space="preserve">⏳ Rodapé de governança: company_id, assessment_id, versão do catálogo — a verificar</w:t>
      </w:r>
    </w:p>
    <w:p>
      <w:pPr>
        <w:spacing w:after="100"/>
        <w:ind w:left="431"/>
      </w:pPr>
      <w:r>
        <w:rPr>
          <w:color w:val="27AE60"/>
        </w:rPr>
        <w:t xml:space="preserve">✅ Evento de auditoria report_generated após geração</w:t>
      </w:r>
    </w:p>
    <w:p>
      <w:pPr>
        <w:pStyle w:val="Heading2"/>
        <w:spacing w:after="150" w:before="300"/>
      </w:pPr>
      <w:r>
        <w:t xml:space="preserve">6. Versionamento de diagnóstico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Detalhe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t xml:space="preserve">Versão = 1</w:t>
            </w:r>
          </w:p>
        </w:tc>
        <w:tc>
          <w:tcPr>
            <w:tcW w:type="dxa" w:w="3000"/>
          </w:tcPr>
          <w:p>
            <w:r>
              <w:t xml:space="preserve">Primeiro FULL SUBMITTED da empresa</w:t>
            </w:r>
          </w:p>
        </w:tc>
        <w:tc>
          <w:tcPr>
            <w:tcW w:type="dxa" w:w="3000"/>
          </w:tcPr>
          <w:p>
            <w:r>
              <w:t xml:space="preserve">✅ assessment_version DEFAULT 1</w:t>
            </w:r>
          </w:p>
        </w:tc>
      </w:tr>
      <w:tr>
        <w:tc>
          <w:tcPr>
            <w:tcW w:type="dxa" w:w="3000"/>
          </w:tcPr>
          <w:p>
            <w:r>
              <w:t xml:space="preserve">Versão N+1</w:t>
            </w:r>
          </w:p>
        </w:tc>
        <w:tc>
          <w:tcPr>
            <w:tcW w:type="dxa" w:w="3000"/>
          </w:tcPr>
          <w:p>
            <w:r>
              <w:t xml:space="preserve">Nova execução FULL → versão incrementada no SUBMIT</w:t>
            </w:r>
          </w:p>
        </w:tc>
        <w:tc>
          <w:tcPr>
            <w:tcW w:type="dxa" w:w="3000"/>
          </w:tcPr>
          <w:p>
            <w:r>
              <w:t xml:space="preserve">✅ migration 037</w:t>
            </w:r>
          </w:p>
        </w:tc>
      </w:tr>
      <w:tr>
        <w:tc>
          <w:tcPr>
            <w:tcW w:type="dxa" w:w="3000"/>
          </w:tcPr>
          <w:p>
            <w:r>
              <w:t xml:space="preserve">Histórico imutável</w:t>
            </w:r>
          </w:p>
        </w:tc>
        <w:tc>
          <w:tcPr>
            <w:tcW w:type="dxa" w:w="3000"/>
          </w:tcPr>
          <w:p>
            <w:r>
              <w:t xml:space="preserve">Versões anteriores (SUBMITTED/CLOSED) não sobrescritas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Duplicidade full_version / assessment_version</w:t>
            </w:r>
          </w:p>
        </w:tc>
        <w:tc>
          <w:tcPr>
            <w:tcW w:type="dxa" w:w="3000"/>
          </w:tcPr>
          <w:p>
            <w:r>
              <w:t xml:space="preserve">migration 027 (full_version) + migration 037 (assessment_version)</w:t>
            </w:r>
          </w:p>
        </w:tc>
        <w:tc>
          <w:tcPr>
            <w:tcW w:type="dxa" w:w="3000"/>
          </w:tcPr>
          <w:p>
            <w:r>
              <w:t xml:space="preserve">⚠ A resolver: escolher campo canônico</w:t>
            </w:r>
          </w:p>
        </w:tc>
      </w:tr>
    </w:tbl>
    <w:p>
      <w:pPr>
        <w:spacing w:after="120"/>
        <w:ind w:left="431"/>
      </w:pPr>
      <w:r>
        <w:rPr>
          <w:b/>
          <w:bCs/>
          <w:color w:val="C0392B"/>
        </w:rPr>
        <w:t xml:space="preserve">⚠ Duplicidade: full_version (migration 027) e assessment_version (migration 037) têm a mesma semântica. Recomenda-se deprecar assessment_version e usar full_version como canônico, ou o inverso — decisão pendente.</w:t>
      </w:r>
    </w:p>
    <w:p>
      <w:pPr>
        <w:pStyle w:val="Heading2"/>
        <w:spacing w:after="150" w:before="300"/>
      </w:pPr>
      <w:r>
        <w:t xml:space="preserve">7. Critérios de aceite — status por critério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Critério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t xml:space="preserve">1</w:t>
            </w:r>
          </w:p>
        </w:tc>
        <w:tc>
          <w:tcPr>
            <w:tcW w:type="dxa" w:w="3000"/>
          </w:tcPr>
          <w:p>
            <w:r>
              <w:t xml:space="preserve">Assessment SUBMITTED → PDF válido com cover + diagnóstico + IDs de rastreamento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2</w:t>
            </w:r>
          </w:p>
        </w:tc>
        <w:tc>
          <w:tcPr>
            <w:tcW w:type="dxa" w:w="3000"/>
          </w:tcPr>
          <w:p>
            <w:r>
              <w:t xml:space="preserve">Assessment DRAFT → 400 DIAG_NOT_READY com mensagem de orientação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3</w:t>
            </w:r>
          </w:p>
        </w:tc>
        <w:tc>
          <w:tcPr>
            <w:tcW w:type="dxa" w:w="3000"/>
          </w:tcPr>
          <w:p>
            <w:r>
              <w:t xml:space="preserve">Todas as ações concluídas → mensagem de encerramento + CTA novo diagnóstico</w:t>
            </w:r>
          </w:p>
        </w:tc>
        <w:tc>
          <w:tcPr>
            <w:tcW w:type="dxa" w:w="3000"/>
          </w:tcPr>
          <w:p>
            <w:r>
              <w:t xml:space="preserve">✅ (/full/encerramento)</w:t>
            </w:r>
          </w:p>
        </w:tc>
      </w:tr>
      <w:tr>
        <w:tc>
          <w:tcPr>
            <w:tcW w:type="dxa" w:w="3000"/>
          </w:tcPr>
          <w:p>
            <w:r>
              <w:t xml:space="preserve">4</w:t>
            </w:r>
          </w:p>
        </w:tc>
        <w:tc>
          <w:tcPr>
            <w:tcW w:type="dxa" w:w="3000"/>
          </w:tcPr>
          <w:p>
            <w:r>
              <w:t xml:space="preserve">Novo diagnóstico após encerramento → versão N+1 em DRAFT; versão N preservada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5</w:t>
            </w:r>
          </w:p>
        </w:tc>
        <w:tc>
          <w:tcPr>
            <w:tcW w:type="dxa" w:w="3000"/>
          </w:tcPr>
          <w:p>
            <w:r>
              <w:t xml:space="preserve">USER sem vínculo com company → 403 FORBIDDEN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6</w:t>
            </w:r>
          </w:p>
        </w:tc>
        <w:tc>
          <w:tcPr>
            <w:tcW w:type="dxa" w:w="3000"/>
          </w:tcPr>
          <w:p>
            <w:r>
              <w:t xml:space="preserve">CONSULTOR vinculado → 200 PDF + audit event registrado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7</w:t>
            </w:r>
          </w:p>
        </w:tc>
        <w:tc>
          <w:tcPr>
            <w:tcW w:type="dxa" w:w="3000"/>
          </w:tcPr>
          <w:p>
            <w:r>
              <w:t xml:space="preserve">Relatório solicitado 2× sem mudança de dados → mesmo conteúdo (idempotência)</w:t>
            </w:r>
          </w:p>
        </w:tc>
        <w:tc>
          <w:tcPr>
            <w:tcW w:type="dxa" w:w="3000"/>
          </w:tcPr>
          <w:p>
            <w:r>
              <w:t xml:space="preserve">⏳ a verificar</w:t>
            </w:r>
          </w:p>
        </w:tc>
      </w:tr>
    </w:tbl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2026-03-03T00:13:27.638Z</dcterms:created>
  <dcterms:modified xsi:type="dcterms:W3CDTF">2026-03-03T00:13:27.638Z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