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5648" w14:textId="77777777" w:rsidR="00FA7FF9" w:rsidRPr="00252327" w:rsidRDefault="00000000">
      <w:pPr>
        <w:pStyle w:val="Ttulo1"/>
        <w:rPr>
          <w:lang w:val="pt-BR"/>
        </w:rPr>
      </w:pPr>
      <w:r w:rsidRPr="00252327">
        <w:rPr>
          <w:lang w:val="pt-BR"/>
        </w:rPr>
        <w:t>FASE 1 — MODELAGEM DE NEGÓCIO (SEM TECNOLOGIA)</w:t>
      </w:r>
    </w:p>
    <w:p w14:paraId="54BCF1BB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FASE 1 — MODELAGEM DE NEGÓCIO (SEM TECNOLOGIA)</w:t>
      </w:r>
    </w:p>
    <w:p w14:paraId="6F926A26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Objetivo</w:t>
      </w:r>
    </w:p>
    <w:p w14:paraId="5EFF1E2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Traduzir a lógica da consultoria FCA em um modelo conceitual executável, padronizado e repetível, independente de tecnologia, servindo como base única para qualquer implementação futura.</w:t>
      </w:r>
    </w:p>
    <w:p w14:paraId="7C33A83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 Mapa de Processos do Usuário</w:t>
      </w:r>
    </w:p>
    <w:p w14:paraId="64C9F43D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1.1 Onboarding</w:t>
      </w:r>
    </w:p>
    <w:p w14:paraId="32ABBE53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 inicial de enquadramento do usuário. Objetivo exclusivo: contextualizar a empresa antes do diagnóstico. Coleta mínima: segmento de atuação, porte, papel do respondente e nível de maturidade percebido. Não há diagnóstico nem recomendações nesta fase.</w:t>
      </w:r>
    </w:p>
    <w:p w14:paraId="01B13ACA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1.2 Diagnóstico</w:t>
      </w:r>
    </w:p>
    <w:p w14:paraId="0729198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Aplicação estruturada de perguntas por área de gestão. O usuário responde com base na realidade atual da empresa. As perguntas são objetivas, observáveis e não interpretativas.</w:t>
      </w:r>
    </w:p>
    <w:p w14:paraId="4EC5D23F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1.3 Score</w:t>
      </w:r>
    </w:p>
    <w:p w14:paraId="161FA92D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Conversão das respostas do diagnóstico em pontuação normalizada. O score reflete o nível de maturidade por área e geral. Não há ajuste manual nem relativização contextual.</w:t>
      </w:r>
    </w:p>
    <w:p w14:paraId="57A9D5E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1.4 Recomendações</w:t>
      </w:r>
    </w:p>
    <w:p w14:paraId="2980AFE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Geração automática de recomendações com base no score. Cada recomendação está vinculada diretamente a lacunas detectadas. Não há recomendações genéricas nem fora do escopo do diagnóstico.</w:t>
      </w:r>
    </w:p>
    <w:p w14:paraId="48E808DB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1.5 Ações</w:t>
      </w:r>
    </w:p>
    <w:p w14:paraId="08A8834B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O usuário deve selecionar exatamente três ações prioritárias. As ações são padronizadas, com objetivo claro, esforço delimitado e impacto esperado. Não é permitido criar ações livres no MVP.</w:t>
      </w:r>
    </w:p>
    <w:p w14:paraId="43C17D88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1.6 Evidências</w:t>
      </w:r>
    </w:p>
    <w:p w14:paraId="70F9A777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Registro simples de evidências de execução das ações. Pode incluir marcação de status, observações textuais ou anexos. O objetivo é disciplina, não auditoria.</w:t>
      </w:r>
    </w:p>
    <w:p w14:paraId="349A710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1.7 Reavaliação</w:t>
      </w:r>
    </w:p>
    <w:p w14:paraId="23EDCEB7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Novo diagnóstico após o ciclo de ações. Permite comparar evolução, estagnação ou regressão da maturidade. Fecha um ciclo completo do método.</w:t>
      </w:r>
    </w:p>
    <w:p w14:paraId="7520016B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2. Estrutura do Diagnóstico</w:t>
      </w:r>
    </w:p>
    <w:p w14:paraId="67E355E3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2.1 Segmentos</w:t>
      </w:r>
    </w:p>
    <w:p w14:paraId="1762D496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lastRenderedPageBreak/>
        <w:t>O diagnóstico se adapta ao segmento principal da empresa:</w:t>
      </w:r>
      <w:r w:rsidRPr="00252327">
        <w:rPr>
          <w:lang w:val="pt-BR"/>
        </w:rPr>
        <w:br/>
        <w:t xml:space="preserve">• Comércio – C </w:t>
      </w:r>
      <w:r w:rsidRPr="00252327">
        <w:rPr>
          <w:lang w:val="pt-BR"/>
        </w:rPr>
        <w:br/>
        <w:t xml:space="preserve">• Indústria – I </w:t>
      </w:r>
      <w:r w:rsidRPr="00252327">
        <w:rPr>
          <w:lang w:val="pt-BR"/>
        </w:rPr>
        <w:br/>
        <w:t xml:space="preserve">• Serviços – S </w:t>
      </w:r>
      <w:r w:rsidRPr="00252327">
        <w:rPr>
          <w:lang w:val="pt-BR"/>
        </w:rPr>
        <w:br/>
        <w:t>As adaptações são por peso e relevância, não por metodologia distinta.</w:t>
      </w:r>
    </w:p>
    <w:p w14:paraId="45824047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2.2 Áreas Comuns</w:t>
      </w:r>
    </w:p>
    <w:p w14:paraId="30E8D01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Todas as empresas são avaliadas obrigatoriamente nas seguintes áreas. Os segmentos estão entre parêntesis)</w:t>
      </w:r>
    </w:p>
    <w:p w14:paraId="6E82E1B5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Financeiro (CR, CP, Tesouraria) – (C, I, S)</w:t>
      </w:r>
    </w:p>
    <w:p w14:paraId="2E19CC2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Recursos Humanos – (C, I, S)</w:t>
      </w:r>
    </w:p>
    <w:p w14:paraId="2EBA91B9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Backoffice / Administração – (C, I, S)</w:t>
      </w:r>
    </w:p>
    <w:p w14:paraId="46752299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Comercial – (C, I, S)</w:t>
      </w:r>
    </w:p>
    <w:p w14:paraId="16BD30D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Produção – (I)</w:t>
      </w:r>
    </w:p>
    <w:p w14:paraId="73082343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Operações – (S)</w:t>
      </w:r>
    </w:p>
    <w:p w14:paraId="1A3DBC26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Estoque (produto acabado) – (C, I)</w:t>
      </w:r>
    </w:p>
    <w:p w14:paraId="4D67CC8E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Estoque (matéria prima) – (C, I)</w:t>
      </w:r>
    </w:p>
    <w:p w14:paraId="221F39C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Expedição – (C, I)</w:t>
      </w:r>
    </w:p>
    <w:p w14:paraId="22F7769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Faturamento – (C, I, S)</w:t>
      </w:r>
    </w:p>
    <w:p w14:paraId="0A8DFBD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Pós-venda – (C, I, S)</w:t>
      </w:r>
      <w:r w:rsidRPr="00252327">
        <w:rPr>
          <w:lang w:val="pt-BR"/>
        </w:rPr>
        <w:br/>
      </w:r>
    </w:p>
    <w:p w14:paraId="04023CC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2.3 Tipos de Pergunta</w:t>
      </w:r>
    </w:p>
    <w:p w14:paraId="64E3169A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seguem três formatos possíveis:</w:t>
      </w:r>
      <w:r w:rsidRPr="00252327">
        <w:rPr>
          <w:lang w:val="pt-BR"/>
        </w:rPr>
        <w:br/>
        <w:t>• Escala (ex: inexistente / parcial / estruturado)</w:t>
      </w:r>
      <w:r w:rsidRPr="00252327">
        <w:rPr>
          <w:lang w:val="pt-BR"/>
        </w:rPr>
        <w:br/>
        <w:t>• Sim / Não</w:t>
      </w:r>
      <w:r w:rsidRPr="00252327">
        <w:rPr>
          <w:lang w:val="pt-BR"/>
        </w:rPr>
        <w:br/>
      </w:r>
    </w:p>
    <w:p w14:paraId="76E7107F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3. Modelo de Maturidade</w:t>
      </w:r>
    </w:p>
    <w:p w14:paraId="1970D053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3.1 Como Pontua</w:t>
      </w:r>
    </w:p>
    <w:p w14:paraId="17F4C11E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Cada resposta possui peso pré-definido. A soma ponderada gera a pontuação por área e geral. Não há ajuste subjetivo.</w:t>
      </w:r>
    </w:p>
    <w:p w14:paraId="23A161E2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3.2 Como Gera Recomendações</w:t>
      </w:r>
    </w:p>
    <w:p w14:paraId="0134E79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Recomendações são acionadas por faixas de score. Cada faixa ativa um conjunto específico de recomendações. Score alto não gera recomendações básicas.</w:t>
      </w:r>
    </w:p>
    <w:p w14:paraId="65A5EA3E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3.3 Definição de Baixo / Médio / Alto</w:t>
      </w:r>
    </w:p>
    <w:p w14:paraId="29182A9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lastRenderedPageBreak/>
        <w:t>• Baixo: práticas inexistentes ou informais.</w:t>
      </w:r>
      <w:r w:rsidRPr="00252327">
        <w:rPr>
          <w:lang w:val="pt-BR"/>
        </w:rPr>
        <w:br/>
        <w:t>• Médio: práticas existentes, porém inconsistentes.</w:t>
      </w:r>
      <w:r w:rsidRPr="00252327">
        <w:rPr>
          <w:lang w:val="pt-BR"/>
        </w:rPr>
        <w:br/>
        <w:t>• Alto: práticas estruturadas, recorrentes e monitoradas.</w:t>
      </w:r>
      <w:r w:rsidRPr="00252327">
        <w:rPr>
          <w:lang w:val="pt-BR"/>
        </w:rPr>
        <w:br/>
        <w:t>As definições são objetivas e observáveis.</w:t>
      </w:r>
    </w:p>
    <w:p w14:paraId="1F2593AE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br w:type="page"/>
      </w:r>
    </w:p>
    <w:p w14:paraId="7F9F4AFB" w14:textId="77777777" w:rsidR="00FA7FF9" w:rsidRPr="00252327" w:rsidRDefault="00000000">
      <w:pPr>
        <w:pStyle w:val="Ttulo1"/>
        <w:rPr>
          <w:lang w:val="pt-BR"/>
        </w:rPr>
      </w:pPr>
      <w:r w:rsidRPr="00252327">
        <w:rPr>
          <w:lang w:val="pt-BR"/>
        </w:rPr>
        <w:lastRenderedPageBreak/>
        <w:t>ANEXO — MODELO DE DIAGNÓSTICO DETALHADO (ALINHADO A PROCESSOS)</w:t>
      </w:r>
    </w:p>
    <w:p w14:paraId="1D0C780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FASE 2 — MODELO DE DIAGNÓSTICO DETALHADO (ALINHADO A PROCESSOS)</w:t>
      </w:r>
    </w:p>
    <w:p w14:paraId="02661764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Objetivo</w:t>
      </w:r>
    </w:p>
    <w:p w14:paraId="219BFF3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Detalhar o diagnóstico com base explícita em processos de negócio, assegurando que todas as perguntas do MVP estejam diretamente ancoradas em processos reais e aplicáveis por segmento (C, I, S).</w:t>
      </w:r>
    </w:p>
    <w:p w14:paraId="7899C68D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1. Estrutura Geral do Diagnóstico</w:t>
      </w:r>
    </w:p>
    <w:p w14:paraId="3E63189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O diagnóstico é estruturado por ÁREA → PROCESSOS → PERGUNTAS. Cada processo é testado no MVP. As perguntas verificam existência, formalização e recorrência do processo.</w:t>
      </w:r>
    </w:p>
    <w:p w14:paraId="7AB24A9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Financeiro (C, I, S)</w:t>
      </w:r>
    </w:p>
    <w:p w14:paraId="24E378FD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Contas a Receber – (C, I, S)</w:t>
      </w:r>
    </w:p>
    <w:p w14:paraId="45A5535B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contas a receber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727BB4E7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Contas a Pagar – (C, I, S)</w:t>
      </w:r>
    </w:p>
    <w:p w14:paraId="0ED802DF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contas a pagar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0FF2EFB8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Tesouraria – (C, I, S)</w:t>
      </w:r>
    </w:p>
    <w:p w14:paraId="75E31CFD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tesouraria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24DC0A2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lastRenderedPageBreak/>
        <w:t>Área: Recursos Humanos (C, I, S)</w:t>
      </w:r>
    </w:p>
    <w:p w14:paraId="287D3CFA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Estrutura Organizacional – (C, I, S)</w:t>
      </w:r>
    </w:p>
    <w:p w14:paraId="6799040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estrutura organizacional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743B9B9D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Gestão de Desempenho – (C, I, S)</w:t>
      </w:r>
    </w:p>
    <w:p w14:paraId="2DCDBC8A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gestão de desempenho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48C6C03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Backoffice / Administração (C, I, S)</w:t>
      </w:r>
    </w:p>
    <w:p w14:paraId="0BC7EB46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Rotinas Administrativas – (C, I, S)</w:t>
      </w:r>
    </w:p>
    <w:p w14:paraId="0F999D3F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rotinas administrativas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133231F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Compliance Básico – (C, I, S)</w:t>
      </w:r>
    </w:p>
    <w:p w14:paraId="07B27292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compliance básico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</w:r>
      <w:r w:rsidRPr="00252327">
        <w:rPr>
          <w:lang w:val="pt-BR"/>
        </w:rPr>
        <w:lastRenderedPageBreak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63E20F39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Comercial (C, I, S)</w:t>
      </w:r>
    </w:p>
    <w:p w14:paraId="726EE2C8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Gestão de Vendas – (C, I, S)</w:t>
      </w:r>
    </w:p>
    <w:p w14:paraId="22FF1422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gestão de vendas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2EB43166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Formação de Preços – (C, I, S)</w:t>
      </w:r>
    </w:p>
    <w:p w14:paraId="51D7CFC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formação de preços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5F49CD58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Produção (I)</w:t>
      </w:r>
    </w:p>
    <w:p w14:paraId="2D578595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Planejamento da Produção – (I)</w:t>
      </w:r>
    </w:p>
    <w:p w14:paraId="11AC6C17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planejamento da produção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1EBB625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Controle de Produção – (I)</w:t>
      </w:r>
    </w:p>
    <w:p w14:paraId="15B91926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controle de produção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</w:r>
      <w:r w:rsidRPr="00252327">
        <w:rPr>
          <w:lang w:val="pt-BR"/>
        </w:rPr>
        <w:lastRenderedPageBreak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79068358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Operações (S)</w:t>
      </w:r>
    </w:p>
    <w:p w14:paraId="09E9BE2F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Planejamento Operacional – (S)</w:t>
      </w:r>
    </w:p>
    <w:p w14:paraId="6731C44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planejamento operacional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7B42A769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Execução de Serviços – (S)</w:t>
      </w:r>
    </w:p>
    <w:p w14:paraId="471D5105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execução de serviços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4AB9F99E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Estoque – Produto Acabado (C, I)</w:t>
      </w:r>
    </w:p>
    <w:p w14:paraId="5BAA0334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Controle de Estoque – (C, I)</w:t>
      </w:r>
    </w:p>
    <w:p w14:paraId="2449D5CF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controle de estoque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3F9C199A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Inventário – (C, I)</w:t>
      </w:r>
    </w:p>
    <w:p w14:paraId="628EF3A6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inventário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</w:r>
      <w:r w:rsidRPr="00252327">
        <w:rPr>
          <w:lang w:val="pt-BR"/>
        </w:rPr>
        <w:lastRenderedPageBreak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212604D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Estoque – Matéria-Prima (C, I)</w:t>
      </w:r>
    </w:p>
    <w:p w14:paraId="4A9393C7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Controle de Insumos – (C, I)</w:t>
      </w:r>
    </w:p>
    <w:p w14:paraId="1A990892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controle de insumos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7BEA8341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Expedição (C, I)</w:t>
      </w:r>
    </w:p>
    <w:p w14:paraId="6EBA59F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Separação e Envio – (C, I)</w:t>
      </w:r>
    </w:p>
    <w:p w14:paraId="7E1AFEAC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separação e envio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6CA8FC8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Faturamento (C, I, S)</w:t>
      </w:r>
    </w:p>
    <w:p w14:paraId="29EBA99F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Processo: Emissão de Documentos Fiscais – (C, I, S)</w:t>
      </w:r>
    </w:p>
    <w:p w14:paraId="50D6FA9F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emissão de documentos fiscais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62599900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Área: Pós-venda (C, I, S)</w:t>
      </w:r>
    </w:p>
    <w:p w14:paraId="224F7CC7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lastRenderedPageBreak/>
        <w:t>Processo: Atendimento e Reclamações – (C, I, S)</w:t>
      </w:r>
    </w:p>
    <w:p w14:paraId="5E72A7B9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Perguntas exemplo:</w:t>
      </w:r>
      <w:r w:rsidRPr="00252327">
        <w:rPr>
          <w:lang w:val="pt-BR"/>
        </w:rPr>
        <w:br/>
        <w:t>– O processo de atendimento e reclamações existe formalmente?</w:t>
      </w:r>
      <w:r w:rsidRPr="00252327">
        <w:rPr>
          <w:lang w:val="pt-BR"/>
        </w:rPr>
        <w:br/>
        <w:t>– O processo é executado de forma recorrente?</w:t>
      </w:r>
      <w:r w:rsidRPr="00252327">
        <w:rPr>
          <w:lang w:val="pt-BR"/>
        </w:rPr>
        <w:br/>
        <w:t>– Há responsável definido e controle mínimo?</w:t>
      </w:r>
      <w:r w:rsidRPr="00252327">
        <w:rPr>
          <w:lang w:val="pt-BR"/>
        </w:rPr>
        <w:br/>
      </w:r>
      <w:r w:rsidRPr="00252327">
        <w:rPr>
          <w:lang w:val="pt-BR"/>
        </w:rPr>
        <w:br/>
        <w:t>Maturidade:</w:t>
      </w:r>
      <w:r w:rsidRPr="00252327">
        <w:rPr>
          <w:lang w:val="pt-BR"/>
        </w:rPr>
        <w:br/>
        <w:t>Baixo: inexistente ou informal.</w:t>
      </w:r>
      <w:r w:rsidRPr="00252327">
        <w:rPr>
          <w:lang w:val="pt-BR"/>
        </w:rPr>
        <w:br/>
        <w:t>Médio: existente, porém inconsistente.</w:t>
      </w:r>
      <w:r w:rsidRPr="00252327">
        <w:rPr>
          <w:lang w:val="pt-BR"/>
        </w:rPr>
        <w:br/>
        <w:t>Alto: formalizado, recorrente e monitorado.</w:t>
      </w:r>
    </w:p>
    <w:p w14:paraId="6F993E58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2. Score e Gatilhos de Recomendação</w:t>
      </w:r>
    </w:p>
    <w:p w14:paraId="64F9A383" w14:textId="77777777" w:rsidR="00FA7FF9" w:rsidRPr="00252327" w:rsidRDefault="00000000">
      <w:pPr>
        <w:rPr>
          <w:lang w:val="pt-BR"/>
        </w:rPr>
      </w:pPr>
      <w:r w:rsidRPr="00252327">
        <w:rPr>
          <w:lang w:val="pt-BR"/>
        </w:rPr>
        <w:t>Cada processo possui peso equivalente dentro da área. O score da área é a média dos processos aplicáveis ao segmento. Faixas de score acionam recomendações estruturantes, de consolidação ou otimização.</w:t>
      </w:r>
    </w:p>
    <w:sectPr w:rsidR="00FA7FF9" w:rsidRPr="00252327" w:rsidSect="002523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428208">
    <w:abstractNumId w:val="8"/>
  </w:num>
  <w:num w:numId="2" w16cid:durableId="381488259">
    <w:abstractNumId w:val="6"/>
  </w:num>
  <w:num w:numId="3" w16cid:durableId="222836281">
    <w:abstractNumId w:val="5"/>
  </w:num>
  <w:num w:numId="4" w16cid:durableId="1506747333">
    <w:abstractNumId w:val="4"/>
  </w:num>
  <w:num w:numId="5" w16cid:durableId="127941430">
    <w:abstractNumId w:val="7"/>
  </w:num>
  <w:num w:numId="6" w16cid:durableId="1938445195">
    <w:abstractNumId w:val="3"/>
  </w:num>
  <w:num w:numId="7" w16cid:durableId="466708402">
    <w:abstractNumId w:val="2"/>
  </w:num>
  <w:num w:numId="8" w16cid:durableId="837576870">
    <w:abstractNumId w:val="1"/>
  </w:num>
  <w:num w:numId="9" w16cid:durableId="174413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327"/>
    <w:rsid w:val="0029639D"/>
    <w:rsid w:val="00326F90"/>
    <w:rsid w:val="00AA1D8D"/>
    <w:rsid w:val="00AB5404"/>
    <w:rsid w:val="00B47730"/>
    <w:rsid w:val="00CB0664"/>
    <w:rsid w:val="00FA7F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C41D1"/>
  <w14:defaultImageDpi w14:val="300"/>
  <w15:docId w15:val="{570A0D89-B3D1-BF40-A79A-BA1EBA09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1640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2026-01-07T16:26:00Z</dcterms:created>
  <dcterms:modified xsi:type="dcterms:W3CDTF">2026-01-07T16:26:00Z</dcterms:modified>
  <cp:category/>
</cp:coreProperties>
</file>