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3C6E"/>
          <w:sz w:val="72"/>
        </w:rPr>
        <w:t>Orbis.tax</w:t>
      </w:r>
    </w:p>
    <w:p>
      <w:pPr>
        <w:pStyle w:val="Heading2"/>
      </w:pPr>
      <w:r>
        <w:t>Consultor Parceiro — Modelo Operacional</w:t>
      </w:r>
    </w:p>
    <w:p>
      <w:pPr/>
      <w:r>
        <w:t>O perfil de Consultor Parceiro é distinto do Consultor Externo. Enquanto o Consultor Externo acessa um único tenant por convite temporário, o Consultor Parceiro gerencia uma carteira de clientes no Orbis.tax como ferramenta operacional própria. Suas permissões incluem: onboarding comercial de novos clientes, administração de licenças, publicação de conteúdo curado (templates, metodologias, checklists setoriais), visualização de métricas consolidadas e anonimizadas de sua carteira, e suporte técnico com consentimento explícito do cliente. A vedação fundamental se mantém: dados de um cliente jamais informam análise de outro, salvo anonimização estatística validada.</w:t>
      </w:r>
    </w:p>
    <w:p>
      <w:pPr>
        <w:jc w:val="center"/>
      </w:pPr>
      <w:r>
        <w:rPr>
          <w:rFonts w:ascii="Calibri" w:hAnsi="Calibri"/>
          <w:color w:val="555555"/>
          <w:sz w:val="32"/>
        </w:rPr>
        <w:t>Arquitetura de Segurança,</w:t>
        <w:br/>
        <w:t>Segregação de Funções (SoD) e LGPD</w:t>
      </w:r>
    </w:p>
    <w:p/>
    <w:p>
      <w:pPr>
        <w:jc w:val="center"/>
      </w:pPr>
      <w:r>
        <w:rPr>
          <w:rFonts w:ascii="Calibri" w:hAnsi="Calibri"/>
          <w:i/>
          <w:color w:val="888888"/>
          <w:sz w:val="24"/>
        </w:rPr>
        <w:t>Modelo SaaS multi-tenant · Isolamento por CNPJ · Proteção de dados sensíveis</w:t>
      </w:r>
    </w:p>
    <w:p/>
    <w:p/>
    <w:p>
      <w:pPr>
        <w:jc w:val="center"/>
      </w:pPr>
      <w:r>
        <w:rPr>
          <w:rFonts w:ascii="Calibri" w:hAnsi="Calibri"/>
          <w:color w:val="888888"/>
          <w:sz w:val="22"/>
        </w:rPr>
        <w:t>Documento Complementar ao Conceitual v5</w:t>
        <w:br/>
        <w:t>Março 2026</w:t>
      </w:r>
    </w:p>
    <w:p>
      <w:r>
        <w:br w:type="page"/>
      </w:r>
    </w:p>
    <w:p>
      <w:pPr>
        <w:pStyle w:val="Heading1"/>
      </w:pPr>
      <w:r>
        <w:t>Contexto e Princípios de Segurança</w:t>
      </w:r>
    </w:p>
    <w:p>
      <w:pPr>
        <w:spacing w:after="120" w:before="0"/>
      </w:pPr>
      <w:r>
        <w:t>O Orbis.tax é um sistema SaaS que é uma plataforma de governança tributária cognitiva. Ele lida com informações tributárias estratégicas de grandes empresas — dados de faturamento, estrutura societária, estratégias fiscais, créditos tributários, passivos, decisões de planejamento. Essas informações são, por natureza, altamente sensíveis: têm valor econômico direto, impacto concorrencial e implicações legais. O principal cliente do Orbis.tax é o gestor tributário de grandes empresas (gerente, diretor ou analista tributário sênior), que busca suporte para as decisões tributárias mais complexas. O principal cliente do Orbis.tax é o gestor tributário de grandes empresas (gerente, diretor ou analista tributário sênior), que busca suporte para as decisões tributárias mais complexas.</w:t>
      </w:r>
    </w:p>
    <w:p>
      <w:pPr>
        <w:spacing w:after="120" w:before="0"/>
      </w:pPr>
      <w:r>
        <w:rPr>
          <w:rFonts w:ascii="Calibri" w:hAnsi="Calibri"/>
          <w:b/>
          <w:i w:val="0"/>
          <w:sz w:val="22"/>
        </w:rPr>
        <w:t>Este documento estabelece os fundamentos de segurança, segregação de acesso e conformidade com a LGPD que devem nortear toda a arquitetura do Orbis.tax — desde o MVP até a plataforma madura.</w:t>
      </w:r>
    </w:p>
    <w:p>
      <w:pPr>
        <w:spacing w:after="120" w:before="200"/>
      </w:pPr>
      <w:r>
        <w:rPr>
          <w:rFonts w:ascii="Calibri" w:hAnsi="Calibri"/>
          <w:b/>
          <w:i w:val="0"/>
          <w:sz w:val="22"/>
        </w:rPr>
        <w:t>Princípios inegociáveis:</w:t>
      </w:r>
    </w:p>
    <w:p>
      <w:r>
        <w:rPr>
          <w:rFonts w:ascii="Calibri" w:hAnsi="Calibri"/>
          <w:b/>
          <w:sz w:val="22"/>
        </w:rPr>
        <w:t xml:space="preserve">Isolamento total por tenant (CNPJ). </w:t>
      </w:r>
      <w:r>
        <w:rPr>
          <w:rFonts w:ascii="Calibri" w:hAnsi="Calibri"/>
          <w:sz w:val="22"/>
        </w:rPr>
        <w:t>Dados de um CNPJ jamais são acessíveis, visíveis ou inferíveis por outro CNPJ. Não existe "vazamento lateral" — nem por bug, nem por design.</w:t>
      </w:r>
    </w:p>
    <w:p>
      <w:r>
        <w:rPr>
          <w:rFonts w:ascii="Calibri" w:hAnsi="Calibri"/>
          <w:b/>
          <w:sz w:val="22"/>
        </w:rPr>
        <w:t xml:space="preserve">Menor privilégio. </w:t>
      </w:r>
      <w:r>
        <w:rPr>
          <w:rFonts w:ascii="Calibri" w:hAnsi="Calibri"/>
          <w:sz w:val="22"/>
        </w:rPr>
        <w:t>Cada usuário acessa apenas o que sua função exige. Nenhum acesso é concedido "por conveniência" — apenas por necessidade demonstrada.</w:t>
      </w:r>
    </w:p>
    <w:p>
      <w:r>
        <w:rPr>
          <w:rFonts w:ascii="Calibri" w:hAnsi="Calibri"/>
          <w:b/>
          <w:sz w:val="22"/>
        </w:rPr>
        <w:t xml:space="preserve">Defesa em profundidade. </w:t>
      </w:r>
      <w:r>
        <w:rPr>
          <w:rFonts w:ascii="Calibri" w:hAnsi="Calibri"/>
          <w:sz w:val="22"/>
        </w:rPr>
        <w:t>Segurança em camadas: autenticação, autorização, isolamento de dados, criptografia, auditoria, monitoramento. Nenhuma camada sozinha é suficiente.</w:t>
      </w:r>
    </w:p>
    <w:p>
      <w:r>
        <w:rPr>
          <w:rFonts w:ascii="Calibri" w:hAnsi="Calibri"/>
          <w:b/>
          <w:sz w:val="22"/>
        </w:rPr>
        <w:t xml:space="preserve">Auditabilidade total. </w:t>
      </w:r>
      <w:r>
        <w:rPr>
          <w:rFonts w:ascii="Calibri" w:hAnsi="Calibri"/>
          <w:sz w:val="22"/>
        </w:rPr>
        <w:t>Toda ação relevante é registrada com timestamp, usuário, CNPJ, IP, ação executada e resultado. Logs são imutáveis e retidos conforme política.</w:t>
      </w:r>
    </w:p>
    <w:p>
      <w:r>
        <w:rPr>
          <w:rFonts w:ascii="Calibri" w:hAnsi="Calibri"/>
          <w:b/>
          <w:sz w:val="22"/>
        </w:rPr>
        <w:t xml:space="preserve">Privacy by design. </w:t>
      </w:r>
      <w:r>
        <w:rPr>
          <w:rFonts w:ascii="Calibri" w:hAnsi="Calibri"/>
          <w:sz w:val="22"/>
        </w:rPr>
        <w:t>A proteção de dados pessoais (LGPD) não é uma camada adicionada depois — é um princípio arquitetural desde o primeiro commit.</w:t>
      </w:r>
    </w:p>
    <w:p>
      <w:r>
        <w:rPr>
          <w:rFonts w:ascii="Calibri" w:hAnsi="Calibri"/>
          <w:b/>
          <w:sz w:val="22"/>
        </w:rPr>
        <w:t xml:space="preserve">Zero trust interno. </w:t>
      </w:r>
      <w:r>
        <w:rPr>
          <w:rFonts w:ascii="Calibri" w:hAnsi="Calibri"/>
          <w:sz w:val="22"/>
        </w:rPr>
        <w:t>Nem o próprio time de desenvolvimento tem acesso a dados de produção de clientes, exceto mediante procedimento documentado, aprovado e auditado.</w:t>
      </w:r>
    </w:p>
    <w:p>
      <w:r>
        <w:br w:type="page"/>
      </w:r>
    </w:p>
    <w:p>
      <w:pPr>
        <w:pStyle w:val="Heading1"/>
      </w:pPr>
      <w:r>
        <w:t>Modelo SaaS — Multi-Tenancy por CNPJ</w:t>
      </w:r>
    </w:p>
    <w:p>
      <w:pPr>
        <w:spacing w:after="120" w:before="0"/>
      </w:pPr>
      <w:r>
        <w:rPr>
          <w:rFonts w:ascii="Calibri" w:hAnsi="Calibri"/>
          <w:b w:val="0"/>
          <w:i w:val="0"/>
          <w:sz w:val="22"/>
        </w:rPr>
        <w:t>O Orbis.tax opera como SaaS multi-tenant, onde cada tenant é identificado por um CNPJ raiz (8 primeiros dígitos). Todas as filiais (CNPJs com mesmo radical) pertencem ao mesmo tenant, salvo configuração explícita em contrário.</w:t>
      </w:r>
    </w:p>
    <w:p>
      <w:pPr>
        <w:pStyle w:val="Heading2"/>
      </w:pPr>
      <w:r>
        <w:t>Arquitetura de Tenancy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Camada</w:t>
            </w:r>
          </w:p>
        </w:tc>
        <w:tc>
          <w:tcPr>
            <w:tcW w:type="dxa" w:w="2880"/>
            <w:shd w:fill="1A3C6E"/>
          </w:tcPr>
          <w:p>
            <w:r>
              <w:rPr>
                <w:color w:val="FFFFFF"/>
              </w:rPr>
            </w:r>
            <w:r>
              <w:rPr>
                <w:rFonts w:ascii="Calibri" w:hAnsi="Calibri"/>
                <w:b/>
                <w:color w:val="FFFFFF"/>
                <w:sz w:val="20"/>
              </w:rPr>
              <w:t>Estratégia de isolamento</w:t>
            </w:r>
          </w:p>
        </w:tc>
        <w:tc>
          <w:tcPr>
            <w:tcW w:type="dxa" w:w="2880"/>
            <w:shd w:fill="1A3C6E"/>
          </w:tcPr>
          <w:p>
            <w:r>
              <w:rPr>
                <w:color w:val="FFFFFF"/>
              </w:rPr>
            </w:r>
            <w:r>
              <w:rPr>
                <w:rFonts w:ascii="Calibri" w:hAnsi="Calibri"/>
                <w:b/>
                <w:color w:val="FFFFFF"/>
                <w:sz w:val="20"/>
              </w:rPr>
              <w:t>Justificativa</w:t>
            </w:r>
          </w:p>
        </w:tc>
      </w:tr>
      <w:tr>
        <w:tc>
          <w:tcPr>
            <w:tcW w:type="dxa" w:w="2880"/>
            <w:shd w:fill="EDF2FA"/>
          </w:tcPr>
          <w:p>
            <w:r/>
            <w:r>
              <w:rPr>
                <w:rFonts w:ascii="Calibri" w:hAnsi="Calibri"/>
                <w:b w:val="0"/>
                <w:sz w:val="20"/>
              </w:rPr>
              <w:t>Aplicação</w:t>
            </w:r>
          </w:p>
        </w:tc>
        <w:tc>
          <w:tcPr>
            <w:tcW w:type="dxa" w:w="2880"/>
            <w:shd w:fill="EDF2FA"/>
          </w:tcPr>
          <w:p>
            <w:r/>
            <w:r>
              <w:rPr>
                <w:rFonts w:ascii="Calibri" w:hAnsi="Calibri"/>
                <w:b w:val="0"/>
                <w:sz w:val="20"/>
              </w:rPr>
              <w:t>Tenant ID (CNPJ raiz) presente em toda requisição; middleware valida antes de qualquer processamento</w:t>
            </w:r>
          </w:p>
        </w:tc>
        <w:tc>
          <w:tcPr>
            <w:tcW w:type="dxa" w:w="2880"/>
            <w:shd w:fill="EDF2FA"/>
          </w:tcPr>
          <w:p>
            <w:r/>
            <w:r>
              <w:rPr>
                <w:rFonts w:ascii="Calibri" w:hAnsi="Calibri"/>
                <w:b w:val="0"/>
                <w:sz w:val="20"/>
              </w:rPr>
              <w:t>Garante que nenhuma lógica de negócio executa sem contexto de tenant</w:t>
            </w:r>
          </w:p>
        </w:tc>
      </w:tr>
      <w:tr>
        <w:tc>
          <w:tcPr>
            <w:tcW w:type="dxa" w:w="2880"/>
          </w:tcPr>
          <w:p>
            <w:r/>
            <w:r>
              <w:rPr>
                <w:rFonts w:ascii="Calibri" w:hAnsi="Calibri"/>
                <w:b w:val="0"/>
                <w:sz w:val="20"/>
              </w:rPr>
              <w:t>API</w:t>
            </w:r>
          </w:p>
        </w:tc>
        <w:tc>
          <w:tcPr>
            <w:tcW w:type="dxa" w:w="2880"/>
          </w:tcPr>
          <w:p>
            <w:r/>
            <w:r>
              <w:rPr>
                <w:rFonts w:ascii="Calibri" w:hAnsi="Calibri"/>
                <w:b w:val="0"/>
                <w:sz w:val="20"/>
              </w:rPr>
              <w:t>Toda rota autenticada recebe tenant_id do token JWT; não aceita tenant_id via parâmetro (evita manipulação)</w:t>
            </w:r>
          </w:p>
        </w:tc>
        <w:tc>
          <w:tcPr>
            <w:tcW w:type="dxa" w:w="2880"/>
          </w:tcPr>
          <w:p>
            <w:r/>
            <w:r>
              <w:rPr>
                <w:rFonts w:ascii="Calibri" w:hAnsi="Calibri"/>
                <w:b w:val="0"/>
                <w:sz w:val="20"/>
              </w:rPr>
              <w:t>Tenant é derivado da autenticação, nunca do input do usuário</w:t>
            </w:r>
          </w:p>
        </w:tc>
      </w:tr>
      <w:tr>
        <w:tc>
          <w:tcPr>
            <w:tcW w:type="dxa" w:w="2880"/>
            <w:shd w:fill="EDF2FA"/>
          </w:tcPr>
          <w:p>
            <w:r/>
            <w:r>
              <w:rPr>
                <w:rFonts w:ascii="Calibri" w:hAnsi="Calibri"/>
                <w:b w:val="0"/>
                <w:sz w:val="20"/>
              </w:rPr>
              <w:t>Banco de dados</w:t>
            </w:r>
          </w:p>
        </w:tc>
        <w:tc>
          <w:tcPr>
            <w:tcW w:type="dxa" w:w="2880"/>
            <w:shd w:fill="EDF2FA"/>
          </w:tcPr>
          <w:p>
            <w:r/>
            <w:r>
              <w:rPr>
                <w:rFonts w:ascii="Calibri" w:hAnsi="Calibri"/>
                <w:b w:val="0"/>
                <w:sz w:val="20"/>
              </w:rPr>
              <w:t>Row-Level Security (RLS) — toda tabela com coluna tenant_id; políticas de RLS ativas em nível de banco</w:t>
            </w:r>
          </w:p>
        </w:tc>
        <w:tc>
          <w:tcPr>
            <w:tcW w:type="dxa" w:w="2880"/>
            <w:shd w:fill="EDF2FA"/>
          </w:tcPr>
          <w:p>
            <w:r/>
            <w:r>
              <w:rPr>
                <w:rFonts w:ascii="Calibri" w:hAnsi="Calibri"/>
                <w:b w:val="0"/>
                <w:sz w:val="20"/>
              </w:rPr>
              <w:t>Mesmo que a aplicação falhe, o banco impede acesso cross-tenant</w:t>
            </w:r>
          </w:p>
        </w:tc>
      </w:tr>
      <w:tr>
        <w:tc>
          <w:tcPr>
            <w:tcW w:type="dxa" w:w="2880"/>
          </w:tcPr>
          <w:p>
            <w:r/>
            <w:r>
              <w:rPr>
                <w:rFonts w:ascii="Calibri" w:hAnsi="Calibri"/>
                <w:b w:val="0"/>
                <w:sz w:val="20"/>
              </w:rPr>
              <w:t>Cache / filas</w:t>
            </w:r>
          </w:p>
        </w:tc>
        <w:tc>
          <w:tcPr>
            <w:tcW w:type="dxa" w:w="2880"/>
          </w:tcPr>
          <w:p>
            <w:r/>
            <w:r>
              <w:rPr>
                <w:rFonts w:ascii="Calibri" w:hAnsi="Calibri"/>
                <w:b w:val="0"/>
                <w:sz w:val="20"/>
              </w:rPr>
              <w:t>Prefixo de tenant em toda chave de cache e tópico de fila</w:t>
            </w:r>
          </w:p>
        </w:tc>
        <w:tc>
          <w:tcPr>
            <w:tcW w:type="dxa" w:w="2880"/>
          </w:tcPr>
          <w:p>
            <w:r/>
            <w:r>
              <w:rPr>
                <w:rFonts w:ascii="Calibri" w:hAnsi="Calibri"/>
                <w:b w:val="0"/>
                <w:sz w:val="20"/>
              </w:rPr>
              <w:t>Impede colisão ou vazamento entre tenants em camadas auxiliares</w:t>
            </w:r>
          </w:p>
        </w:tc>
      </w:tr>
      <w:tr>
        <w:tc>
          <w:tcPr>
            <w:tcW w:type="dxa" w:w="2880"/>
            <w:shd w:fill="EDF2FA"/>
          </w:tcPr>
          <w:p>
            <w:r/>
            <w:r>
              <w:rPr>
                <w:rFonts w:ascii="Calibri" w:hAnsi="Calibri"/>
                <w:b w:val="0"/>
                <w:sz w:val="20"/>
              </w:rPr>
              <w:t>Storage (arquivos)</w:t>
            </w:r>
          </w:p>
        </w:tc>
        <w:tc>
          <w:tcPr>
            <w:tcW w:type="dxa" w:w="2880"/>
            <w:shd w:fill="EDF2FA"/>
          </w:tcPr>
          <w:p>
            <w:r/>
            <w:r>
              <w:rPr>
                <w:rFonts w:ascii="Calibri" w:hAnsi="Calibri"/>
                <w:b w:val="0"/>
                <w:sz w:val="20"/>
              </w:rPr>
              <w:t>Buckets ou prefixos segregados por tenant_id; políticas IAM por tenant</w:t>
            </w:r>
          </w:p>
        </w:tc>
        <w:tc>
          <w:tcPr>
            <w:tcW w:type="dxa" w:w="2880"/>
            <w:shd w:fill="EDF2FA"/>
          </w:tcPr>
          <w:p>
            <w:r/>
            <w:r>
              <w:rPr>
                <w:rFonts w:ascii="Calibri" w:hAnsi="Calibri"/>
                <w:b w:val="0"/>
                <w:sz w:val="20"/>
              </w:rPr>
              <w:t>Documentos e uploads isolados por design</w:t>
            </w:r>
          </w:p>
        </w:tc>
      </w:tr>
      <w:tr>
        <w:tc>
          <w:tcPr>
            <w:tcW w:type="dxa" w:w="2880"/>
          </w:tcPr>
          <w:p>
            <w:r/>
            <w:r>
              <w:rPr>
                <w:rFonts w:ascii="Calibri" w:hAnsi="Calibri"/>
                <w:b w:val="0"/>
                <w:sz w:val="20"/>
              </w:rPr>
              <w:t>Logs e auditoria</w:t>
            </w:r>
          </w:p>
        </w:tc>
        <w:tc>
          <w:tcPr>
            <w:tcW w:type="dxa" w:w="2880"/>
          </w:tcPr>
          <w:p>
            <w:r/>
            <w:r>
              <w:rPr>
                <w:rFonts w:ascii="Calibri" w:hAnsi="Calibri"/>
                <w:b w:val="0"/>
                <w:sz w:val="20"/>
              </w:rPr>
              <w:t>Tenant_id como campo obrigatório em todo registro de log</w:t>
            </w:r>
          </w:p>
        </w:tc>
        <w:tc>
          <w:tcPr>
            <w:tcW w:type="dxa" w:w="2880"/>
          </w:tcPr>
          <w:p>
            <w:r/>
            <w:r>
              <w:rPr>
                <w:rFonts w:ascii="Calibri" w:hAnsi="Calibri"/>
                <w:b w:val="0"/>
                <w:sz w:val="20"/>
              </w:rPr>
              <w:t>Permite filtrar, auditar e exportar por tenant</w:t>
            </w:r>
          </w:p>
        </w:tc>
      </w:tr>
    </w:tbl>
    <w:p>
      <w:pPr>
        <w:spacing w:after="120" w:before="120"/>
      </w:pPr>
      <w:r>
        <w:rPr>
          <w:rFonts w:ascii="Calibri" w:hAnsi="Calibri"/>
          <w:b w:val="0"/>
          <w:i w:val="0"/>
          <w:sz w:val="22"/>
        </w:rPr>
      </w:r>
    </w:p>
    <w:p>
      <w:pPr>
        <w:spacing w:after="120" w:before="0"/>
      </w:pPr>
      <w:r>
        <w:rPr>
          <w:rFonts w:ascii="Calibri" w:hAnsi="Calibri"/>
          <w:b/>
          <w:i/>
          <w:sz w:val="22"/>
        </w:rPr>
        <w:t>Regra de ouro: se uma query, um cache hit ou um log entry não tem tenant_id, é um bug — não uma feature.</w:t>
      </w:r>
    </w:p>
    <w:p>
      <w:pPr>
        <w:pStyle w:val="Heading2"/>
      </w:pPr>
      <w:r>
        <w:t>Hierarquia de Tenant</w:t>
      </w:r>
    </w:p>
    <w:p>
      <w:pPr>
        <w:spacing w:after="120" w:before="0"/>
      </w:pPr>
      <w:r>
        <w:rPr>
          <w:rFonts w:ascii="Calibri" w:hAnsi="Calibri"/>
          <w:b w:val="0"/>
          <w:i w:val="0"/>
          <w:sz w:val="22"/>
        </w:rPr>
        <w:t>Para grupos econômicos (múltiplos CNPJs):</w:t>
      </w:r>
    </w:p>
    <w:p>
      <w:pPr>
        <w:pStyle w:val="ListBullet"/>
      </w:pPr>
      <w:r>
        <w:rPr>
          <w:rFonts w:ascii="Calibri" w:hAnsi="Calibri"/>
          <w:b w:val="0"/>
          <w:sz w:val="22"/>
        </w:rPr>
        <w:t>Tenant principal: CNPJ da holding ou empresa-mãe</w:t>
      </w:r>
    </w:p>
    <w:p>
      <w:pPr>
        <w:pStyle w:val="ListBullet"/>
      </w:pPr>
      <w:r>
        <w:rPr>
          <w:rFonts w:ascii="Calibri" w:hAnsi="Calibri"/>
          <w:b w:val="0"/>
          <w:sz w:val="22"/>
        </w:rPr>
        <w:t>Sub-tenants: CNPJs das empresas do grupo, vinculados ao tenant principal</w:t>
      </w:r>
    </w:p>
    <w:p>
      <w:pPr>
        <w:pStyle w:val="ListBullet"/>
      </w:pPr>
      <w:r>
        <w:rPr>
          <w:rFonts w:ascii="Calibri" w:hAnsi="Calibri"/>
          <w:b w:val="0"/>
          <w:sz w:val="22"/>
        </w:rPr>
        <w:t>Administrador do grupo: pode visualizar dados consolidados de todos os sub-tenants</w:t>
      </w:r>
    </w:p>
    <w:p>
      <w:pPr>
        <w:pStyle w:val="ListBullet"/>
      </w:pPr>
      <w:r>
        <w:rPr>
          <w:rFonts w:ascii="Calibri" w:hAnsi="Calibri"/>
          <w:b w:val="0"/>
          <w:sz w:val="22"/>
        </w:rPr>
        <w:t>Administrador de empresa: vê apenas os dados do seu CNPJ</w:t>
      </w:r>
    </w:p>
    <w:p>
      <w:pPr>
        <w:pStyle w:val="ListBullet"/>
      </w:pPr>
      <w:r>
        <w:rPr>
          <w:rFonts w:ascii="Calibri" w:hAnsi="Calibri"/>
          <w:b w:val="0"/>
          <w:sz w:val="22"/>
        </w:rPr>
        <w:t>O vínculo entre tenants é explícito, auditado e revogável</w:t>
      </w:r>
    </w:p>
    <w:p>
      <w:pPr>
        <w:spacing w:after="120" w:before="120"/>
      </w:pPr>
      <w:r>
        <w:rPr>
          <w:rFonts w:ascii="Calibri" w:hAnsi="Calibri"/>
          <w:b w:val="0"/>
          <w:i/>
          <w:sz w:val="22"/>
        </w:rPr>
        <w:t>Isso habilita a funcionalidade de "Aprendizado entre Empresas do Grupo" prevista no Documento Conceitual — mas com governança: o compartilhamento de heurísticas entre empresas do grupo é opt-in e configurável.</w:t>
      </w:r>
    </w:p>
    <w:p>
      <w:r>
        <w:br w:type="page"/>
      </w:r>
    </w:p>
    <w:p>
      <w:pPr>
        <w:pStyle w:val="Heading1"/>
      </w:pPr>
      <w:r>
        <w:t>SoD — Segregação de Funções</w:t>
      </w:r>
    </w:p>
    <w:p>
      <w:pPr>
        <w:spacing w:after="120" w:before="0"/>
      </w:pPr>
      <w:r>
        <w:rPr>
          <w:rFonts w:ascii="Calibri" w:hAnsi="Calibri"/>
          <w:b w:val="0"/>
          <w:i w:val="0"/>
          <w:sz w:val="22"/>
        </w:rPr>
        <w:t>A Segregação de Funções (Segregation of Duties) garante que nenhum usuário individual tenha poder excessivo no sistema. No contexto do Orbis.tax, o SoD opera em duas dimensões: por CNPJ (qual empresa o usuário pode acessar) e por papel (o que o usuário pode fazer dentro daquela empresa).</w:t>
      </w:r>
    </w:p>
    <w:p>
      <w:pPr>
        <w:pStyle w:val="Heading2"/>
      </w:pPr>
      <w:r>
        <w:t>Dimensão 1 — Acesso por CNPJ</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r>
              <w:rPr>
                <w:color w:val="FFFFFF"/>
              </w:rPr>
            </w:r>
            <w:r>
              <w:rPr>
                <w:rFonts w:ascii="Calibri" w:hAnsi="Calibri"/>
                <w:b/>
                <w:color w:val="FFFFFF"/>
                <w:sz w:val="20"/>
              </w:rPr>
              <w:t>Regra</w:t>
            </w:r>
          </w:p>
        </w:tc>
        <w:tc>
          <w:tcPr>
            <w:tcW w:type="dxa" w:w="4320"/>
            <w:shd w:fill="1A3C6E"/>
          </w:tcPr>
          <w:p>
            <w:r>
              <w:rPr>
                <w:color w:val="FFFFFF"/>
              </w:rPr>
            </w:r>
            <w:r>
              <w:rPr>
                <w:rFonts w:ascii="Calibri" w:hAnsi="Calibri"/>
                <w:b/>
                <w:color w:val="FFFFFF"/>
                <w:sz w:val="20"/>
              </w:rPr>
              <w:t>Descrição</w:t>
            </w:r>
          </w:p>
        </w:tc>
      </w:tr>
      <w:tr>
        <w:tc>
          <w:tcPr>
            <w:tcW w:type="dxa" w:w="4320"/>
            <w:shd w:fill="EDF2FA"/>
          </w:tcPr>
          <w:p>
            <w:r/>
            <w:r>
              <w:rPr>
                <w:rFonts w:ascii="Calibri" w:hAnsi="Calibri"/>
                <w:b w:val="0"/>
                <w:sz w:val="20"/>
              </w:rPr>
              <w:t>Vínculo explícito</w:t>
            </w:r>
          </w:p>
        </w:tc>
        <w:tc>
          <w:tcPr>
            <w:tcW w:type="dxa" w:w="4320"/>
            <w:shd w:fill="EDF2FA"/>
          </w:tcPr>
          <w:p>
            <w:r/>
            <w:r>
              <w:rPr>
                <w:rFonts w:ascii="Calibri" w:hAnsi="Calibri"/>
                <w:b w:val="0"/>
                <w:sz w:val="20"/>
              </w:rPr>
              <w:t>Um usuário só acessa dados de um CNPJ se houver vínculo explícito (convite aceito + aprovação do admin do tenant)</w:t>
            </w:r>
          </w:p>
        </w:tc>
      </w:tr>
      <w:tr>
        <w:tc>
          <w:tcPr>
            <w:tcW w:type="dxa" w:w="4320"/>
          </w:tcPr>
          <w:p>
            <w:r/>
            <w:r>
              <w:rPr>
                <w:rFonts w:ascii="Calibri" w:hAnsi="Calibri"/>
                <w:b w:val="0"/>
                <w:sz w:val="20"/>
              </w:rPr>
              <w:t>Multi-CNPJ controlado</w:t>
            </w:r>
          </w:p>
        </w:tc>
        <w:tc>
          <w:tcPr>
            <w:tcW w:type="dxa" w:w="4320"/>
          </w:tcPr>
          <w:p>
            <w:r/>
            <w:r>
              <w:rPr>
                <w:rFonts w:ascii="Calibri" w:hAnsi="Calibri"/>
                <w:b w:val="0"/>
                <w:sz w:val="20"/>
              </w:rPr>
              <w:t>Um mesmo e-mail pode estar vinculado a múltiplos CNPJs (ex: consultor externo), mas cada sessão opera no contexto de um único CNPJ por vez</w:t>
            </w:r>
          </w:p>
        </w:tc>
      </w:tr>
      <w:tr>
        <w:tc>
          <w:tcPr>
            <w:tcW w:type="dxa" w:w="4320"/>
            <w:shd w:fill="EDF2FA"/>
          </w:tcPr>
          <w:p>
            <w:r/>
            <w:r>
              <w:rPr>
                <w:rFonts w:ascii="Calibri" w:hAnsi="Calibri"/>
                <w:b w:val="0"/>
                <w:sz w:val="20"/>
              </w:rPr>
              <w:t>Troca de contexto auditada</w:t>
            </w:r>
          </w:p>
        </w:tc>
        <w:tc>
          <w:tcPr>
            <w:tcW w:type="dxa" w:w="4320"/>
            <w:shd w:fill="EDF2FA"/>
          </w:tcPr>
          <w:p>
            <w:r/>
            <w:r>
              <w:rPr>
                <w:rFonts w:ascii="Calibri" w:hAnsi="Calibri"/>
                <w:b w:val="0"/>
                <w:sz w:val="20"/>
              </w:rPr>
              <w:t>Ao trocar de CNPJ, o sistema registra: quem, quando, de qual CNPJ para qual CNPJ</w:t>
            </w:r>
          </w:p>
        </w:tc>
      </w:tr>
      <w:tr>
        <w:tc>
          <w:tcPr>
            <w:tcW w:type="dxa" w:w="4320"/>
          </w:tcPr>
          <w:p>
            <w:r/>
            <w:r>
              <w:rPr>
                <w:rFonts w:ascii="Calibri" w:hAnsi="Calibri"/>
                <w:b w:val="0"/>
                <w:sz w:val="20"/>
              </w:rPr>
              <w:t>Revogação imediata</w:t>
            </w:r>
          </w:p>
        </w:tc>
        <w:tc>
          <w:tcPr>
            <w:tcW w:type="dxa" w:w="4320"/>
          </w:tcPr>
          <w:p>
            <w:r/>
            <w:r>
              <w:rPr>
                <w:rFonts w:ascii="Calibri" w:hAnsi="Calibri"/>
                <w:b w:val="0"/>
                <w:sz w:val="20"/>
              </w:rPr>
              <w:t>O admin do tenant pode revogar acesso de qualquer usuário a qualquer momento; a sessão ativa é encerrada</w:t>
            </w:r>
          </w:p>
        </w:tc>
      </w:tr>
      <w:tr>
        <w:tc>
          <w:tcPr>
            <w:tcW w:type="dxa" w:w="4320"/>
            <w:shd w:fill="EDF2FA"/>
          </w:tcPr>
          <w:p>
            <w:r/>
            <w:r>
              <w:rPr>
                <w:rFonts w:ascii="Calibri" w:hAnsi="Calibri"/>
                <w:b w:val="0"/>
                <w:sz w:val="20"/>
              </w:rPr>
              <w:t>Sem herança automática</w:t>
            </w:r>
          </w:p>
        </w:tc>
        <w:tc>
          <w:tcPr>
            <w:tcW w:type="dxa" w:w="4320"/>
            <w:shd w:fill="EDF2FA"/>
          </w:tcPr>
          <w:p>
            <w:r/>
            <w:r>
              <w:rPr>
                <w:rFonts w:ascii="Calibri" w:hAnsi="Calibri"/>
                <w:b w:val="0"/>
                <w:sz w:val="20"/>
              </w:rPr>
              <w:t>Acesso a um CNPJ do grupo NÃO concede acesso automático a outros CNPJs do grupo — cada vínculo é independente</w:t>
            </w:r>
          </w:p>
        </w:tc>
      </w:tr>
    </w:tbl>
    <w:p>
      <w:pPr>
        <w:pStyle w:val="Heading2"/>
      </w:pPr>
      <w:r>
        <w:t>Dimensão 2 — Papéis e Permissões (RBAC)</w:t>
      </w:r>
    </w:p>
    <w:p>
      <w:pPr>
        <w:spacing w:after="120" w:before="0"/>
      </w:pPr>
      <w:r>
        <w:rPr>
          <w:rFonts w:ascii="Calibri" w:hAnsi="Calibri"/>
          <w:b w:val="0"/>
          <w:i w:val="0"/>
          <w:sz w:val="22"/>
        </w:rPr>
        <w:t>O Orbis.tax adota modelo RBAC (Role-Based Access Control) com papéis pré-definidos e permissões granulares: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color w:val="FFFFFF"/>
              </w:rPr>
            </w:r>
            <w:r>
              <w:rPr>
                <w:rFonts w:ascii="Calibri" w:hAnsi="Calibri"/>
                <w:b/>
                <w:color w:val="FFFFFF"/>
                <w:sz w:val="20"/>
              </w:rPr>
              <w:t>Papel</w:t>
            </w:r>
          </w:p>
        </w:tc>
        <w:tc>
          <w:tcPr>
            <w:tcW w:type="dxa" w:w="2160"/>
            <w:shd w:fill="1A3C6E"/>
          </w:tcPr>
          <w:p>
            <w:r>
              <w:rPr>
                <w:color w:val="FFFFFF"/>
              </w:rPr>
            </w:r>
            <w:r>
              <w:rPr>
                <w:rFonts w:ascii="Calibri" w:hAnsi="Calibri"/>
                <w:b/>
                <w:color w:val="FFFFFF"/>
                <w:sz w:val="20"/>
              </w:rPr>
              <w:t>Escopo</w:t>
            </w:r>
          </w:p>
        </w:tc>
        <w:tc>
          <w:tcPr>
            <w:tcW w:type="dxa" w:w="2160"/>
            <w:shd w:fill="1A3C6E"/>
          </w:tcPr>
          <w:p>
            <w:r>
              <w:rPr>
                <w:color w:val="FFFFFF"/>
              </w:rPr>
            </w:r>
            <w:r>
              <w:rPr>
                <w:rFonts w:ascii="Calibri" w:hAnsi="Calibri"/>
                <w:b/>
                <w:color w:val="FFFFFF"/>
                <w:sz w:val="20"/>
              </w:rPr>
              <w:t>Permissões principais</w:t>
            </w:r>
          </w:p>
        </w:tc>
        <w:tc>
          <w:tcPr>
            <w:tcW w:type="dxa" w:w="2160"/>
            <w:shd w:fill="1A3C6E"/>
          </w:tcPr>
          <w:p>
            <w:r>
              <w:rPr>
                <w:color w:val="FFFFFF"/>
              </w:rPr>
            </w:r>
            <w:r>
              <w:rPr>
                <w:rFonts w:ascii="Calibri" w:hAnsi="Calibri"/>
                <w:b/>
                <w:color w:val="FFFFFF"/>
                <w:sz w:val="20"/>
              </w:rPr>
              <w:t>Restrições</w:t>
            </w:r>
          </w:p>
        </w:tc>
      </w:tr>
      <w:tr>
        <w:tc>
          <w:tcPr>
            <w:tcW w:type="dxa" w:w="2160"/>
            <w:shd w:fill="EDF2FA"/>
          </w:tcPr>
          <w:p>
            <w:r/>
            <w:r>
              <w:rPr>
                <w:rFonts w:ascii="Calibri" w:hAnsi="Calibri"/>
                <w:b w:val="0"/>
                <w:sz w:val="20"/>
              </w:rPr>
              <w:t>Administrador do Tenant</w:t>
            </w:r>
          </w:p>
        </w:tc>
        <w:tc>
          <w:tcPr>
            <w:tcW w:type="dxa" w:w="2160"/>
            <w:shd w:fill="EDF2FA"/>
          </w:tcPr>
          <w:p>
            <w:r/>
            <w:r>
              <w:rPr>
                <w:rFonts w:ascii="Calibri" w:hAnsi="Calibri"/>
                <w:b w:val="0"/>
                <w:sz w:val="20"/>
              </w:rPr>
              <w:t>CNPJ</w:t>
            </w:r>
          </w:p>
        </w:tc>
        <w:tc>
          <w:tcPr>
            <w:tcW w:type="dxa" w:w="2160"/>
            <w:shd w:fill="EDF2FA"/>
          </w:tcPr>
          <w:p>
            <w:r/>
            <w:r>
              <w:rPr>
                <w:rFonts w:ascii="Calibri" w:hAnsi="Calibri"/>
                <w:b w:val="0"/>
                <w:sz w:val="20"/>
              </w:rPr>
              <w:t>Gerenciar usuários, papéis, configurações do tenant. Visualizar auditoria.</w:t>
            </w:r>
          </w:p>
        </w:tc>
        <w:tc>
          <w:tcPr>
            <w:tcW w:type="dxa" w:w="2160"/>
            <w:shd w:fill="EDF2FA"/>
          </w:tcPr>
          <w:p>
            <w:r/>
            <w:r>
              <w:rPr>
                <w:rFonts w:ascii="Calibri" w:hAnsi="Calibri"/>
                <w:b w:val="0"/>
                <w:sz w:val="20"/>
              </w:rPr>
              <w:t>Não pode excluir logs de auditoria. Não pode acessar dados de outro tenant.</w:t>
            </w:r>
          </w:p>
        </w:tc>
      </w:tr>
      <w:tr>
        <w:tc>
          <w:tcPr>
            <w:tcW w:type="dxa" w:w="2160"/>
          </w:tcPr>
          <w:p>
            <w:r/>
            <w:r>
              <w:rPr>
                <w:rFonts w:ascii="Calibri" w:hAnsi="Calibri"/>
                <w:b w:val="0"/>
                <w:sz w:val="20"/>
              </w:rPr>
              <w:t>Gestor Tributário</w:t>
            </w:r>
          </w:p>
        </w:tc>
        <w:tc>
          <w:tcPr>
            <w:tcW w:type="dxa" w:w="2160"/>
          </w:tcPr>
          <w:p>
            <w:r/>
            <w:r>
              <w:rPr>
                <w:rFonts w:ascii="Calibri" w:hAnsi="Calibri"/>
                <w:b w:val="0"/>
                <w:sz w:val="20"/>
              </w:rPr>
              <w:t>CNPJ</w:t>
            </w:r>
          </w:p>
        </w:tc>
        <w:tc>
          <w:tcPr>
            <w:tcW w:type="dxa" w:w="2160"/>
          </w:tcPr>
          <w:p>
            <w:r/>
            <w:r>
              <w:rPr>
                <w:rFonts w:ascii="Calibri" w:hAnsi="Calibri"/>
                <w:b w:val="0"/>
                <w:sz w:val="20"/>
              </w:rPr>
              <w:t>Criar decisões, registrar premissas/riscos, registrar hipóteses, decidir, revisar resultados.</w:t>
            </w:r>
          </w:p>
        </w:tc>
        <w:tc>
          <w:tcPr>
            <w:tcW w:type="dxa" w:w="2160"/>
          </w:tcPr>
          <w:p>
            <w:r/>
            <w:r>
              <w:rPr>
                <w:rFonts w:ascii="Calibri" w:hAnsi="Calibri"/>
                <w:b w:val="0"/>
                <w:sz w:val="20"/>
              </w:rPr>
              <w:t>Não pode alterar decisões já encerradas. Não pode gerenciar usuários.</w:t>
            </w:r>
          </w:p>
        </w:tc>
      </w:tr>
      <w:tr>
        <w:tc>
          <w:tcPr>
            <w:tcW w:type="dxa" w:w="2160"/>
            <w:shd w:fill="EDF2FA"/>
          </w:tcPr>
          <w:p>
            <w:r/>
            <w:r>
              <w:rPr>
                <w:rFonts w:ascii="Calibri" w:hAnsi="Calibri"/>
                <w:b w:val="0"/>
                <w:sz w:val="20"/>
              </w:rPr>
              <w:t>Analista Tributário</w:t>
            </w:r>
          </w:p>
        </w:tc>
        <w:tc>
          <w:tcPr>
            <w:tcW w:type="dxa" w:w="2160"/>
            <w:shd w:fill="EDF2FA"/>
          </w:tcPr>
          <w:p>
            <w:r/>
            <w:r>
              <w:rPr>
                <w:rFonts w:ascii="Calibri" w:hAnsi="Calibri"/>
                <w:b w:val="0"/>
                <w:sz w:val="20"/>
              </w:rPr>
              <w:t>CNPJ</w:t>
            </w:r>
          </w:p>
        </w:tc>
        <w:tc>
          <w:tcPr>
            <w:tcW w:type="dxa" w:w="2160"/>
            <w:shd w:fill="EDF2FA"/>
          </w:tcPr>
          <w:p>
            <w:r/>
            <w:r>
              <w:rPr>
                <w:rFonts w:ascii="Calibri" w:hAnsi="Calibri"/>
                <w:b w:val="0"/>
                <w:sz w:val="20"/>
              </w:rPr>
              <w:t>Visualizar decisões, criar simulações de cenários, gerar relatórios.</w:t>
            </w:r>
          </w:p>
        </w:tc>
        <w:tc>
          <w:tcPr>
            <w:tcW w:type="dxa" w:w="2160"/>
            <w:shd w:fill="EDF2FA"/>
          </w:tcPr>
          <w:p>
            <w:r/>
            <w:r>
              <w:rPr>
                <w:rFonts w:ascii="Calibri" w:hAnsi="Calibri"/>
                <w:b w:val="0"/>
                <w:sz w:val="20"/>
              </w:rPr>
              <w:t>Não pode registrar decisão final (Passo 6). Não pode encerrar casos.</w:t>
            </w:r>
          </w:p>
        </w:tc>
      </w:tr>
      <w:tr>
        <w:tc>
          <w:tcPr>
            <w:tcW w:type="dxa" w:w="2160"/>
          </w:tcPr>
          <w:p>
            <w:r/>
            <w:r>
              <w:rPr>
                <w:rFonts w:ascii="Calibri" w:hAnsi="Calibri"/>
                <w:b w:val="0"/>
                <w:sz w:val="20"/>
              </w:rPr>
              <w:t>Auditor / Compliance</w:t>
            </w:r>
          </w:p>
        </w:tc>
        <w:tc>
          <w:tcPr>
            <w:tcW w:type="dxa" w:w="2160"/>
          </w:tcPr>
          <w:p>
            <w:r/>
            <w:r>
              <w:rPr>
                <w:rFonts w:ascii="Calibri" w:hAnsi="Calibri"/>
                <w:b w:val="0"/>
                <w:sz w:val="20"/>
              </w:rPr>
              <w:t>CNPJ</w:t>
            </w:r>
          </w:p>
        </w:tc>
        <w:tc>
          <w:tcPr>
            <w:tcW w:type="dxa" w:w="2160"/>
          </w:tcPr>
          <w:p>
            <w:r/>
            <w:r>
              <w:rPr>
                <w:rFonts w:ascii="Calibri" w:hAnsi="Calibri"/>
                <w:b w:val="0"/>
                <w:sz w:val="20"/>
              </w:rPr>
              <w:t>Visualizar todas as decisões, premissas, divergências, logs. Gerar relatórios de auditoria.</w:t>
            </w:r>
          </w:p>
        </w:tc>
        <w:tc>
          <w:tcPr>
            <w:tcW w:type="dxa" w:w="2160"/>
          </w:tcPr>
          <w:p>
            <w:r/>
            <w:r>
              <w:rPr>
                <w:rFonts w:ascii="Calibri" w:hAnsi="Calibri"/>
                <w:b w:val="0"/>
                <w:sz w:val="20"/>
              </w:rPr>
              <w:t>Somente leitura. Não pode criar nem alterar decisões.</w:t>
            </w:r>
          </w:p>
        </w:tc>
      </w:tr>
      <w:tr>
        <w:tc>
          <w:tcPr>
            <w:tcW w:type="dxa" w:w="2160"/>
            <w:shd w:fill="EDF2FA"/>
          </w:tcPr>
          <w:p>
            <w:r/>
            <w:r>
              <w:rPr>
                <w:rFonts w:ascii="Calibri" w:hAnsi="Calibri"/>
                <w:b w:val="0"/>
                <w:sz w:val="20"/>
              </w:rPr>
              <w:t>Consultor Externo</w:t>
            </w:r>
          </w:p>
        </w:tc>
        <w:tc>
          <w:tcPr>
            <w:tcW w:type="dxa" w:w="2160"/>
            <w:shd w:fill="EDF2FA"/>
          </w:tcPr>
          <w:p>
            <w:r/>
            <w:r>
              <w:rPr>
                <w:rFonts w:ascii="Calibri" w:hAnsi="Calibri"/>
                <w:b w:val="0"/>
                <w:sz w:val="20"/>
              </w:rPr>
              <w:t>CNPJ (temporário)</w:t>
            </w:r>
          </w:p>
        </w:tc>
        <w:tc>
          <w:tcPr>
            <w:tcW w:type="dxa" w:w="2160"/>
            <w:shd w:fill="EDF2FA"/>
          </w:tcPr>
          <w:p>
            <w:r/>
            <w:r>
              <w:rPr>
                <w:rFonts w:ascii="Calibri" w:hAnsi="Calibri"/>
                <w:b w:val="0"/>
                <w:sz w:val="20"/>
              </w:rPr>
              <w:t>Visualizar decisões compartilhadas, contribuir com análises.</w:t>
            </w:r>
          </w:p>
        </w:tc>
        <w:tc>
          <w:tcPr>
            <w:tcW w:type="dxa" w:w="2160"/>
            <w:shd w:fill="EDF2FA"/>
          </w:tcPr>
          <w:p>
            <w:r/>
            <w:r>
              <w:rPr>
                <w:rFonts w:ascii="Calibri" w:hAnsi="Calibri"/>
                <w:b w:val="0"/>
                <w:sz w:val="20"/>
              </w:rPr>
              <w:t>Acesso por tempo limitado. Não vê dados financeiros sensíveis salvo autorização.</w:t>
            </w:r>
          </w:p>
        </w:tc>
      </w:tr>
      <w:tr>
        <w:tc>
          <w:tcPr>
            <w:tcW w:type="dxa" w:w="2160"/>
          </w:tcPr>
          <w:p>
            <w:r/>
            <w:r>
              <w:rPr>
                <w:rFonts w:ascii="Calibri" w:hAnsi="Calibri"/>
                <w:b w:val="0"/>
                <w:sz w:val="20"/>
              </w:rPr>
              <w:t>Administrador do Grupo</w:t>
            </w:r>
          </w:p>
        </w:tc>
        <w:tc>
          <w:tcPr>
            <w:tcW w:type="dxa" w:w="2160"/>
          </w:tcPr>
          <w:p>
            <w:r/>
            <w:r>
              <w:rPr>
                <w:rFonts w:ascii="Calibri" w:hAnsi="Calibri"/>
                <w:b w:val="0"/>
                <w:sz w:val="20"/>
              </w:rPr>
              <w:t>Grupo (multi-CNPJ)</w:t>
            </w:r>
          </w:p>
        </w:tc>
        <w:tc>
          <w:tcPr>
            <w:tcW w:type="dxa" w:w="2160"/>
          </w:tcPr>
          <w:p>
            <w:r/>
            <w:r>
              <w:rPr>
                <w:rFonts w:ascii="Calibri" w:hAnsi="Calibri"/>
                <w:b w:val="0"/>
                <w:sz w:val="20"/>
              </w:rPr>
              <w:t>Visualizar consolidado de heurísticas e KPIs do grupo. Gerenciar vínculos entre tenants.</w:t>
            </w:r>
          </w:p>
        </w:tc>
        <w:tc>
          <w:tcPr>
            <w:tcW w:type="dxa" w:w="2160"/>
          </w:tcPr>
          <w:p>
            <w:r/>
            <w:r>
              <w:rPr>
                <w:rFonts w:ascii="Calibri" w:hAnsi="Calibri"/>
                <w:b w:val="0"/>
                <w:sz w:val="20"/>
              </w:rPr>
              <w:t>Não pode acessar decisões individuais das empresas salvo autorização.</w:t>
            </w:r>
          </w:p>
        </w:tc>
      </w:tr>
      <w:tr>
        <w:tc>
          <w:tcPr>
            <w:tcW w:type="dxa" w:w="2160"/>
          </w:tcPr>
          <w:p>
            <w:r>
              <w:t>Analista de Processos</w:t>
            </w:r>
          </w:p>
        </w:tc>
        <w:tc>
          <w:tcPr>
            <w:tcW w:type="dxa" w:w="2160"/>
          </w:tcPr>
          <w:p>
            <w:r>
              <w:t>CNPJ</w:t>
            </w:r>
          </w:p>
        </w:tc>
        <w:tc>
          <w:tcPr>
            <w:tcW w:type="dxa" w:w="2160"/>
          </w:tcPr>
          <w:p>
            <w:r>
              <w:t>Descrever processos financeiros/fiscais, solicitar análise de impacto RT sobre processos, visualizar recomendações de adequação APQC × RT.</w:t>
            </w:r>
          </w:p>
        </w:tc>
        <w:tc>
          <w:tcPr>
            <w:tcW w:type="dxa" w:w="2160"/>
          </w:tcPr>
          <w:p>
            <w:r>
              <w:t>Não pode aprovar implementações de adequação. Não pode alterar a base de conhecimento. Não pode registrar decisão final (Passo 6).</w:t>
            </w:r>
          </w:p>
        </w:tc>
      </w:tr>
      <w:tr>
        <w:tc>
          <w:tcPr>
            <w:tcW w:type="dxa" w:w="2160"/>
          </w:tcPr>
          <w:p>
            <w:r>
              <w:t>Especialista Tributário</w:t>
            </w:r>
          </w:p>
        </w:tc>
        <w:tc>
          <w:tcPr>
            <w:tcW w:type="dxa" w:w="2160"/>
          </w:tcPr>
          <w:p>
            <w:r>
              <w:t>CNPJ</w:t>
            </w:r>
          </w:p>
        </w:tc>
        <w:tc>
          <w:tcPr>
            <w:tcW w:type="dxa" w:w="2160"/>
          </w:tcPr>
          <w:p>
            <w:r>
              <w:t>Todas as permissões do Gestor Tributário, mais: ativar Modo Exploração, analisar teses alternativas, simular cenários de planejamento tributário.</w:t>
            </w:r>
          </w:p>
        </w:tc>
        <w:tc>
          <w:tcPr>
            <w:tcW w:type="dxa" w:w="2160"/>
          </w:tcPr>
          <w:p>
            <w:r>
              <w:t>Não pode aprovar implementação de tese explorada em Modo Exploração (SoD). Não pode gerenciar usuários.</w:t>
            </w:r>
          </w:p>
        </w:tc>
      </w:tr>
      <w:tr>
        <w:tc>
          <w:tcPr>
            <w:tcW w:type="dxa" w:w="2160"/>
          </w:tcPr>
          <w:p>
            <w:r>
              <w:t>Consultor Parceiro</w:t>
            </w:r>
          </w:p>
        </w:tc>
        <w:tc>
          <w:tcPr>
            <w:tcW w:type="dxa" w:w="2160"/>
          </w:tcPr>
          <w:p>
            <w:r>
              <w:t>Multi-CNPJ (clientes gerenciados)</w:t>
            </w:r>
          </w:p>
        </w:tc>
        <w:tc>
          <w:tcPr>
            <w:tcW w:type="dxa" w:w="2160"/>
          </w:tcPr>
          <w:p>
            <w:r>
              <w:t>Onboarding de clientes, gestao de licencas, publicacao de templates/metodologias, metricas consolidadas (anonimizadas), suporte com consentimento do cliente</w:t>
            </w:r>
          </w:p>
        </w:tc>
        <w:tc>
          <w:tcPr>
            <w:tcW w:type="dxa" w:w="2160"/>
          </w:tcPr>
          <w:p>
            <w:r>
              <w:t>Vedado cruzamento de dados entre clientes. Nao decide pelo cliente (SoD). Nao acessa decisoes individuais sem convite do tenant.</w:t>
            </w:r>
          </w:p>
        </w:tc>
      </w:tr>
    </w:tbl>
    <w:p>
      <w:pPr>
        <w:pStyle w:val="Heading2"/>
      </w:pPr>
      <w:r>
        <w:t>Regras de SoD Críticas</w:t>
      </w:r>
    </w:p>
    <w:p>
      <w:pPr>
        <w:spacing w:after="120" w:before="0"/>
      </w:pPr>
      <w:r>
        <w:rPr>
          <w:rFonts w:ascii="Calibri" w:hAnsi="Calibri"/>
          <w:b/>
          <w:i w:val="0"/>
          <w:sz w:val="22"/>
        </w:rPr>
        <w:t>As seguintes combinações são proibidas por design (não por configuração):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Regra SoD</w:t>
            </w:r>
          </w:p>
        </w:tc>
        <w:tc>
          <w:tcPr>
            <w:tcW w:type="dxa" w:w="2880"/>
            <w:shd w:fill="1A3C6E"/>
          </w:tcPr>
          <w:p>
            <w:r>
              <w:rPr>
                <w:color w:val="FFFFFF"/>
              </w:rPr>
            </w:r>
            <w:r>
              <w:rPr>
                <w:rFonts w:ascii="Calibri" w:hAnsi="Calibri"/>
                <w:b/>
                <w:color w:val="FFFFFF"/>
                <w:sz w:val="20"/>
              </w:rPr>
              <w:t>O que impede</w:t>
            </w:r>
          </w:p>
        </w:tc>
        <w:tc>
          <w:tcPr>
            <w:tcW w:type="dxa" w:w="2880"/>
            <w:shd w:fill="1A3C6E"/>
          </w:tcPr>
          <w:p>
            <w:r>
              <w:rPr>
                <w:color w:val="FFFFFF"/>
              </w:rPr>
            </w:r>
            <w:r>
              <w:rPr>
                <w:rFonts w:ascii="Calibri" w:hAnsi="Calibri"/>
                <w:b/>
                <w:color w:val="FFFFFF"/>
                <w:sz w:val="20"/>
              </w:rPr>
              <w:t>Justificativa</w:t>
            </w:r>
          </w:p>
        </w:tc>
      </w:tr>
      <w:tr>
        <w:tc>
          <w:tcPr>
            <w:tcW w:type="dxa" w:w="2880"/>
            <w:shd w:fill="EDF2FA"/>
          </w:tcPr>
          <w:p>
            <w:r/>
            <w:r>
              <w:rPr>
                <w:rFonts w:ascii="Calibri" w:hAnsi="Calibri"/>
                <w:b w:val="0"/>
                <w:sz w:val="20"/>
              </w:rPr>
              <w:t>Quem decide ≠ quem aprova</w:t>
            </w:r>
          </w:p>
        </w:tc>
        <w:tc>
          <w:tcPr>
            <w:tcW w:type="dxa" w:w="2880"/>
            <w:shd w:fill="EDF2FA"/>
          </w:tcPr>
          <w:p>
            <w:r/>
            <w:r>
              <w:rPr>
                <w:rFonts w:ascii="Calibri" w:hAnsi="Calibri"/>
                <w:b w:val="0"/>
                <w:sz w:val="20"/>
              </w:rPr>
              <w:t>O mesmo usuário não pode registrar a decisão (Passo 6) e aprovar/encerrar o caso</w:t>
            </w:r>
          </w:p>
        </w:tc>
        <w:tc>
          <w:tcPr>
            <w:tcW w:type="dxa" w:w="2880"/>
            <w:shd w:fill="EDF2FA"/>
          </w:tcPr>
          <w:p>
            <w:r/>
            <w:r>
              <w:rPr>
                <w:rFonts w:ascii="Calibri" w:hAnsi="Calibri"/>
                <w:b w:val="0"/>
                <w:sz w:val="20"/>
              </w:rPr>
              <w:t>Four-eyes principle — toda decisão de impacto precisa de revisão por segundo par de olhos</w:t>
            </w:r>
          </w:p>
        </w:tc>
      </w:tr>
      <w:tr>
        <w:tc>
          <w:tcPr>
            <w:tcW w:type="dxa" w:w="2880"/>
          </w:tcPr>
          <w:p>
            <w:r/>
            <w:r>
              <w:rPr>
                <w:rFonts w:ascii="Calibri" w:hAnsi="Calibri"/>
                <w:b w:val="0"/>
                <w:sz w:val="20"/>
              </w:rPr>
              <w:t>Quem administra ≠ quem audita</w:t>
            </w:r>
          </w:p>
        </w:tc>
        <w:tc>
          <w:tcPr>
            <w:tcW w:type="dxa" w:w="2880"/>
          </w:tcPr>
          <w:p>
            <w:r/>
            <w:r>
              <w:rPr>
                <w:rFonts w:ascii="Calibri" w:hAnsi="Calibri"/>
                <w:b w:val="0"/>
                <w:sz w:val="20"/>
              </w:rPr>
              <w:t>O Administrador do Tenant não pode ter papel simultâneo de Auditor</w:t>
            </w:r>
          </w:p>
        </w:tc>
        <w:tc>
          <w:tcPr>
            <w:tcW w:type="dxa" w:w="2880"/>
          </w:tcPr>
          <w:p>
            <w:r/>
            <w:r>
              <w:rPr>
                <w:rFonts w:ascii="Calibri" w:hAnsi="Calibri"/>
                <w:b w:val="0"/>
                <w:sz w:val="20"/>
              </w:rPr>
              <w:t>Evita que quem controla acessos também controle a trilha de auditoria</w:t>
            </w:r>
          </w:p>
        </w:tc>
      </w:tr>
      <w:tr>
        <w:tc>
          <w:tcPr>
            <w:tcW w:type="dxa" w:w="2880"/>
            <w:shd w:fill="EDF2FA"/>
          </w:tcPr>
          <w:p>
            <w:r/>
            <w:r>
              <w:rPr>
                <w:rFonts w:ascii="Calibri" w:hAnsi="Calibri"/>
                <w:b w:val="0"/>
                <w:sz w:val="20"/>
              </w:rPr>
              <w:t>Quem simula ≠ quem registra resultado</w:t>
            </w:r>
          </w:p>
        </w:tc>
        <w:tc>
          <w:tcPr>
            <w:tcW w:type="dxa" w:w="2880"/>
            <w:shd w:fill="EDF2FA"/>
          </w:tcPr>
          <w:p>
            <w:r/>
            <w:r>
              <w:rPr>
                <w:rFonts w:ascii="Calibri" w:hAnsi="Calibri"/>
                <w:b w:val="0"/>
                <w:sz w:val="20"/>
              </w:rPr>
              <w:t>Quem executou a simulação de cenários não pode registrar os resultados reais (Passo 8)</w:t>
            </w:r>
          </w:p>
        </w:tc>
        <w:tc>
          <w:tcPr>
            <w:tcW w:type="dxa" w:w="2880"/>
            <w:shd w:fill="EDF2FA"/>
          </w:tcPr>
          <w:p>
            <w:r/>
            <w:r>
              <w:rPr>
                <w:rFonts w:ascii="Calibri" w:hAnsi="Calibri"/>
                <w:b w:val="0"/>
                <w:sz w:val="20"/>
              </w:rPr>
              <w:t>Evita viés de confirmação no registro de resultados</w:t>
            </w:r>
          </w:p>
        </w:tc>
      </w:tr>
      <w:tr>
        <w:tc>
          <w:tcPr>
            <w:tcW w:type="dxa" w:w="2880"/>
          </w:tcPr>
          <w:p>
            <w:r/>
            <w:r>
              <w:rPr>
                <w:rFonts w:ascii="Calibri" w:hAnsi="Calibri"/>
                <w:b w:val="0"/>
                <w:sz w:val="20"/>
              </w:rPr>
              <w:t>Consultor externo ≠ decisor</w:t>
            </w:r>
          </w:p>
        </w:tc>
        <w:tc>
          <w:tcPr>
            <w:tcW w:type="dxa" w:w="2880"/>
          </w:tcPr>
          <w:p>
            <w:r/>
            <w:r>
              <w:rPr>
                <w:rFonts w:ascii="Calibri" w:hAnsi="Calibri"/>
                <w:b w:val="0"/>
                <w:sz w:val="20"/>
              </w:rPr>
              <w:t>Consultores externos não podem registrar decisão final</w:t>
            </w:r>
          </w:p>
        </w:tc>
        <w:tc>
          <w:tcPr>
            <w:tcW w:type="dxa" w:w="2880"/>
          </w:tcPr>
          <w:p>
            <w:r/>
            <w:r>
              <w:rPr>
                <w:rFonts w:ascii="Calibri" w:hAnsi="Calibri"/>
                <w:b w:val="0"/>
                <w:sz w:val="20"/>
              </w:rPr>
              <w:t>A decisão é sempre da empresa — o consultor contribui, não decide</w:t>
            </w:r>
          </w:p>
        </w:tc>
      </w:tr>
      <w:tr>
        <w:tc>
          <w:tcPr>
            <w:tcW w:type="dxa" w:w="2880"/>
          </w:tcPr>
          <w:p>
            <w:r>
              <w:t>Quem descreve processos ≠ quem aprova implementação</w:t>
            </w:r>
          </w:p>
        </w:tc>
        <w:tc>
          <w:tcPr>
            <w:tcW w:type="dxa" w:w="2880"/>
          </w:tcPr>
          <w:p>
            <w:r>
              <w:t>O Analista de Processos que descreve processos e solicita análise de impacto não pode aprovar a implementação das recomendações de adequação</w:t>
            </w:r>
          </w:p>
        </w:tc>
        <w:tc>
          <w:tcPr>
            <w:tcW w:type="dxa" w:w="2880"/>
          </w:tcPr>
          <w:p>
            <w:r>
              <w:t>Separa a função de diagnóstico (análise de impacto) da função de execução (implementação de mudanças)</w:t>
            </w:r>
          </w:p>
        </w:tc>
      </w:tr>
      <w:tr>
        <w:tc>
          <w:tcPr>
            <w:tcW w:type="dxa" w:w="2880"/>
          </w:tcPr>
          <w:p>
            <w:r>
              <w:t>Quem explora ≠ quem aprova</w:t>
            </w:r>
          </w:p>
        </w:tc>
        <w:tc>
          <w:tcPr>
            <w:tcW w:type="dxa" w:w="2880"/>
          </w:tcPr>
          <w:p>
            <w:r>
              <w:t>Quem ativa o Modo Exploração e analisa teses alternativas não pode ser o mesmo que aprova a implementação de tese agressiva</w:t>
            </w:r>
          </w:p>
        </w:tc>
        <w:tc>
          <w:tcPr>
            <w:tcW w:type="dxa" w:w="2880"/>
          </w:tcPr>
          <w:p>
            <w:r>
              <w:t>Separa a exploração intelectual (análise de alternativas) da decisão de implementação (assunção de risco). Evita que a mesma pessoa explore e valide sem segundo par de olhos.</w:t>
            </w:r>
          </w:p>
        </w:tc>
      </w:tr>
      <w:tr>
        <w:tc>
          <w:tcPr>
            <w:tcW w:type="dxa" w:w="2880"/>
          </w:tcPr>
          <w:p>
            <w:r>
              <w:t>7</w:t>
            </w:r>
          </w:p>
        </w:tc>
        <w:tc>
          <w:tcPr>
            <w:tcW w:type="dxa" w:w="2880"/>
          </w:tcPr>
          <w:p>
            <w:r>
              <w:t>Consultor parceiro != administrador do tenant do cliente</w:t>
            </w:r>
          </w:p>
        </w:tc>
        <w:tc>
          <w:tcPr>
            <w:tcW w:type="dxa" w:w="2880"/>
          </w:tcPr>
          <w:p>
            <w:r>
              <w:t>O parceiro gerencia sua relacao comercial; a administracao do tenant e do cliente. Preserva autonomia e independencia.</w:t>
            </w:r>
          </w:p>
        </w:tc>
      </w:tr>
    </w:tbl>
    <w:p>
      <w:pPr>
        <w:spacing w:after="120" w:before="160"/>
      </w:pPr>
      <w:r>
        <w:rPr>
          <w:rFonts w:ascii="Calibri" w:hAnsi="Calibri"/>
          <w:b/>
          <w:i w:val="0"/>
          <w:sz w:val="22"/>
        </w:rPr>
        <w:t>Essas regras são enforced no backend (não apenas no frontend). Mesmo via API direta, as combinações proibidas são bloqueadas.</w:t>
      </w:r>
    </w:p>
    <w:p>
      <w:pPr>
        <w:pStyle w:val="Heading2"/>
      </w:pPr>
      <w:r>
        <w:t>Matriz de Permissões por Passo do Protocolo</w:t>
      </w:r>
    </w:p>
    <w:p>
      <w:pPr>
        <w:spacing w:after="120" w:before="0"/>
      </w:pPr>
      <w:r>
        <w:rPr>
          <w:rFonts w:ascii="Calibri" w:hAnsi="Calibri"/>
          <w:b w:val="0"/>
          <w:i w:val="0"/>
          <w:sz w:val="22"/>
        </w:rPr>
        <w:t>Cada passo do protocolo Orbis.tax tem permissões específicas: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r>
              <w:rPr>
                <w:color w:val="FFFFFF"/>
              </w:rPr>
            </w:r>
            <w:r>
              <w:rPr>
                <w:rFonts w:ascii="Calibri" w:hAnsi="Calibri"/>
                <w:b/>
                <w:color w:val="FFFFFF"/>
                <w:sz w:val="20"/>
              </w:rPr>
              <w:t>Passo</w:t>
            </w:r>
          </w:p>
        </w:tc>
        <w:tc>
          <w:tcPr>
            <w:tcW w:type="dxa" w:w="1440"/>
            <w:shd w:fill="1A3C6E"/>
          </w:tcPr>
          <w:p>
            <w:r>
              <w:rPr>
                <w:color w:val="FFFFFF"/>
              </w:rPr>
            </w:r>
            <w:r>
              <w:rPr>
                <w:rFonts w:ascii="Calibri" w:hAnsi="Calibri"/>
                <w:b/>
                <w:color w:val="FFFFFF"/>
                <w:sz w:val="20"/>
              </w:rPr>
              <w:t>Admin Tenant</w:t>
            </w:r>
          </w:p>
        </w:tc>
        <w:tc>
          <w:tcPr>
            <w:tcW w:type="dxa" w:w="1440"/>
            <w:shd w:fill="1A3C6E"/>
          </w:tcPr>
          <w:p>
            <w:r>
              <w:rPr>
                <w:color w:val="FFFFFF"/>
              </w:rPr>
            </w:r>
            <w:r>
              <w:rPr>
                <w:rFonts w:ascii="Calibri" w:hAnsi="Calibri"/>
                <w:b/>
                <w:color w:val="FFFFFF"/>
                <w:sz w:val="20"/>
              </w:rPr>
              <w:t>Gestor Trib.</w:t>
            </w:r>
          </w:p>
        </w:tc>
        <w:tc>
          <w:tcPr>
            <w:tcW w:type="dxa" w:w="1440"/>
            <w:shd w:fill="1A3C6E"/>
          </w:tcPr>
          <w:p>
            <w:r>
              <w:rPr>
                <w:color w:val="FFFFFF"/>
              </w:rPr>
            </w:r>
            <w:r>
              <w:rPr>
                <w:rFonts w:ascii="Calibri" w:hAnsi="Calibri"/>
                <w:b/>
                <w:color w:val="FFFFFF"/>
                <w:sz w:val="20"/>
              </w:rPr>
              <w:t>Analista</w:t>
            </w:r>
          </w:p>
        </w:tc>
        <w:tc>
          <w:tcPr>
            <w:tcW w:type="dxa" w:w="1440"/>
            <w:shd w:fill="1A3C6E"/>
          </w:tcPr>
          <w:p>
            <w:r>
              <w:rPr>
                <w:color w:val="FFFFFF"/>
              </w:rPr>
            </w:r>
            <w:r>
              <w:rPr>
                <w:rFonts w:ascii="Calibri" w:hAnsi="Calibri"/>
                <w:b/>
                <w:color w:val="FFFFFF"/>
                <w:sz w:val="20"/>
              </w:rPr>
              <w:t>Auditor</w:t>
            </w:r>
          </w:p>
        </w:tc>
        <w:tc>
          <w:tcPr>
            <w:tcW w:type="dxa" w:w="1440"/>
            <w:shd w:fill="1A3C6E"/>
          </w:tcPr>
          <w:p>
            <w:r>
              <w:rPr>
                <w:color w:val="FFFFFF"/>
              </w:rPr>
            </w:r>
            <w:r>
              <w:rPr>
                <w:rFonts w:ascii="Calibri" w:hAnsi="Calibri"/>
                <w:b/>
                <w:color w:val="FFFFFF"/>
                <w:sz w:val="20"/>
              </w:rPr>
              <w:t>Consultor Ext.</w:t>
            </w:r>
          </w:p>
        </w:tc>
      </w:tr>
      <w:tr>
        <w:tc>
          <w:tcPr>
            <w:tcW w:type="dxa" w:w="1440"/>
            <w:shd w:fill="EDF2FA"/>
          </w:tcPr>
          <w:p>
            <w:r/>
            <w:r>
              <w:rPr>
                <w:rFonts w:ascii="Calibri" w:hAnsi="Calibri"/>
                <w:b w:val="0"/>
                <w:sz w:val="20"/>
              </w:rPr>
              <w:t>1. Registrar</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r>
      <w:tr>
        <w:tc>
          <w:tcPr>
            <w:tcW w:type="dxa" w:w="1440"/>
          </w:tcPr>
          <w:p>
            <w:r/>
            <w:r>
              <w:rPr>
                <w:rFonts w:ascii="Calibri" w:hAnsi="Calibri"/>
                <w:b w:val="0"/>
                <w:sz w:val="20"/>
              </w:rPr>
              <w:t>2. Classificar</w:t>
            </w:r>
          </w:p>
        </w:tc>
        <w:tc>
          <w:tcPr>
            <w:tcW w:type="dxa" w:w="1440"/>
          </w:tcPr>
          <w:p>
            <w:r/>
            <w:r>
              <w:rPr>
                <w:rFonts w:ascii="Calibri" w:hAnsi="Calibri"/>
                <w:b w:val="0"/>
                <w:sz w:val="20"/>
              </w:rPr>
              <w:t>✓</w:t>
            </w:r>
          </w:p>
        </w:tc>
        <w:tc>
          <w:tcPr>
            <w:tcW w:type="dxa" w:w="1440"/>
          </w:tcPr>
          <w:p>
            <w:r/>
            <w:r>
              <w:rPr>
                <w:rFonts w:ascii="Calibri" w:hAnsi="Calibri"/>
                <w:b w:val="0"/>
                <w:sz w:val="20"/>
              </w:rPr>
              <w:t>✓</w:t>
            </w:r>
          </w:p>
        </w:tc>
        <w:tc>
          <w:tcPr>
            <w:tcW w:type="dxa" w:w="1440"/>
          </w:tcPr>
          <w:p>
            <w:r/>
            <w:r>
              <w:rPr>
                <w:rFonts w:ascii="Calibri" w:hAnsi="Calibri"/>
                <w:b w:val="0"/>
                <w:sz w:val="20"/>
              </w:rPr>
              <w:t>✓ (sugerir)</w:t>
            </w:r>
          </w:p>
        </w:tc>
        <w:tc>
          <w:tcPr>
            <w:tcW w:type="dxa" w:w="1440"/>
          </w:tcPr>
          <w:p>
            <w:r/>
            <w:r>
              <w:rPr>
                <w:rFonts w:ascii="Calibri" w:hAnsi="Calibri"/>
                <w:b w:val="0"/>
                <w:sz w:val="20"/>
              </w:rPr>
              <w:t>—</w:t>
            </w:r>
          </w:p>
        </w:tc>
        <w:tc>
          <w:tcPr>
            <w:tcW w:type="dxa" w:w="1440"/>
          </w:tcPr>
          <w:p>
            <w:r/>
            <w:r>
              <w:rPr>
                <w:rFonts w:ascii="Calibri" w:hAnsi="Calibri"/>
                <w:b w:val="0"/>
                <w:sz w:val="20"/>
              </w:rPr>
              <w:t>—</w:t>
            </w:r>
          </w:p>
        </w:tc>
      </w:tr>
      <w:tr>
        <w:tc>
          <w:tcPr>
            <w:tcW w:type="dxa" w:w="1440"/>
            <w:shd w:fill="EDF2FA"/>
          </w:tcPr>
          <w:p>
            <w:r/>
            <w:r>
              <w:rPr>
                <w:rFonts w:ascii="Calibri" w:hAnsi="Calibri"/>
                <w:b w:val="0"/>
                <w:sz w:val="20"/>
              </w:rPr>
              <w:t>3. Premissas/Riscos</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 (contribuir)</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 (contribuir)</w:t>
            </w:r>
          </w:p>
        </w:tc>
      </w:tr>
      <w:tr>
        <w:tc>
          <w:tcPr>
            <w:tcW w:type="dxa" w:w="1440"/>
          </w:tcPr>
          <w:p>
            <w:r/>
            <w:r>
              <w:rPr>
                <w:rFonts w:ascii="Calibri" w:hAnsi="Calibri"/>
                <w:b w:val="0"/>
                <w:sz w:val="20"/>
              </w:rPr>
              <w:t>4. Análise IA</w:t>
            </w:r>
          </w:p>
        </w:tc>
        <w:tc>
          <w:tcPr>
            <w:tcW w:type="dxa" w:w="1440"/>
          </w:tcPr>
          <w:p>
            <w:r/>
            <w:r>
              <w:rPr>
                <w:rFonts w:ascii="Calibri" w:hAnsi="Calibri"/>
                <w:b w:val="0"/>
                <w:sz w:val="20"/>
              </w:rPr>
              <w:t>✓</w:t>
            </w:r>
          </w:p>
        </w:tc>
        <w:tc>
          <w:tcPr>
            <w:tcW w:type="dxa" w:w="1440"/>
          </w:tcPr>
          <w:p>
            <w:r/>
            <w:r>
              <w:rPr>
                <w:rFonts w:ascii="Calibri" w:hAnsi="Calibri"/>
                <w:b w:val="0"/>
                <w:sz w:val="20"/>
              </w:rPr>
              <w:t>✓</w:t>
            </w:r>
          </w:p>
        </w:tc>
        <w:tc>
          <w:tcPr>
            <w:tcW w:type="dxa" w:w="1440"/>
          </w:tcPr>
          <w:p>
            <w:r/>
            <w:r>
              <w:rPr>
                <w:rFonts w:ascii="Calibri" w:hAnsi="Calibri"/>
                <w:b w:val="0"/>
                <w:sz w:val="20"/>
              </w:rPr>
              <w:t>✓</w:t>
            </w:r>
          </w:p>
        </w:tc>
        <w:tc>
          <w:tcPr>
            <w:tcW w:type="dxa" w:w="1440"/>
          </w:tcPr>
          <w:p>
            <w:r/>
            <w:r>
              <w:rPr>
                <w:rFonts w:ascii="Calibri" w:hAnsi="Calibri"/>
                <w:b w:val="0"/>
                <w:sz w:val="20"/>
              </w:rPr>
              <w:t>Leitura</w:t>
            </w:r>
          </w:p>
        </w:tc>
        <w:tc>
          <w:tcPr>
            <w:tcW w:type="dxa" w:w="1440"/>
          </w:tcPr>
          <w:p>
            <w:r/>
            <w:r>
              <w:rPr>
                <w:rFonts w:ascii="Calibri" w:hAnsi="Calibri"/>
                <w:b w:val="0"/>
                <w:sz w:val="20"/>
              </w:rPr>
              <w:t>Leitura</w:t>
            </w:r>
          </w:p>
        </w:tc>
      </w:tr>
      <w:tr>
        <w:tc>
          <w:tcPr>
            <w:tcW w:type="dxa" w:w="1440"/>
            <w:shd w:fill="EDF2FA"/>
          </w:tcPr>
          <w:p>
            <w:r/>
            <w:r>
              <w:rPr>
                <w:rFonts w:ascii="Calibri" w:hAnsi="Calibri"/>
                <w:b w:val="0"/>
                <w:sz w:val="20"/>
              </w:rPr>
              <w:t>5. Hipótese</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w:t>
            </w:r>
          </w:p>
        </w:tc>
      </w:tr>
      <w:tr>
        <w:tc>
          <w:tcPr>
            <w:tcW w:type="dxa" w:w="1440"/>
          </w:tcPr>
          <w:p>
            <w:r/>
            <w:r>
              <w:rPr>
                <w:rFonts w:ascii="Calibri" w:hAnsi="Calibri"/>
                <w:b w:val="0"/>
                <w:sz w:val="20"/>
              </w:rPr>
              <w:t>6. Decidir</w:t>
            </w:r>
          </w:p>
        </w:tc>
        <w:tc>
          <w:tcPr>
            <w:tcW w:type="dxa" w:w="1440"/>
          </w:tcPr>
          <w:p>
            <w:r/>
            <w:r>
              <w:rPr>
                <w:rFonts w:ascii="Calibri" w:hAnsi="Calibri"/>
                <w:b w:val="0"/>
                <w:sz w:val="20"/>
              </w:rPr>
              <w:t>—</w:t>
            </w:r>
          </w:p>
        </w:tc>
        <w:tc>
          <w:tcPr>
            <w:tcW w:type="dxa" w:w="1440"/>
          </w:tcPr>
          <w:p>
            <w:r/>
            <w:r>
              <w:rPr>
                <w:rFonts w:ascii="Calibri" w:hAnsi="Calibri"/>
                <w:b w:val="0"/>
                <w:sz w:val="20"/>
              </w:rPr>
              <w:t>✓ (requer 2º aprovador)</w:t>
            </w:r>
          </w:p>
        </w:tc>
        <w:tc>
          <w:tcPr>
            <w:tcW w:type="dxa" w:w="1440"/>
          </w:tcPr>
          <w:p>
            <w:r/>
            <w:r>
              <w:rPr>
                <w:rFonts w:ascii="Calibri" w:hAnsi="Calibri"/>
                <w:b w:val="0"/>
                <w:sz w:val="20"/>
              </w:rPr>
              <w:t>—</w:t>
            </w:r>
          </w:p>
        </w:tc>
        <w:tc>
          <w:tcPr>
            <w:tcW w:type="dxa" w:w="1440"/>
          </w:tcPr>
          <w:p>
            <w:r/>
            <w:r>
              <w:rPr>
                <w:rFonts w:ascii="Calibri" w:hAnsi="Calibri"/>
                <w:b w:val="0"/>
                <w:sz w:val="20"/>
              </w:rPr>
              <w:t>—</w:t>
            </w:r>
          </w:p>
        </w:tc>
        <w:tc>
          <w:tcPr>
            <w:tcW w:type="dxa" w:w="1440"/>
          </w:tcPr>
          <w:p>
            <w:r/>
            <w:r>
              <w:rPr>
                <w:rFonts w:ascii="Calibri" w:hAnsi="Calibri"/>
                <w:b w:val="0"/>
                <w:sz w:val="20"/>
              </w:rPr>
              <w:t>—</w:t>
            </w:r>
          </w:p>
        </w:tc>
      </w:tr>
      <w:tr>
        <w:tc>
          <w:tcPr>
            <w:tcW w:type="dxa" w:w="1440"/>
            <w:shd w:fill="EDF2FA"/>
          </w:tcPr>
          <w:p>
            <w:r/>
            <w:r>
              <w:rPr>
                <w:rFonts w:ascii="Calibri" w:hAnsi="Calibri"/>
                <w:b w:val="0"/>
                <w:sz w:val="20"/>
              </w:rPr>
              <w:t>7. Monitorar</w:t>
            </w:r>
          </w:p>
        </w:tc>
        <w:tc>
          <w:tcPr>
            <w:tcW w:type="dxa" w:w="1440"/>
            <w:shd w:fill="EDF2FA"/>
          </w:tcPr>
          <w:p>
            <w:r/>
            <w:r>
              <w:rPr>
                <w:rFonts w:ascii="Calibri" w:hAnsi="Calibri"/>
                <w:b w:val="0"/>
                <w:sz w:val="20"/>
              </w:rPr>
              <w:t>Leitura</w:t>
            </w:r>
          </w:p>
        </w:tc>
        <w:tc>
          <w:tcPr>
            <w:tcW w:type="dxa" w:w="1440"/>
            <w:shd w:fill="EDF2FA"/>
          </w:tcPr>
          <w:p>
            <w:r/>
            <w:r>
              <w:rPr>
                <w:rFonts w:ascii="Calibri" w:hAnsi="Calibri"/>
                <w:b w:val="0"/>
                <w:sz w:val="20"/>
              </w:rPr>
              <w:t>✓</w:t>
            </w:r>
          </w:p>
        </w:tc>
        <w:tc>
          <w:tcPr>
            <w:tcW w:type="dxa" w:w="1440"/>
            <w:shd w:fill="EDF2FA"/>
          </w:tcPr>
          <w:p>
            <w:r/>
            <w:r>
              <w:rPr>
                <w:rFonts w:ascii="Calibri" w:hAnsi="Calibri"/>
                <w:b w:val="0"/>
                <w:sz w:val="20"/>
              </w:rPr>
              <w:t>✓ (alertas)</w:t>
            </w:r>
          </w:p>
        </w:tc>
        <w:tc>
          <w:tcPr>
            <w:tcW w:type="dxa" w:w="1440"/>
            <w:shd w:fill="EDF2FA"/>
          </w:tcPr>
          <w:p>
            <w:r/>
            <w:r>
              <w:rPr>
                <w:rFonts w:ascii="Calibri" w:hAnsi="Calibri"/>
                <w:b w:val="0"/>
                <w:sz w:val="20"/>
              </w:rPr>
              <w:t>Leitura</w:t>
            </w:r>
          </w:p>
        </w:tc>
        <w:tc>
          <w:tcPr>
            <w:tcW w:type="dxa" w:w="1440"/>
            <w:shd w:fill="EDF2FA"/>
          </w:tcPr>
          <w:p>
            <w:r/>
            <w:r>
              <w:rPr>
                <w:rFonts w:ascii="Calibri" w:hAnsi="Calibri"/>
                <w:b w:val="0"/>
                <w:sz w:val="20"/>
              </w:rPr>
              <w:t>—</w:t>
            </w:r>
          </w:p>
        </w:tc>
      </w:tr>
      <w:tr>
        <w:tc>
          <w:tcPr>
            <w:tcW w:type="dxa" w:w="1440"/>
          </w:tcPr>
          <w:p>
            <w:r/>
            <w:r>
              <w:rPr>
                <w:rFonts w:ascii="Calibri" w:hAnsi="Calibri"/>
                <w:b w:val="0"/>
                <w:sz w:val="20"/>
              </w:rPr>
              <w:t>8. Revisar</w:t>
            </w:r>
          </w:p>
        </w:tc>
        <w:tc>
          <w:tcPr>
            <w:tcW w:type="dxa" w:w="1440"/>
          </w:tcPr>
          <w:p>
            <w:r/>
            <w:r>
              <w:rPr>
                <w:rFonts w:ascii="Calibri" w:hAnsi="Calibri"/>
                <w:b w:val="0"/>
                <w:sz w:val="20"/>
              </w:rPr>
              <w:t>✓</w:t>
            </w:r>
          </w:p>
        </w:tc>
        <w:tc>
          <w:tcPr>
            <w:tcW w:type="dxa" w:w="1440"/>
          </w:tcPr>
          <w:p>
            <w:r/>
            <w:r>
              <w:rPr>
                <w:rFonts w:ascii="Calibri" w:hAnsi="Calibri"/>
                <w:b w:val="0"/>
                <w:sz w:val="20"/>
              </w:rPr>
              <w:t>✓ (≠ quem simulou)</w:t>
            </w:r>
          </w:p>
        </w:tc>
        <w:tc>
          <w:tcPr>
            <w:tcW w:type="dxa" w:w="1440"/>
          </w:tcPr>
          <w:p>
            <w:r/>
            <w:r>
              <w:rPr>
                <w:rFonts w:ascii="Calibri" w:hAnsi="Calibri"/>
                <w:b w:val="0"/>
                <w:sz w:val="20"/>
              </w:rPr>
              <w:t>—</w:t>
            </w:r>
          </w:p>
        </w:tc>
        <w:tc>
          <w:tcPr>
            <w:tcW w:type="dxa" w:w="1440"/>
          </w:tcPr>
          <w:p>
            <w:r/>
            <w:r>
              <w:rPr>
                <w:rFonts w:ascii="Calibri" w:hAnsi="Calibri"/>
                <w:b w:val="0"/>
                <w:sz w:val="20"/>
              </w:rPr>
              <w:t>Leitura</w:t>
            </w:r>
          </w:p>
        </w:tc>
        <w:tc>
          <w:tcPr>
            <w:tcW w:type="dxa" w:w="1440"/>
          </w:tcPr>
          <w:p>
            <w:r/>
            <w:r>
              <w:rPr>
                <w:rFonts w:ascii="Calibri" w:hAnsi="Calibri"/>
                <w:b w:val="0"/>
                <w:sz w:val="20"/>
              </w:rPr>
              <w:t>—</w:t>
            </w:r>
          </w:p>
        </w:tc>
      </w:tr>
      <w:tr>
        <w:tc>
          <w:tcPr>
            <w:tcW w:type="dxa" w:w="1440"/>
            <w:shd w:fill="EDF2FA"/>
          </w:tcPr>
          <w:p>
            <w:r/>
            <w:r>
              <w:rPr>
                <w:rFonts w:ascii="Calibri" w:hAnsi="Calibri"/>
                <w:b w:val="0"/>
                <w:sz w:val="20"/>
              </w:rPr>
              <w:t>9. Aprender</w:t>
            </w:r>
          </w:p>
        </w:tc>
        <w:tc>
          <w:tcPr>
            <w:tcW w:type="dxa" w:w="1440"/>
            <w:shd w:fill="EDF2FA"/>
          </w:tcPr>
          <w:p>
            <w:r/>
            <w:r>
              <w:rPr>
                <w:rFonts w:ascii="Calibri" w:hAnsi="Calibri"/>
                <w:b w:val="0"/>
                <w:sz w:val="20"/>
              </w:rPr>
              <w:t>Auto</w:t>
            </w:r>
          </w:p>
        </w:tc>
        <w:tc>
          <w:tcPr>
            <w:tcW w:type="dxa" w:w="1440"/>
            <w:shd w:fill="EDF2FA"/>
          </w:tcPr>
          <w:p>
            <w:r/>
            <w:r>
              <w:rPr>
                <w:rFonts w:ascii="Calibri" w:hAnsi="Calibri"/>
                <w:b w:val="0"/>
                <w:sz w:val="20"/>
              </w:rPr>
              <w:t>Auto</w:t>
            </w:r>
          </w:p>
        </w:tc>
        <w:tc>
          <w:tcPr>
            <w:tcW w:type="dxa" w:w="1440"/>
            <w:shd w:fill="EDF2FA"/>
          </w:tcPr>
          <w:p>
            <w:r/>
            <w:r>
              <w:rPr>
                <w:rFonts w:ascii="Calibri" w:hAnsi="Calibri"/>
                <w:b w:val="0"/>
                <w:sz w:val="20"/>
              </w:rPr>
              <w:t>Leitura</w:t>
            </w:r>
          </w:p>
        </w:tc>
        <w:tc>
          <w:tcPr>
            <w:tcW w:type="dxa" w:w="1440"/>
            <w:shd w:fill="EDF2FA"/>
          </w:tcPr>
          <w:p>
            <w:r/>
            <w:r>
              <w:rPr>
                <w:rFonts w:ascii="Calibri" w:hAnsi="Calibri"/>
                <w:b w:val="0"/>
                <w:sz w:val="20"/>
              </w:rPr>
              <w:t>Leitura</w:t>
            </w:r>
          </w:p>
        </w:tc>
        <w:tc>
          <w:tcPr>
            <w:tcW w:type="dxa" w:w="1440"/>
            <w:shd w:fill="EDF2FA"/>
          </w:tcPr>
          <w:p>
            <w:r/>
            <w:r>
              <w:rPr>
                <w:rFonts w:ascii="Calibri" w:hAnsi="Calibri"/>
                <w:b w:val="0"/>
                <w:sz w:val="20"/>
              </w:rPr>
              <w:t>—</w:t>
            </w:r>
          </w:p>
        </w:tc>
      </w:tr>
    </w:tbl>
    <w:p>
      <w:pPr>
        <w:spacing w:after="120" w:before="0"/>
      </w:pPr>
      <w:r>
        <w:rPr>
          <w:rFonts w:ascii="Calibri" w:hAnsi="Calibri"/>
          <w:b w:val="0"/>
          <w:i/>
          <w:color w:val="666666"/>
          <w:sz w:val="20"/>
        </w:rPr>
        <w:t>Legenda: ✓ = ação permitida; Leitura = somente visualização; Auto = processamento automático do sistema; — = sem acesso.</w:t>
      </w:r>
    </w:p>
    <w:p>
      <w:pPr/>
      <w:r>
        <w:t>Nota sobre Modo Exploração: o perfil "Especialista Tributário" herda todas as permissões do Gestor Tributário na tabela acima, e adicionalmente pode ativar o Modo Exploração nos Passos 3 e 4 do protocolo. Outputs gerados em Modo Exploração são marcados com flag específico e política de retenção diferenciada.</w:t>
      </w:r>
    </w:p>
    <w:p>
      <w:r>
        <w:br w:type="page"/>
      </w:r>
    </w:p>
    <w:p>
      <w:pPr>
        <w:pStyle w:val="Heading1"/>
      </w:pPr>
      <w:r>
        <w:t>Segurança de Backend</w:t>
      </w:r>
    </w:p>
    <w:p>
      <w:pPr>
        <w:spacing w:after="120" w:before="0"/>
      </w:pPr>
      <w:r>
        <w:rPr>
          <w:rFonts w:ascii="Calibri" w:hAnsi="Calibri"/>
          <w:b w:val="0"/>
          <w:i w:val="0"/>
          <w:sz w:val="22"/>
        </w:rPr>
        <w:t>Dado que o Orbis.tax processa informações tributárias estratégicas — equivalentes a segredos comerciais — o backend deve ser tratado com rigor máximo.</w:t>
      </w:r>
    </w:p>
    <w:p>
      <w:pPr>
        <w:pStyle w:val="Heading2"/>
      </w:pPr>
      <w:r>
        <w:t>Autenticação</w:t>
      </w:r>
    </w:p>
    <w:p>
      <w:pPr>
        <w:pStyle w:val="ListBullet"/>
      </w:pPr>
      <w:r>
        <w:rPr>
          <w:rFonts w:ascii="Calibri" w:hAnsi="Calibri"/>
          <w:b w:val="0"/>
          <w:sz w:val="22"/>
        </w:rPr>
        <w:t>Autenticação via provedor de identidade (IdP) externo — suporte a SSO (SAML 2.0 / OIDC)</w:t>
      </w:r>
    </w:p>
    <w:p>
      <w:pPr>
        <w:pStyle w:val="ListBullet"/>
      </w:pPr>
      <w:r>
        <w:rPr>
          <w:rFonts w:ascii="Calibri" w:hAnsi="Calibri"/>
          <w:b w:val="0"/>
          <w:sz w:val="22"/>
        </w:rPr>
        <w:t>MFA (Multi-Factor Authentication) obrigatório para papéis Admin e Gestor Tributário</w:t>
      </w:r>
    </w:p>
    <w:p>
      <w:pPr>
        <w:pStyle w:val="ListBullet"/>
      </w:pPr>
      <w:r>
        <w:rPr>
          <w:rFonts w:ascii="Calibri" w:hAnsi="Calibri"/>
          <w:b w:val="0"/>
          <w:sz w:val="22"/>
        </w:rPr>
        <w:t>Tokens JWT com validade curta (15 min access token + refresh token rotativo)</w:t>
      </w:r>
    </w:p>
    <w:p>
      <w:pPr>
        <w:pStyle w:val="ListBullet"/>
      </w:pPr>
      <w:r>
        <w:rPr>
          <w:rFonts w:ascii="Calibri" w:hAnsi="Calibri"/>
          <w:b w:val="0"/>
          <w:sz w:val="22"/>
        </w:rPr>
        <w:t>Sessões vinculadas a IP + User-Agent; mudança de qualquer um invalida a sessão</w:t>
      </w:r>
    </w:p>
    <w:p>
      <w:pPr>
        <w:pStyle w:val="ListBullet"/>
      </w:pPr>
      <w:r>
        <w:rPr>
          <w:rFonts w:ascii="Calibri" w:hAnsi="Calibri"/>
          <w:b w:val="0"/>
          <w:sz w:val="22"/>
        </w:rPr>
        <w:t>Bloqueio automático após 5 tentativas falhas (lockout progressivo)</w:t>
      </w:r>
    </w:p>
    <w:p>
      <w:pPr>
        <w:pStyle w:val="Heading2"/>
      </w:pPr>
      <w:r>
        <w:t>Autorização</w:t>
      </w:r>
    </w:p>
    <w:p>
      <w:pPr>
        <w:pStyle w:val="ListBullet"/>
      </w:pPr>
      <w:r>
        <w:rPr>
          <w:rFonts w:ascii="Calibri" w:hAnsi="Calibri"/>
          <w:b w:val="0"/>
          <w:sz w:val="22"/>
        </w:rPr>
        <w:t>RBAC enforced no backend (middleware de autorização em toda rota)</w:t>
      </w:r>
    </w:p>
    <w:p>
      <w:pPr>
        <w:pStyle w:val="ListBullet"/>
      </w:pPr>
      <w:r>
        <w:rPr>
          <w:rFonts w:ascii="Calibri" w:hAnsi="Calibri"/>
          <w:b w:val="0"/>
          <w:sz w:val="22"/>
        </w:rPr>
        <w:t>Tenant_id extraído do token, nunca do input do usuário</w:t>
      </w:r>
    </w:p>
    <w:p>
      <w:pPr>
        <w:pStyle w:val="ListBullet"/>
      </w:pPr>
      <w:r>
        <w:rPr>
          <w:rFonts w:ascii="Calibri" w:hAnsi="Calibri"/>
          <w:b w:val="0"/>
          <w:sz w:val="22"/>
        </w:rPr>
        <w:t>Row-Level Security (RLS) no banco como segunda camada de defesa — ✅ IMPLEMENTADO: migrations 133 (users, cases, mau_records) + 134 (api_usage); backward-compatible via app_tenant_id() helper</w:t>
      </w:r>
    </w:p>
    <w:p>
      <w:pPr>
        <w:pStyle w:val="ListBullet"/>
      </w:pPr>
      <w:r>
        <w:rPr>
          <w:rFonts w:ascii="Calibri" w:hAnsi="Calibri"/>
          <w:b w:val="0"/>
          <w:sz w:val="22"/>
        </w:rPr>
        <w:t>Permissões verificadas a cada request — sem cache de permissões no client</w:t>
      </w:r>
    </w:p>
    <w:p>
      <w:pPr>
        <w:pStyle w:val="ListBullet"/>
      </w:pPr>
      <w:r>
        <w:rPr>
          <w:rFonts w:ascii="Calibri" w:hAnsi="Calibri"/>
          <w:b w:val="0"/>
          <w:sz w:val="22"/>
        </w:rPr>
        <w:t>Endpoints administrativos em rede segregada (não expostos à internet pública)</w:t>
      </w:r>
    </w:p>
    <w:p>
      <w:pPr>
        <w:pStyle w:val="Heading2"/>
      </w:pPr>
      <w:r>
        <w:t>Criptografia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Camada</w:t>
            </w:r>
          </w:p>
        </w:tc>
        <w:tc>
          <w:tcPr>
            <w:tcW w:type="dxa" w:w="2880"/>
            <w:shd w:fill="1A3C6E"/>
          </w:tcPr>
          <w:p>
            <w:r>
              <w:rPr>
                <w:color w:val="FFFFFF"/>
              </w:rPr>
            </w:r>
            <w:r>
              <w:rPr>
                <w:rFonts w:ascii="Calibri" w:hAnsi="Calibri"/>
                <w:b/>
                <w:color w:val="FFFFFF"/>
                <w:sz w:val="20"/>
              </w:rPr>
              <w:t>Tipo</w:t>
            </w:r>
          </w:p>
        </w:tc>
        <w:tc>
          <w:tcPr>
            <w:tcW w:type="dxa" w:w="2880"/>
            <w:shd w:fill="1A3C6E"/>
          </w:tcPr>
          <w:p>
            <w:r>
              <w:rPr>
                <w:color w:val="FFFFFF"/>
              </w:rPr>
            </w:r>
            <w:r>
              <w:rPr>
                <w:rFonts w:ascii="Calibri" w:hAnsi="Calibri"/>
                <w:b/>
                <w:color w:val="FFFFFF"/>
                <w:sz w:val="20"/>
              </w:rPr>
              <w:t>Padrão mínimo</w:t>
            </w:r>
          </w:p>
        </w:tc>
      </w:tr>
      <w:tr>
        <w:tc>
          <w:tcPr>
            <w:tcW w:type="dxa" w:w="2880"/>
            <w:shd w:fill="EDF2FA"/>
          </w:tcPr>
          <w:p>
            <w:r/>
            <w:r>
              <w:rPr>
                <w:rFonts w:ascii="Calibri" w:hAnsi="Calibri"/>
                <w:b w:val="0"/>
                <w:sz w:val="20"/>
              </w:rPr>
              <w:t>Trânsito (API)</w:t>
            </w:r>
          </w:p>
        </w:tc>
        <w:tc>
          <w:tcPr>
            <w:tcW w:type="dxa" w:w="2880"/>
            <w:shd w:fill="EDF2FA"/>
          </w:tcPr>
          <w:p>
            <w:r/>
            <w:r>
              <w:rPr>
                <w:rFonts w:ascii="Calibri" w:hAnsi="Calibri"/>
                <w:b w:val="0"/>
                <w:sz w:val="20"/>
              </w:rPr>
              <w:t>TLS</w:t>
            </w:r>
          </w:p>
        </w:tc>
        <w:tc>
          <w:tcPr>
            <w:tcW w:type="dxa" w:w="2880"/>
            <w:shd w:fill="EDF2FA"/>
          </w:tcPr>
          <w:p>
            <w:r/>
            <w:r>
              <w:rPr>
                <w:rFonts w:ascii="Calibri" w:hAnsi="Calibri"/>
                <w:b w:val="0"/>
                <w:sz w:val="20"/>
              </w:rPr>
              <w:t>TLS 1.3 obrigatório; TLS 1.2 aceito com cipher suites restritas</w:t>
            </w:r>
          </w:p>
        </w:tc>
      </w:tr>
      <w:tr>
        <w:tc>
          <w:tcPr>
            <w:tcW w:type="dxa" w:w="2880"/>
          </w:tcPr>
          <w:p>
            <w:r/>
            <w:r>
              <w:rPr>
                <w:rFonts w:ascii="Calibri" w:hAnsi="Calibri"/>
                <w:b w:val="0"/>
                <w:sz w:val="20"/>
              </w:rPr>
              <w:t>Repouso (banco)</w:t>
            </w:r>
          </w:p>
        </w:tc>
        <w:tc>
          <w:tcPr>
            <w:tcW w:type="dxa" w:w="2880"/>
          </w:tcPr>
          <w:p>
            <w:r/>
            <w:r>
              <w:rPr>
                <w:rFonts w:ascii="Calibri" w:hAnsi="Calibri"/>
                <w:b w:val="0"/>
                <w:sz w:val="20"/>
              </w:rPr>
              <w:t>AES</w:t>
            </w:r>
          </w:p>
        </w:tc>
        <w:tc>
          <w:tcPr>
            <w:tcW w:type="dxa" w:w="2880"/>
          </w:tcPr>
          <w:p>
            <w:r/>
            <w:r>
              <w:rPr>
                <w:rFonts w:ascii="Calibri" w:hAnsi="Calibri"/>
                <w:b w:val="0"/>
                <w:sz w:val="20"/>
              </w:rPr>
              <w:t>AES-256 para dados em repouso (transparent encryption)</w:t>
            </w:r>
          </w:p>
        </w:tc>
      </w:tr>
      <w:tr>
        <w:tc>
          <w:tcPr>
            <w:tcW w:type="dxa" w:w="2880"/>
            <w:shd w:fill="EDF2FA"/>
          </w:tcPr>
          <w:p>
            <w:r/>
            <w:r>
              <w:rPr>
                <w:rFonts w:ascii="Calibri" w:hAnsi="Calibri"/>
                <w:b w:val="0"/>
                <w:sz w:val="20"/>
              </w:rPr>
              <w:t>Repouso (storage)</w:t>
            </w:r>
          </w:p>
        </w:tc>
        <w:tc>
          <w:tcPr>
            <w:tcW w:type="dxa" w:w="2880"/>
            <w:shd w:fill="EDF2FA"/>
          </w:tcPr>
          <w:p>
            <w:r/>
            <w:r>
              <w:rPr>
                <w:rFonts w:ascii="Calibri" w:hAnsi="Calibri"/>
                <w:b w:val="0"/>
                <w:sz w:val="20"/>
              </w:rPr>
              <w:t>AES</w:t>
            </w:r>
          </w:p>
        </w:tc>
        <w:tc>
          <w:tcPr>
            <w:tcW w:type="dxa" w:w="2880"/>
            <w:shd w:fill="EDF2FA"/>
          </w:tcPr>
          <w:p>
            <w:r/>
            <w:r>
              <w:rPr>
                <w:rFonts w:ascii="Calibri" w:hAnsi="Calibri"/>
                <w:b w:val="0"/>
                <w:sz w:val="20"/>
              </w:rPr>
              <w:t>AES-256 com chaves gerenciadas por KMS (ex: AWS KMS, GCP CMEK)</w:t>
            </w:r>
          </w:p>
        </w:tc>
      </w:tr>
      <w:tr>
        <w:tc>
          <w:tcPr>
            <w:tcW w:type="dxa" w:w="2880"/>
          </w:tcPr>
          <w:p>
            <w:r/>
            <w:r>
              <w:rPr>
                <w:rFonts w:ascii="Calibri" w:hAnsi="Calibri"/>
                <w:b w:val="0"/>
                <w:sz w:val="20"/>
              </w:rPr>
              <w:t>Campos sensíveis</w:t>
            </w:r>
          </w:p>
        </w:tc>
        <w:tc>
          <w:tcPr>
            <w:tcW w:type="dxa" w:w="2880"/>
          </w:tcPr>
          <w:p>
            <w:r/>
            <w:r>
              <w:rPr>
                <w:rFonts w:ascii="Calibri" w:hAnsi="Calibri"/>
                <w:b w:val="0"/>
                <w:sz w:val="20"/>
              </w:rPr>
              <w:t>Criptografia de campo (application-level)</w:t>
            </w:r>
          </w:p>
        </w:tc>
        <w:tc>
          <w:tcPr>
            <w:tcW w:type="dxa" w:w="2880"/>
          </w:tcPr>
          <w:p>
            <w:r/>
            <w:r>
              <w:rPr>
                <w:rFonts w:ascii="Calibri" w:hAnsi="Calibri"/>
                <w:b w:val="0"/>
                <w:sz w:val="20"/>
              </w:rPr>
              <w:t>Dados como CNPJ, valores financeiros, decisões estratégicas — criptografados além do TDE</w:t>
            </w:r>
          </w:p>
        </w:tc>
      </w:tr>
      <w:tr>
        <w:tc>
          <w:tcPr>
            <w:tcW w:type="dxa" w:w="2880"/>
            <w:shd w:fill="EDF2FA"/>
          </w:tcPr>
          <w:p>
            <w:r/>
            <w:r>
              <w:rPr>
                <w:rFonts w:ascii="Calibri" w:hAnsi="Calibri"/>
                <w:b w:val="0"/>
                <w:sz w:val="20"/>
              </w:rPr>
              <w:t>Backups</w:t>
            </w:r>
          </w:p>
        </w:tc>
        <w:tc>
          <w:tcPr>
            <w:tcW w:type="dxa" w:w="2880"/>
            <w:shd w:fill="EDF2FA"/>
          </w:tcPr>
          <w:p>
            <w:r/>
            <w:r>
              <w:rPr>
                <w:rFonts w:ascii="Calibri" w:hAnsi="Calibri"/>
                <w:b w:val="0"/>
                <w:sz w:val="20"/>
              </w:rPr>
              <w:t>AES</w:t>
            </w:r>
          </w:p>
        </w:tc>
        <w:tc>
          <w:tcPr>
            <w:tcW w:type="dxa" w:w="2880"/>
            <w:shd w:fill="EDF2FA"/>
          </w:tcPr>
          <w:p>
            <w:r/>
            <w:r>
              <w:rPr>
                <w:rFonts w:ascii="Calibri" w:hAnsi="Calibri"/>
                <w:b w:val="0"/>
                <w:sz w:val="20"/>
              </w:rPr>
              <w:t>AES-256; backups criptografados e armazenados em região geográfica compatível com LGPD</w:t>
            </w:r>
          </w:p>
        </w:tc>
      </w:tr>
      <w:tr>
        <w:tc>
          <w:tcPr>
            <w:tcW w:type="dxa" w:w="2880"/>
          </w:tcPr>
          <w:p>
            <w:r/>
            <w:r>
              <w:rPr>
                <w:rFonts w:ascii="Calibri" w:hAnsi="Calibri"/>
                <w:b w:val="0"/>
                <w:sz w:val="20"/>
              </w:rPr>
              <w:t>Chaves</w:t>
            </w:r>
          </w:p>
        </w:tc>
        <w:tc>
          <w:tcPr>
            <w:tcW w:type="dxa" w:w="2880"/>
          </w:tcPr>
          <w:p>
            <w:r/>
            <w:r>
              <w:rPr>
                <w:rFonts w:ascii="Calibri" w:hAnsi="Calibri"/>
                <w:b w:val="0"/>
                <w:sz w:val="20"/>
              </w:rPr>
              <w:t>KMS</w:t>
            </w:r>
          </w:p>
        </w:tc>
        <w:tc>
          <w:tcPr>
            <w:tcW w:type="dxa" w:w="2880"/>
          </w:tcPr>
          <w:p>
            <w:r/>
            <w:r>
              <w:rPr>
                <w:rFonts w:ascii="Calibri" w:hAnsi="Calibri"/>
                <w:b w:val="0"/>
                <w:sz w:val="20"/>
              </w:rPr>
              <w:t>Rotação automática de chaves a cada 90 dias; chaves nunca em código-fonte</w:t>
            </w:r>
          </w:p>
        </w:tc>
      </w:tr>
    </w:tbl>
    <w:p>
      <w:pPr>
        <w:pStyle w:val="Heading2"/>
      </w:pPr>
      <w:r>
        <w:t>Auditoria e Monitoramento</w:t>
      </w:r>
    </w:p>
    <w:p>
      <w:pPr>
        <w:pStyle w:val="ListBullet"/>
      </w:pPr>
      <w:r>
        <w:rPr>
          <w:rFonts w:ascii="Calibri" w:hAnsi="Calibri"/>
          <w:b w:val="0"/>
          <w:sz w:val="22"/>
        </w:rPr>
        <w:t>Audit log imutável (append-only) de toda ação relevante: login, CRUD de decisões, simulações, mudanças de permissão, exports</w:t>
      </w:r>
    </w:p>
    <w:p>
      <w:pPr>
        <w:pStyle w:val="ListBullet"/>
      </w:pPr>
      <w:r>
        <w:rPr>
          <w:rFonts w:ascii="Calibri" w:hAnsi="Calibri"/>
          <w:b w:val="0"/>
          <w:sz w:val="22"/>
        </w:rPr>
        <w:t>Campos do audit log: timestamp, user_id, tenant_id, action, resource, IP, user_agent, resultado (sucesso/falha), payload hash</w:t>
      </w:r>
    </w:p>
    <w:p>
      <w:pPr>
        <w:pStyle w:val="ListBullet"/>
      </w:pPr>
      <w:r>
        <w:rPr>
          <w:rFonts w:ascii="Calibri" w:hAnsi="Calibri"/>
          <w:b w:val="0"/>
          <w:sz w:val="22"/>
        </w:rPr>
        <w:t>Retenção mínima de logs: 5 anos (compatível com prazos de decadência/prescrição tributária)</w:t>
      </w:r>
    </w:p>
    <w:p>
      <w:pPr>
        <w:pStyle w:val="ListBullet"/>
      </w:pPr>
      <w:r>
        <w:rPr>
          <w:rFonts w:ascii="Calibri" w:hAnsi="Calibri"/>
          <w:b w:val="0"/>
          <w:sz w:val="22"/>
        </w:rPr>
        <w:t>Monitoramento de anomalias: alertas para padrões suspeitos (login fora de horário, volume anômalo de exports, tentativas de acesso cross-tenant)</w:t>
      </w:r>
    </w:p>
    <w:p>
      <w:pPr>
        <w:pStyle w:val="ListBullet"/>
      </w:pPr>
      <w:r>
        <w:rPr>
          <w:rFonts w:ascii="Calibri" w:hAnsi="Calibri"/>
          <w:b w:val="0"/>
          <w:sz w:val="22"/>
        </w:rPr>
        <w:t>SIEM integration: logs exportáveis para plataformas de monitoramento do cliente (Splunk, Datadog, etc.)</w:t>
      </w:r>
    </w:p>
    <w:p>
      <w:pPr>
        <w:pStyle w:val="Commarcadores"/>
      </w:pPr>
      <w:r>
        <w:t xml:space="preserve">Auditoria de split payment: toda retenção tributária via split payment deve ser registrada no audit log com: valor bruto da transação, valor retido (IBS/CBS), modalidade de split (inteligente/simplificado/contingência), meio de pagamento, instituição financeira, e chave de acesso da NF-e correspondente. Essa rastreabilidade é necessária para conciliação e para defesa em caso de divergência com o Fisco.</w:t>
      </w:r>
    </w:p>
    <w:p>
      <w:pPr>
        <w:pStyle w:val="Heading2"/>
      </w:pPr>
      <w:r>
        <w:t>Proteção contra ameaças comuns</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r>
              <w:rPr>
                <w:color w:val="FFFFFF"/>
              </w:rPr>
            </w:r>
            <w:r>
              <w:rPr>
                <w:rFonts w:ascii="Calibri" w:hAnsi="Calibri"/>
                <w:b/>
                <w:color w:val="FFFFFF"/>
                <w:sz w:val="20"/>
              </w:rPr>
              <w:t>Ameaça</w:t>
            </w:r>
          </w:p>
        </w:tc>
        <w:tc>
          <w:tcPr>
            <w:tcW w:type="dxa" w:w="4320"/>
            <w:shd w:fill="1A3C6E"/>
          </w:tcPr>
          <w:p>
            <w:r>
              <w:rPr>
                <w:color w:val="FFFFFF"/>
              </w:rPr>
            </w:r>
            <w:r>
              <w:rPr>
                <w:rFonts w:ascii="Calibri" w:hAnsi="Calibri"/>
                <w:b/>
                <w:color w:val="FFFFFF"/>
                <w:sz w:val="20"/>
              </w:rPr>
              <w:t>Controle</w:t>
            </w:r>
          </w:p>
        </w:tc>
      </w:tr>
      <w:tr>
        <w:tc>
          <w:tcPr>
            <w:tcW w:type="dxa" w:w="4320"/>
            <w:shd w:fill="EDF2FA"/>
          </w:tcPr>
          <w:p>
            <w:r/>
            <w:r>
              <w:rPr>
                <w:rFonts w:ascii="Calibri" w:hAnsi="Calibri"/>
                <w:b w:val="0"/>
                <w:sz w:val="20"/>
              </w:rPr>
              <w:t>Injeção (SQL, NoSQL, Command)</w:t>
            </w:r>
          </w:p>
        </w:tc>
        <w:tc>
          <w:tcPr>
            <w:tcW w:type="dxa" w:w="4320"/>
            <w:shd w:fill="EDF2FA"/>
          </w:tcPr>
          <w:p>
            <w:r/>
            <w:r>
              <w:rPr>
                <w:rFonts w:ascii="Calibri" w:hAnsi="Calibri"/>
                <w:b w:val="0"/>
                <w:sz w:val="20"/>
              </w:rPr>
              <w:t>Prepared statements / parameterized queries obrigatórios; ORM com sanitização; WAF em edge</w:t>
            </w:r>
          </w:p>
        </w:tc>
      </w:tr>
      <w:tr>
        <w:tc>
          <w:tcPr>
            <w:tcW w:type="dxa" w:w="4320"/>
          </w:tcPr>
          <w:p>
            <w:r/>
            <w:r>
              <w:rPr>
                <w:rFonts w:ascii="Calibri" w:hAnsi="Calibri"/>
                <w:b w:val="0"/>
                <w:sz w:val="20"/>
              </w:rPr>
              <w:t>XSS (Cross-Site Scripting)</w:t>
            </w:r>
          </w:p>
        </w:tc>
        <w:tc>
          <w:tcPr>
            <w:tcW w:type="dxa" w:w="4320"/>
          </w:tcPr>
          <w:p>
            <w:r/>
            <w:r>
              <w:rPr>
                <w:rFonts w:ascii="Calibri" w:hAnsi="Calibri"/>
                <w:b w:val="0"/>
                <w:sz w:val="20"/>
              </w:rPr>
              <w:t>Content Security Policy (CSP) restritiva; sanitização de output; HttpOnly + Secure cookies</w:t>
            </w:r>
          </w:p>
        </w:tc>
      </w:tr>
      <w:tr>
        <w:tc>
          <w:tcPr>
            <w:tcW w:type="dxa" w:w="4320"/>
            <w:shd w:fill="EDF2FA"/>
          </w:tcPr>
          <w:p>
            <w:r/>
            <w:r>
              <w:rPr>
                <w:rFonts w:ascii="Calibri" w:hAnsi="Calibri"/>
                <w:b w:val="0"/>
                <w:sz w:val="20"/>
              </w:rPr>
              <w:t>CSRF</w:t>
            </w:r>
          </w:p>
        </w:tc>
        <w:tc>
          <w:tcPr>
            <w:tcW w:type="dxa" w:w="4320"/>
            <w:shd w:fill="EDF2FA"/>
          </w:tcPr>
          <w:p>
            <w:r/>
            <w:r>
              <w:rPr>
                <w:rFonts w:ascii="Calibri" w:hAnsi="Calibri"/>
                <w:b w:val="0"/>
                <w:sz w:val="20"/>
              </w:rPr>
              <w:t>Token anti-CSRF em toda mutação; SameSite=Strict em cookies</w:t>
            </w:r>
          </w:p>
        </w:tc>
      </w:tr>
      <w:tr>
        <w:tc>
          <w:tcPr>
            <w:tcW w:type="dxa" w:w="4320"/>
          </w:tcPr>
          <w:p>
            <w:r/>
            <w:r>
              <w:rPr>
                <w:rFonts w:ascii="Calibri" w:hAnsi="Calibri"/>
                <w:b w:val="0"/>
                <w:sz w:val="20"/>
              </w:rPr>
              <w:t>IDOR (Insecure Direct Object Reference)</w:t>
            </w:r>
          </w:p>
        </w:tc>
        <w:tc>
          <w:tcPr>
            <w:tcW w:type="dxa" w:w="4320"/>
          </w:tcPr>
          <w:p>
            <w:r/>
            <w:r>
              <w:rPr>
                <w:rFonts w:ascii="Calibri" w:hAnsi="Calibri"/>
                <w:b w:val="0"/>
                <w:sz w:val="20"/>
              </w:rPr>
              <w:t>Toda referência a objetos validada contra tenant_id + user permissions; nunca IDs sequenciais expostos (usar UUIDs)</w:t>
            </w:r>
          </w:p>
        </w:tc>
      </w:tr>
      <w:tr>
        <w:tc>
          <w:tcPr>
            <w:tcW w:type="dxa" w:w="4320"/>
            <w:shd w:fill="EDF2FA"/>
          </w:tcPr>
          <w:p>
            <w:r/>
            <w:r>
              <w:rPr>
                <w:rFonts w:ascii="Calibri" w:hAnsi="Calibri"/>
                <w:b w:val="0"/>
                <w:sz w:val="20"/>
              </w:rPr>
              <w:t>Mass Assignment</w:t>
            </w:r>
          </w:p>
        </w:tc>
        <w:tc>
          <w:tcPr>
            <w:tcW w:type="dxa" w:w="4320"/>
            <w:shd w:fill="EDF2FA"/>
          </w:tcPr>
          <w:p>
            <w:r/>
            <w:r>
              <w:rPr>
                <w:rFonts w:ascii="Calibri" w:hAnsi="Calibri"/>
                <w:b w:val="0"/>
                <w:sz w:val="20"/>
              </w:rPr>
              <w:t>Whitelisting explícito de campos em toda rota de criação/atualização</w:t>
            </w:r>
          </w:p>
        </w:tc>
      </w:tr>
      <w:tr>
        <w:tc>
          <w:tcPr>
            <w:tcW w:type="dxa" w:w="4320"/>
          </w:tcPr>
          <w:p>
            <w:r/>
            <w:r>
              <w:rPr>
                <w:rFonts w:ascii="Calibri" w:hAnsi="Calibri"/>
                <w:b w:val="0"/>
                <w:sz w:val="20"/>
              </w:rPr>
              <w:t>Rate Limiting</w:t>
            </w:r>
          </w:p>
        </w:tc>
        <w:tc>
          <w:tcPr>
            <w:tcW w:type="dxa" w:w="4320"/>
          </w:tcPr>
          <w:p>
            <w:r/>
            <w:r>
              <w:rPr>
                <w:rFonts w:ascii="Calibri" w:hAnsi="Calibri"/>
                <w:b w:val="0"/>
                <w:sz w:val="20"/>
              </w:rPr>
              <w:t>Limite por tenant + por usuário + por IP; throttling progressivo</w:t>
            </w:r>
          </w:p>
        </w:tc>
      </w:tr>
      <w:tr>
        <w:tc>
          <w:tcPr>
            <w:tcW w:type="dxa" w:w="4320"/>
            <w:shd w:fill="EDF2FA"/>
          </w:tcPr>
          <w:p>
            <w:r/>
            <w:r>
              <w:rPr>
                <w:rFonts w:ascii="Calibri" w:hAnsi="Calibri"/>
                <w:b w:val="0"/>
                <w:sz w:val="20"/>
              </w:rPr>
              <w:t>Data Exfiltration</w:t>
            </w:r>
          </w:p>
        </w:tc>
        <w:tc>
          <w:tcPr>
            <w:tcW w:type="dxa" w:w="4320"/>
            <w:shd w:fill="EDF2FA"/>
          </w:tcPr>
          <w:p>
            <w:r/>
            <w:r>
              <w:rPr>
                <w:rFonts w:ascii="Calibri" w:hAnsi="Calibri"/>
                <w:b w:val="0"/>
                <w:sz w:val="20"/>
              </w:rPr>
              <w:t>Limite de volume de export por sessão; alertas de download massivo; watermark em relatórios exportados</w:t>
            </w:r>
          </w:p>
        </w:tc>
      </w:tr>
    </w:tbl>
    <w:p>
      <w:pPr>
        <w:pStyle w:val="Heading2"/>
      </w:pPr>
      <w:r>
        <w:t>Segurança da Camada de IA</w:t>
      </w:r>
    </w:p>
    <w:p>
      <w:pPr>
        <w:spacing w:after="120" w:before="0"/>
      </w:pPr>
      <w:r>
        <w:rPr>
          <w:rFonts w:ascii="Calibri" w:hAnsi="Calibri"/>
          <w:b w:val="0"/>
          <w:i w:val="0"/>
          <w:sz w:val="22"/>
        </w:rPr>
        <w:t>O Orbis.tax utiliza IA para análise e recomendação. A camada de IA exige controles específicos:</w:t>
      </w:r>
    </w:p>
    <w:p>
      <w:pPr>
        <w:pStyle w:val="ListBullet"/>
      </w:pPr>
      <w:r>
        <w:rPr>
          <w:rFonts w:ascii="Calibri" w:hAnsi="Calibri"/>
          <w:b w:val="0"/>
          <w:sz w:val="22"/>
        </w:rPr>
        <w:t>Prompt injection protection: inputs do usuário são sanitizados antes de injeção no contexto da IA — ✅ IMPLEMENTADO: src/security/prompt_sanitizer.py (OWASP LLM01); NFKC normalization + 10 regex patterns; limite 8.000 chars; integrado em engine.py; 24 testes</w:t>
      </w:r>
    </w:p>
    <w:p>
      <w:pPr>
        <w:pStyle w:val="ListBullet"/>
      </w:pPr>
      <w:r>
        <w:rPr>
          <w:rFonts w:ascii="Calibri" w:hAnsi="Calibri"/>
          <w:b w:val="0"/>
          <w:sz w:val="22"/>
        </w:rPr>
        <w:t>Dados do tenant são enviados à IA apenas no contexto de requisições daquele tenant — nunca em batch cross-tenant</w:t>
      </w:r>
    </w:p>
    <w:p>
      <w:pPr>
        <w:pStyle w:val="ListBullet"/>
      </w:pPr>
      <w:r>
        <w:rPr>
          <w:rFonts w:ascii="Calibri" w:hAnsi="Calibri"/>
          <w:b w:val="0"/>
          <w:sz w:val="22"/>
        </w:rPr>
        <w:t>Se utilizado modelo externo (API): garantir que o provedor não retém dados de treinamento (data processing agreement)</w:t>
      </w:r>
    </w:p>
    <w:p>
      <w:pPr>
        <w:pStyle w:val="ListBullet"/>
      </w:pPr>
      <w:r>
        <w:rPr>
          <w:rFonts w:ascii="Calibri" w:hAnsi="Calibri"/>
          <w:b w:val="0"/>
          <w:sz w:val="22"/>
        </w:rPr>
        <w:t>Se utilizado modelo auto-hospedado: isolamento de infraestrutura, sem acesso a dados de outros tenants</w:t>
      </w:r>
    </w:p>
    <w:p>
      <w:pPr>
        <w:pStyle w:val="ListBullet"/>
      </w:pPr>
      <w:r>
        <w:rPr>
          <w:rFonts w:ascii="Calibri" w:hAnsi="Calibri"/>
          <w:b w:val="0"/>
          <w:sz w:val="22"/>
        </w:rPr>
        <w:t>Respostas da IA são validadas antes de apresentação (filtro de alucinações com citação de fontes legais)</w:t>
      </w:r>
    </w:p>
    <w:p>
      <w:pPr>
        <w:pStyle w:val="ListBullet"/>
      </w:pPr>
      <w:r>
        <w:rPr>
          <w:rFonts w:ascii="Calibri" w:hAnsi="Calibri"/>
          <w:b w:val="0"/>
          <w:sz w:val="22"/>
        </w:rPr>
        <w:t>Log de toda interação com a IA: prompt enviado, resposta recebida, tenant_id, timestamp — para auditoria e debugging</w:t>
      </w:r>
    </w:p>
    <w:p>
      <w:pPr>
        <w:pStyle w:val="ListBullet"/>
      </w:pPr>
      <w:r>
        <w:t xml:space="preserve">SAST e dependency scanning: ✅ IMPLEMENTADO — GitHub Actions (.github/workflows/security.yml): Bandit (Python SAST, medium+ severity) + pip-audit (vulnerabilidades em dependências); trigger: push/PR para main</w:t>
      </w:r>
    </w:p>
    <w:p>
      <w:pPr/>
    </w:p>
    <w:p>
      <w:pPr/>
      <w:r>
        <w:t>Além dos controles acima, a camada de IA do Orbis.tax implementa mecanismos adicionais de governança:</w:t>
      </w:r>
    </w:p>
    <w:p>
      <w:pPr>
        <w:pStyle w:val="Heading3"/>
      </w:pPr>
      <w:r>
        <w:t>Versionamento de Modelos e Prompts</w:t>
      </w:r>
    </w:p>
    <w:p>
      <w:pPr/>
      <w:r>
        <w:t>Todo modelo de IA utilizado pelo Orbis.tax é versionado e registrado. Cada análise produzida pelo sistema registra: identificador e versão do modelo de IA, versão do prompt de sistema (system prompt), versão da base legislativa utilizada como contexto, e timestamp da execução. Isso permite:</w:t>
      </w:r>
    </w:p>
    <w:p>
      <w:pPr>
        <w:pStyle w:val="ListBullet"/>
      </w:pPr>
      <w:r>
        <w:t>Reprodutibilidade: reconstruir o contexto exato de qualquer análise passada</w:t>
      </w:r>
    </w:p>
    <w:p>
      <w:pPr>
        <w:pStyle w:val="ListBullet"/>
      </w:pPr>
      <w:r>
        <w:t>Auditoria: verificar se uma recomendação foi afetada por atualização de modelo ou base legislativa</w:t>
      </w:r>
    </w:p>
    <w:p>
      <w:pPr>
        <w:pStyle w:val="ListBullet"/>
      </w:pPr>
      <w:r>
        <w:t>Rollback: em caso de degradação de qualidade, reverter para versão anterior do modelo/prompt</w:t>
      </w:r>
    </w:p>
    <w:p>
      <w:pPr>
        <w:pStyle w:val="ListBullet"/>
      </w:pPr>
      <w:r>
        <w:t>Compliance: demonstrar para reguladores e auditores exatamente como cada análise foi produzida</w:t>
      </w:r>
    </w:p>
    <w:p>
      <w:pPr>
        <w:pStyle w:val="Heading3"/>
      </w:pPr>
      <w:r>
        <w:t>Detecção de Alucinação Legislativa</w:t>
      </w:r>
    </w:p>
    <w:p>
      <w:pPr/>
      <w:r>
        <w:t>O sistema implementa verificações automatizadas para detectar alucinações da IA no contexto tributário:</w:t>
      </w:r>
    </w:p>
    <w:p>
      <w:pPr>
        <w:pStyle w:val="ListBullet"/>
      </w:pPr>
      <w:r>
        <w:t>Verificação de existência: toda citação de dispositivo legal (artigo, parágrafo, inciso, lei) é conferida automaticamente contra a base de conhecimento viva. Dispositivo inexistente = resposta bloqueada e alerta gerado</w:t>
      </w:r>
    </w:p>
    <w:p>
      <w:pPr>
        <w:pStyle w:val="ListBullet"/>
      </w:pPr>
      <w:r>
        <w:t>Verificação de vigência: dispositivos citados são conferidos quanto à vigência na data da análise. Dispositivo revogado ou com vigência futura = alerta ao gestor</w:t>
      </w:r>
    </w:p>
    <w:p>
      <w:pPr>
        <w:pStyle w:val="ListBullet"/>
      </w:pPr>
      <w:r>
        <w:t>Verificação de pertinência: o sistema avalia se o dispositivo citado é contextualmente pertinente ao tema da análise. Citação de norma de tributo diferente do analisado = sinalização para revisão</w:t>
      </w:r>
    </w:p>
    <w:p>
      <w:pPr>
        <w:pStyle w:val="ListBullet"/>
      </w:pPr>
      <w:r>
        <w:t>Verificação de consistência interna: respostas que contêm conclusões contraditórias na mesma análise são sinalizadas para revisão humana obrigatória</w:t>
      </w:r>
    </w:p>
    <w:p>
      <w:pPr>
        <w:pStyle w:val="Heading3"/>
      </w:pPr>
      <w:r>
        <w:t>Scoring de Confiança</w:t>
      </w:r>
    </w:p>
    <w:p>
      <w:pPr/>
      <w:r>
        <w:t>Cada recomendação da IA é classificada com nível de confiança (alto / médio / baixo), baseado em critérios objetivos: quantidade e qualidade das fontes legislativas utilizadas, existência de jurisprudência consolidada, grau de ambiguidade interpretativa identificado, e estabilidade da norma (norma recente sem regulamentação infralegal recebe scoring inferior). O nível de confiança é visível ao gestor e registrado no log de auditoria.</w:t>
      </w:r>
    </w:p>
    <w:p>
      <w:pPr>
        <w:pStyle w:val="Heading3"/>
      </w:pPr>
      <w:r>
        <w:t>Grounding Obrigatório</w:t>
      </w:r>
    </w:p>
    <w:p>
      <w:pPr/>
      <w:r>
        <w:t>Toda resposta da IA que contenha recomendação, interpretação ou análise tributária DEVE estar ancorada (grounded) em dispositivos legais específicos da base de conhecimento do Orbis.tax. Respostas sem fundamentação legislativa são automaticamente sinalizadas como "análise sem grounding" e apresentadas ao gestor com aviso destacado. O sistema não permite que recomendações sem base legal cheguem ao gestor sem sinalização explícita.</w:t>
      </w:r>
    </w:p>
    <w:p>
      <w:pPr>
        <w:pStyle w:val="Heading3"/>
      </w:pPr>
      <w:r>
        <w:t>Política de Fallback</w:t>
      </w:r>
    </w:p>
    <w:p>
      <w:pPr/>
      <w:r>
        <w:t>Quando a IA não atinge nível de confiança mínimo para uma análise, o sistema não apresenta a recomendação como completa. O comportamento de fallback segue a regra:</w:t>
      </w:r>
    </w:p>
    <w:p>
      <w:pPr>
        <w:pStyle w:val="ListBullet"/>
      </w:pPr>
      <w:r>
        <w:t>Confiança alta: recomendação apresentada normalmente, com fundamentação legal e nível de confiança visível</w:t>
      </w:r>
    </w:p>
    <w:p>
      <w:pPr>
        <w:pStyle w:val="ListBullet"/>
      </w:pPr>
      <w:r>
        <w:t>Confiança média: recomendação apresentada com destaque visual de "requer revisão humana aprofundada" e indicação dos pontos de incerteza</w:t>
      </w:r>
    </w:p>
    <w:p>
      <w:pPr>
        <w:pStyle w:val="ListBullet"/>
      </w:pPr>
      <w:r>
        <w:t>Confiança baixa: a IA não emite recomendação. O sistema reverte para a camada determinística, apresentando apenas os dispositivos legais aplicáveis sem interpretação, e sinaliza: "Análise parcial — confiança insuficiente para recomendação. Consulta especializada recomendada."</w:t>
      </w:r>
    </w:p>
    <w:p>
      <w:pPr>
        <w:pStyle w:val="ListBullet"/>
      </w:pPr>
      <w:r>
        <w:t>Fallback crítico (alucinação detectada): resposta bloqueada integralmente. Log de incidente gerado. Gestor informado de que a análise não pôde ser concluída pela IA e deve ser realizada manualmente ou com suporte especializado.</w:t>
      </w:r>
    </w:p>
    <w:p>
      <w:r>
        <w:br w:type="page"/>
      </w:r>
    </w:p>
    <w:p>
      <w:pPr>
        <w:pStyle w:val="Heading1"/>
      </w:pPr>
      <w:r>
        <w:t>Conformidade com a LGPD</w:t>
      </w:r>
    </w:p>
    <w:p>
      <w:pPr>
        <w:spacing w:after="120" w:before="0"/>
      </w:pPr>
      <w:r>
        <w:rPr>
          <w:rFonts w:ascii="Calibri" w:hAnsi="Calibri"/>
          <w:b w:val="0"/>
          <w:i w:val="0"/>
          <w:sz w:val="22"/>
        </w:rPr>
        <w:t>A Lei Geral de Proteção de Dados (Lei nº 13.709/2018) é aplicável ao Orbis.tax porque o sistema pode processar dados pessoais (nomes de sócios, CPFs de responsáveis, dados de representantes legais) além de dados corporativos. Este capítulo define como o Orbis.tax atende aos requisitos da LGPD.</w:t>
      </w:r>
    </w:p>
    <w:p>
      <w:pPr>
        <w:pStyle w:val="Heading2"/>
      </w:pPr>
      <w:r>
        <w:t>Classificação de Dados</w:t>
      </w:r>
    </w:p>
    <w:p>
      <w:r>
        <w:t xml:space="preserve">Nota sobre dados de processo: quando o Capítulo de Processos estiver ativo, os processos financeiros/fiscais descritos pelo cliente constituem dados sensíveis — revelam operações internas, fluxos de trabalho e estruturas organizacionais. Esses dados devem receber o mesmo tratamento de proteção aplicado a dados corporativos tributários: isolamento por tenant, criptografia em repouso, controle de acesso por RBAC, e política de anonimização conforme LGPD. A descrição de processos pode conter referências indiretas a dados pessoais (nomes de responsáveis, estrutura de equipes) que devem ser tratadas conforme art. 5º, I da LGPD.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color w:val="FFFFFF"/>
              </w:rPr>
            </w:r>
            <w:r>
              <w:rPr>
                <w:rFonts w:ascii="Calibri" w:hAnsi="Calibri"/>
                <w:b/>
                <w:color w:val="FFFFFF"/>
                <w:sz w:val="20"/>
              </w:rPr>
              <w:t>Categoria</w:t>
            </w:r>
          </w:p>
        </w:tc>
        <w:tc>
          <w:tcPr>
            <w:tcW w:type="dxa" w:w="2160"/>
            <w:shd w:fill="1A3C6E"/>
          </w:tcPr>
          <w:p>
            <w:r>
              <w:rPr>
                <w:color w:val="FFFFFF"/>
              </w:rPr>
            </w:r>
            <w:r>
              <w:rPr>
                <w:rFonts w:ascii="Calibri" w:hAnsi="Calibri"/>
                <w:b/>
                <w:color w:val="FFFFFF"/>
                <w:sz w:val="20"/>
              </w:rPr>
              <w:t>Exemplos no Orbis.tax</w:t>
            </w:r>
          </w:p>
        </w:tc>
        <w:tc>
          <w:tcPr>
            <w:tcW w:type="dxa" w:w="2160"/>
            <w:shd w:fill="1A3C6E"/>
          </w:tcPr>
          <w:p>
            <w:r>
              <w:rPr>
                <w:color w:val="FFFFFF"/>
              </w:rPr>
            </w:r>
            <w:r>
              <w:rPr>
                <w:rFonts w:ascii="Calibri" w:hAnsi="Calibri"/>
                <w:b/>
                <w:color w:val="FFFFFF"/>
                <w:sz w:val="20"/>
              </w:rPr>
              <w:t>Classificação LGPD</w:t>
            </w:r>
          </w:p>
        </w:tc>
        <w:tc>
          <w:tcPr>
            <w:tcW w:type="dxa" w:w="2160"/>
            <w:shd w:fill="1A3C6E"/>
          </w:tcPr>
          <w:p>
            <w:r>
              <w:rPr>
                <w:color w:val="FFFFFF"/>
              </w:rPr>
            </w:r>
            <w:r>
              <w:rPr>
                <w:rFonts w:ascii="Calibri" w:hAnsi="Calibri"/>
                <w:b/>
                <w:color w:val="FFFFFF"/>
                <w:sz w:val="20"/>
              </w:rPr>
              <w:t>Tratamento</w:t>
            </w:r>
          </w:p>
        </w:tc>
      </w:tr>
      <w:tr>
        <w:tc>
          <w:tcPr>
            <w:tcW w:type="dxa" w:w="2160"/>
            <w:shd w:fill="EDF2FA"/>
          </w:tcPr>
          <w:p>
            <w:r/>
            <w:r>
              <w:rPr>
                <w:rFonts w:ascii="Calibri" w:hAnsi="Calibri"/>
                <w:b w:val="0"/>
                <w:sz w:val="20"/>
              </w:rPr>
              <w:t>Dados pessoais</w:t>
            </w:r>
          </w:p>
        </w:tc>
        <w:tc>
          <w:tcPr>
            <w:tcW w:type="dxa" w:w="2160"/>
            <w:shd w:fill="EDF2FA"/>
          </w:tcPr>
          <w:p>
            <w:r/>
            <w:r>
              <w:rPr>
                <w:rFonts w:ascii="Calibri" w:hAnsi="Calibri"/>
                <w:b w:val="0"/>
                <w:sz w:val="20"/>
              </w:rPr>
              <w:t>Nome, CPF e e-mail de usuários; dados de sócios/representantes</w:t>
            </w:r>
          </w:p>
        </w:tc>
        <w:tc>
          <w:tcPr>
            <w:tcW w:type="dxa" w:w="2160"/>
            <w:shd w:fill="EDF2FA"/>
          </w:tcPr>
          <w:p>
            <w:r/>
            <w:r>
              <w:rPr>
                <w:rFonts w:ascii="Calibri" w:hAnsi="Calibri"/>
                <w:b w:val="0"/>
                <w:sz w:val="20"/>
              </w:rPr>
              <w:t>Dado pessoal (art. 5º, I)</w:t>
            </w:r>
          </w:p>
        </w:tc>
        <w:tc>
          <w:tcPr>
            <w:tcW w:type="dxa" w:w="2160"/>
            <w:shd w:fill="EDF2FA"/>
          </w:tcPr>
          <w:p>
            <w:r/>
            <w:r>
              <w:rPr>
                <w:rFonts w:ascii="Calibri" w:hAnsi="Calibri"/>
                <w:b w:val="0"/>
                <w:sz w:val="20"/>
              </w:rPr>
              <w:t>Consentimento ou legítimo interesse; minimização; acesso restrito</w:t>
            </w:r>
          </w:p>
        </w:tc>
      </w:tr>
      <w:tr>
        <w:tc>
          <w:tcPr>
            <w:tcW w:type="dxa" w:w="2160"/>
          </w:tcPr>
          <w:p>
            <w:r/>
            <w:r>
              <w:rPr>
                <w:rFonts w:ascii="Calibri" w:hAnsi="Calibri"/>
                <w:b w:val="0"/>
                <w:sz w:val="20"/>
              </w:rPr>
              <w:t>Dados pessoais sensíveis</w:t>
            </w:r>
          </w:p>
        </w:tc>
        <w:tc>
          <w:tcPr>
            <w:tcW w:type="dxa" w:w="2160"/>
          </w:tcPr>
          <w:p>
            <w:r/>
            <w:r>
              <w:rPr>
                <w:rFonts w:ascii="Calibri" w:hAnsi="Calibri"/>
                <w:b w:val="0"/>
                <w:sz w:val="20"/>
              </w:rPr>
              <w:t>Eventual dado de saúde (se decisão tributária envolver folha de PCD, por ex.)</w:t>
            </w:r>
          </w:p>
        </w:tc>
        <w:tc>
          <w:tcPr>
            <w:tcW w:type="dxa" w:w="2160"/>
          </w:tcPr>
          <w:p>
            <w:r/>
            <w:r>
              <w:rPr>
                <w:rFonts w:ascii="Calibri" w:hAnsi="Calibri"/>
                <w:b w:val="0"/>
                <w:sz w:val="20"/>
              </w:rPr>
              <w:t>Dado sensível (art. 5º, II)</w:t>
            </w:r>
          </w:p>
        </w:tc>
        <w:tc>
          <w:tcPr>
            <w:tcW w:type="dxa" w:w="2160"/>
          </w:tcPr>
          <w:p>
            <w:r/>
            <w:r>
              <w:rPr>
                <w:rFonts w:ascii="Calibri" w:hAnsi="Calibri"/>
                <w:b w:val="0"/>
                <w:sz w:val="20"/>
              </w:rPr>
              <w:t>Tratamento excepcional; consentimento específico ou obrigação legal</w:t>
            </w:r>
          </w:p>
        </w:tc>
      </w:tr>
      <w:tr>
        <w:tc>
          <w:tcPr>
            <w:tcW w:type="dxa" w:w="2160"/>
            <w:shd w:fill="EDF2FA"/>
          </w:tcPr>
          <w:p>
            <w:r/>
            <w:r>
              <w:rPr>
                <w:rFonts w:ascii="Calibri" w:hAnsi="Calibri"/>
                <w:b w:val="0"/>
                <w:sz w:val="20"/>
              </w:rPr>
              <w:t>Dados corporativos tributários</w:t>
            </w:r>
          </w:p>
        </w:tc>
        <w:tc>
          <w:tcPr>
            <w:tcW w:type="dxa" w:w="2160"/>
            <w:shd w:fill="EDF2FA"/>
          </w:tcPr>
          <w:p>
            <w:r/>
            <w:r>
              <w:rPr>
                <w:rFonts w:ascii="Calibri" w:hAnsi="Calibri"/>
                <w:b w:val="0"/>
                <w:sz w:val="20"/>
              </w:rPr>
              <w:t>Faturamento, créditos, passivos, decisões estratégicas, simulações</w:t>
            </w:r>
          </w:p>
        </w:tc>
        <w:tc>
          <w:tcPr>
            <w:tcW w:type="dxa" w:w="2160"/>
            <w:shd w:fill="EDF2FA"/>
          </w:tcPr>
          <w:p>
            <w:r/>
            <w:r>
              <w:rPr>
                <w:rFonts w:ascii="Calibri" w:hAnsi="Calibri"/>
                <w:b w:val="0"/>
                <w:sz w:val="20"/>
              </w:rPr>
              <w:t>Não são dados pessoais per se</w:t>
            </w:r>
          </w:p>
        </w:tc>
        <w:tc>
          <w:tcPr>
            <w:tcW w:type="dxa" w:w="2160"/>
            <w:shd w:fill="EDF2FA"/>
          </w:tcPr>
          <w:p>
            <w:r/>
            <w:r>
              <w:rPr>
                <w:rFonts w:ascii="Calibri" w:hAnsi="Calibri"/>
                <w:b w:val="0"/>
                <w:sz w:val="20"/>
              </w:rPr>
              <w:t>Protegidos por sigilo comercial e fiscal (CTN art. 198); segurança máxima</w:t>
            </w:r>
          </w:p>
        </w:tc>
      </w:tr>
      <w:tr>
        <w:tc>
          <w:tcPr>
            <w:tcW w:type="dxa" w:w="2160"/>
          </w:tcPr>
          <w:p>
            <w:r/>
            <w:r>
              <w:rPr>
                <w:rFonts w:ascii="Calibri" w:hAnsi="Calibri"/>
                <w:b w:val="0"/>
                <w:sz w:val="20"/>
              </w:rPr>
              <w:t>Dados de uso do sistema</w:t>
            </w:r>
          </w:p>
        </w:tc>
        <w:tc>
          <w:tcPr>
            <w:tcW w:type="dxa" w:w="2160"/>
          </w:tcPr>
          <w:p>
            <w:r/>
            <w:r>
              <w:rPr>
                <w:rFonts w:ascii="Calibri" w:hAnsi="Calibri"/>
                <w:b w:val="0"/>
                <w:sz w:val="20"/>
              </w:rPr>
              <w:t>Logs de acesso, ações no protocolo, timestamps, IPs</w:t>
            </w:r>
          </w:p>
        </w:tc>
        <w:tc>
          <w:tcPr>
            <w:tcW w:type="dxa" w:w="2160"/>
          </w:tcPr>
          <w:p>
            <w:r/>
            <w:r>
              <w:rPr>
                <w:rFonts w:ascii="Calibri" w:hAnsi="Calibri"/>
                <w:b w:val="0"/>
                <w:sz w:val="20"/>
              </w:rPr>
              <w:t>Dado pessoal (vinculado ao usuário)</w:t>
            </w:r>
          </w:p>
        </w:tc>
        <w:tc>
          <w:tcPr>
            <w:tcW w:type="dxa" w:w="2160"/>
          </w:tcPr>
          <w:p>
            <w:r/>
            <w:r>
              <w:rPr>
                <w:rFonts w:ascii="Calibri" w:hAnsi="Calibri"/>
                <w:b w:val="0"/>
                <w:sz w:val="20"/>
              </w:rPr>
              <w:t>Base legal: legítimo interesse (segurança); retenção conforme política</w:t>
            </w:r>
          </w:p>
        </w:tc>
      </w:tr>
      <w:tr>
        <w:tc>
          <w:tcPr>
            <w:tcW w:type="dxa" w:w="2160"/>
            <w:shd w:fill="EDF2FA"/>
          </w:tcPr>
          <w:p>
            <w:r/>
            <w:r>
              <w:rPr>
                <w:rFonts w:ascii="Calibri" w:hAnsi="Calibri"/>
                <w:b w:val="0"/>
                <w:sz w:val="20"/>
              </w:rPr>
              <w:t>Dados de aprendizado</w:t>
            </w:r>
          </w:p>
        </w:tc>
        <w:tc>
          <w:tcPr>
            <w:tcW w:type="dxa" w:w="2160"/>
            <w:shd w:fill="EDF2FA"/>
          </w:tcPr>
          <w:p>
            <w:r/>
            <w:r>
              <w:rPr>
                <w:rFonts w:ascii="Calibri" w:hAnsi="Calibri"/>
                <w:b w:val="0"/>
                <w:sz w:val="20"/>
              </w:rPr>
              <w:t>Heurísticas, padrões, métricas agregadas</w:t>
            </w:r>
          </w:p>
        </w:tc>
        <w:tc>
          <w:tcPr>
            <w:tcW w:type="dxa" w:w="2160"/>
            <w:shd w:fill="EDF2FA"/>
          </w:tcPr>
          <w:p>
            <w:r/>
            <w:r>
              <w:rPr>
                <w:rFonts w:ascii="Calibri" w:hAnsi="Calibri"/>
                <w:b w:val="0"/>
                <w:sz w:val="20"/>
              </w:rPr>
              <w:t>Dados anonimizados/agregados</w:t>
            </w:r>
          </w:p>
        </w:tc>
        <w:tc>
          <w:tcPr>
            <w:tcW w:type="dxa" w:w="2160"/>
            <w:shd w:fill="EDF2FA"/>
          </w:tcPr>
          <w:p>
            <w:r/>
            <w:r>
              <w:rPr>
                <w:rFonts w:ascii="Calibri" w:hAnsi="Calibri"/>
                <w:b w:val="0"/>
                <w:sz w:val="20"/>
              </w:rPr>
              <w:t>Se efetivamente anonimizados, fora do escopo da LGPD (art. 12)</w:t>
            </w:r>
          </w:p>
        </w:tc>
      </w:tr>
      <w:tr>
        <w:tc>
          <w:tcPr>
            <w:tcW w:type="dxa" w:w="2160"/>
          </w:tcPr>
          <w:p>
            <w:r>
              <w:t>Dados de transações com split payment</w:t>
            </w:r>
          </w:p>
        </w:tc>
        <w:tc>
          <w:tcPr>
            <w:tcW w:type="dxa" w:w="2160"/>
          </w:tcPr>
          <w:p>
            <w:r>
              <w:t>Confirmações de retenção tributária, conciliação de pagamentos líquidos, dados de liquidação financeira</w:t>
            </w:r>
          </w:p>
        </w:tc>
        <w:tc>
          <w:tcPr>
            <w:tcW w:type="dxa" w:w="2160"/>
          </w:tcPr>
          <w:p>
            <w:r>
              <w:t>Dado corporativo tributário (não pessoal per se)</w:t>
            </w:r>
          </w:p>
        </w:tc>
        <w:tc>
          <w:tcPr>
            <w:tcW w:type="dxa" w:w="2160"/>
          </w:tcPr>
          <w:p>
            <w:r>
              <w:t>Protegidos por sigilo fiscal; segregação por tenant; rastreabilidade obrigatória por operação e meio de pagamento</w:t>
            </w:r>
          </w:p>
        </w:tc>
      </w:tr>
    </w:tbl>
    <w:p>
      <w:pPr>
        <w:pStyle w:val="Heading2"/>
      </w:pPr>
      <w:r>
        <w:t>Bases Legais Utilizadas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Tratamento</w:t>
            </w:r>
          </w:p>
        </w:tc>
        <w:tc>
          <w:tcPr>
            <w:tcW w:type="dxa" w:w="2880"/>
            <w:shd w:fill="1A3C6E"/>
          </w:tcPr>
          <w:p>
            <w:r>
              <w:rPr>
                <w:color w:val="FFFFFF"/>
              </w:rPr>
            </w:r>
            <w:r>
              <w:rPr>
                <w:rFonts w:ascii="Calibri" w:hAnsi="Calibri"/>
                <w:b/>
                <w:color w:val="FFFFFF"/>
                <w:sz w:val="20"/>
              </w:rPr>
              <w:t>Base legal (art. 7º LGPD)</w:t>
            </w:r>
          </w:p>
        </w:tc>
        <w:tc>
          <w:tcPr>
            <w:tcW w:type="dxa" w:w="2880"/>
            <w:shd w:fill="1A3C6E"/>
          </w:tcPr>
          <w:p>
            <w:r>
              <w:rPr>
                <w:color w:val="FFFFFF"/>
              </w:rPr>
            </w:r>
            <w:r>
              <w:rPr>
                <w:rFonts w:ascii="Calibri" w:hAnsi="Calibri"/>
                <w:b/>
                <w:color w:val="FFFFFF"/>
                <w:sz w:val="20"/>
              </w:rPr>
              <w:t>Justificativa</w:t>
            </w:r>
          </w:p>
        </w:tc>
      </w:tr>
      <w:tr>
        <w:tc>
          <w:tcPr>
            <w:tcW w:type="dxa" w:w="2880"/>
            <w:shd w:fill="EDF2FA"/>
          </w:tcPr>
          <w:p>
            <w:r/>
            <w:r>
              <w:rPr>
                <w:rFonts w:ascii="Calibri" w:hAnsi="Calibri"/>
                <w:b w:val="0"/>
                <w:sz w:val="20"/>
              </w:rPr>
              <w:t>Cadastro e autenticação de usuários</w:t>
            </w:r>
          </w:p>
        </w:tc>
        <w:tc>
          <w:tcPr>
            <w:tcW w:type="dxa" w:w="2880"/>
            <w:shd w:fill="EDF2FA"/>
          </w:tcPr>
          <w:p>
            <w:r/>
            <w:r>
              <w:rPr>
                <w:rFonts w:ascii="Calibri" w:hAnsi="Calibri"/>
                <w:b w:val="0"/>
                <w:sz w:val="20"/>
              </w:rPr>
              <w:t>Execução de contrato (art. 7º, V)</w:t>
            </w:r>
          </w:p>
        </w:tc>
        <w:tc>
          <w:tcPr>
            <w:tcW w:type="dxa" w:w="2880"/>
            <w:shd w:fill="EDF2FA"/>
          </w:tcPr>
          <w:p>
            <w:r/>
            <w:r>
              <w:rPr>
                <w:rFonts w:ascii="Calibri" w:hAnsi="Calibri"/>
                <w:b w:val="0"/>
                <w:sz w:val="20"/>
              </w:rPr>
              <w:t>Necessário para prestação do serviço contratado</w:t>
            </w:r>
          </w:p>
        </w:tc>
      </w:tr>
      <w:tr>
        <w:tc>
          <w:tcPr>
            <w:tcW w:type="dxa" w:w="2880"/>
          </w:tcPr>
          <w:p>
            <w:r/>
            <w:r>
              <w:rPr>
                <w:rFonts w:ascii="Calibri" w:hAnsi="Calibri"/>
                <w:b w:val="0"/>
                <w:sz w:val="20"/>
              </w:rPr>
              <w:t>Logs de auditoria</w:t>
            </w:r>
          </w:p>
        </w:tc>
        <w:tc>
          <w:tcPr>
            <w:tcW w:type="dxa" w:w="2880"/>
          </w:tcPr>
          <w:p>
            <w:r/>
            <w:r>
              <w:rPr>
                <w:rFonts w:ascii="Calibri" w:hAnsi="Calibri"/>
                <w:b w:val="0"/>
                <w:sz w:val="20"/>
              </w:rPr>
              <w:t>Legítimo interesse (art. 7º, IX)</w:t>
            </w:r>
          </w:p>
        </w:tc>
        <w:tc>
          <w:tcPr>
            <w:tcW w:type="dxa" w:w="2880"/>
          </w:tcPr>
          <w:p>
            <w:r/>
            <w:r>
              <w:rPr>
                <w:rFonts w:ascii="Calibri" w:hAnsi="Calibri"/>
                <w:b w:val="0"/>
                <w:sz w:val="20"/>
              </w:rPr>
              <w:t>Segurança do sistema e compliance tributário; interesse legítimo documentado em LIA</w:t>
            </w:r>
          </w:p>
        </w:tc>
      </w:tr>
      <w:tr>
        <w:tc>
          <w:tcPr>
            <w:tcW w:type="dxa" w:w="2880"/>
            <w:shd w:fill="EDF2FA"/>
          </w:tcPr>
          <w:p>
            <w:r/>
            <w:r>
              <w:rPr>
                <w:rFonts w:ascii="Calibri" w:hAnsi="Calibri"/>
                <w:b w:val="0"/>
                <w:sz w:val="20"/>
              </w:rPr>
              <w:t>Processamento de dados tributários</w:t>
            </w:r>
          </w:p>
        </w:tc>
        <w:tc>
          <w:tcPr>
            <w:tcW w:type="dxa" w:w="2880"/>
            <w:shd w:fill="EDF2FA"/>
          </w:tcPr>
          <w:p>
            <w:r/>
            <w:r>
              <w:rPr>
                <w:rFonts w:ascii="Calibri" w:hAnsi="Calibri"/>
                <w:b w:val="0"/>
                <w:sz w:val="20"/>
              </w:rPr>
              <w:t>Execução de contrato + Exercício regular de direitos (art. 7º, V e VI)</w:t>
            </w:r>
          </w:p>
        </w:tc>
        <w:tc>
          <w:tcPr>
            <w:tcW w:type="dxa" w:w="2880"/>
            <w:shd w:fill="EDF2FA"/>
          </w:tcPr>
          <w:p>
            <w:r/>
            <w:r>
              <w:rPr>
                <w:rFonts w:ascii="Calibri" w:hAnsi="Calibri"/>
                <w:b w:val="0"/>
                <w:sz w:val="20"/>
              </w:rPr>
              <w:t>Core do serviço; necessário para compliance tributário da empresa</w:t>
            </w:r>
          </w:p>
        </w:tc>
      </w:tr>
      <w:tr>
        <w:tc>
          <w:tcPr>
            <w:tcW w:type="dxa" w:w="2880"/>
          </w:tcPr>
          <w:p>
            <w:r/>
            <w:r>
              <w:rPr>
                <w:rFonts w:ascii="Calibri" w:hAnsi="Calibri"/>
                <w:b w:val="0"/>
                <w:sz w:val="20"/>
              </w:rPr>
              <w:t>Compartilhamento intra-grupo</w:t>
            </w:r>
          </w:p>
        </w:tc>
        <w:tc>
          <w:tcPr>
            <w:tcW w:type="dxa" w:w="2880"/>
          </w:tcPr>
          <w:p>
            <w:r/>
            <w:r>
              <w:rPr>
                <w:rFonts w:ascii="Calibri" w:hAnsi="Calibri"/>
                <w:b w:val="0"/>
                <w:sz w:val="20"/>
              </w:rPr>
              <w:t>Consentimento (art. 7º, I) ou legítimo interesse</w:t>
            </w:r>
          </w:p>
        </w:tc>
        <w:tc>
          <w:tcPr>
            <w:tcW w:type="dxa" w:w="2880"/>
          </w:tcPr>
          <w:p>
            <w:r/>
            <w:r>
              <w:rPr>
                <w:rFonts w:ascii="Calibri" w:hAnsi="Calibri"/>
                <w:b w:val="0"/>
                <w:sz w:val="20"/>
              </w:rPr>
              <w:t>Opt-in explícito do tenant; LIA documentado</w:t>
            </w:r>
          </w:p>
        </w:tc>
      </w:tr>
      <w:tr>
        <w:tc>
          <w:tcPr>
            <w:tcW w:type="dxa" w:w="2880"/>
            <w:shd w:fill="EDF2FA"/>
          </w:tcPr>
          <w:p>
            <w:r/>
            <w:r>
              <w:rPr>
                <w:rFonts w:ascii="Calibri" w:hAnsi="Calibri"/>
                <w:b w:val="0"/>
                <w:sz w:val="20"/>
              </w:rPr>
              <w:t>Analytics e heurísticas</w:t>
            </w:r>
          </w:p>
        </w:tc>
        <w:tc>
          <w:tcPr>
            <w:tcW w:type="dxa" w:w="2880"/>
            <w:shd w:fill="EDF2FA"/>
          </w:tcPr>
          <w:p>
            <w:r/>
            <w:r>
              <w:rPr>
                <w:rFonts w:ascii="Calibri" w:hAnsi="Calibri"/>
                <w:b w:val="0"/>
                <w:sz w:val="20"/>
              </w:rPr>
              <w:t>Legítimo interesse (art. 7º, IX)</w:t>
            </w:r>
          </w:p>
        </w:tc>
        <w:tc>
          <w:tcPr>
            <w:tcW w:type="dxa" w:w="2880"/>
            <w:shd w:fill="EDF2FA"/>
          </w:tcPr>
          <w:p>
            <w:r/>
            <w:r>
              <w:rPr>
                <w:rFonts w:ascii="Calibri" w:hAnsi="Calibri"/>
                <w:b w:val="0"/>
                <w:sz w:val="20"/>
              </w:rPr>
              <w:t>Dados anonimizados/agregados; se contiver dado pessoal, LIA obrigatório</w:t>
            </w:r>
          </w:p>
        </w:tc>
      </w:tr>
    </w:tbl>
    <w:p>
      <w:pPr>
        <w:pStyle w:val="Heading2"/>
      </w:pPr>
      <w:r>
        <w:t>Direitos dos Titulares (art. 18 LGPD)</w:t>
      </w:r>
    </w:p>
    <w:p>
      <w:pPr>
        <w:spacing w:after="120" w:before="0"/>
      </w:pPr>
      <w:r>
        <w:rPr>
          <w:rFonts w:ascii="Calibri" w:hAnsi="Calibri"/>
          <w:b w:val="0"/>
          <w:i w:val="0"/>
          <w:sz w:val="22"/>
        </w:rPr>
        <w:t>O Orbis.tax deve implementar mecanismos para atender aos direitos dos titulares:</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r>
              <w:rPr>
                <w:color w:val="FFFFFF"/>
              </w:rPr>
            </w:r>
            <w:r>
              <w:rPr>
                <w:rFonts w:ascii="Calibri" w:hAnsi="Calibri"/>
                <w:b/>
                <w:color w:val="FFFFFF"/>
                <w:sz w:val="20"/>
              </w:rPr>
              <w:t>Direito</w:t>
            </w:r>
          </w:p>
        </w:tc>
        <w:tc>
          <w:tcPr>
            <w:tcW w:type="dxa" w:w="4320"/>
            <w:shd w:fill="1A3C6E"/>
          </w:tcPr>
          <w:p>
            <w:r>
              <w:rPr>
                <w:color w:val="FFFFFF"/>
              </w:rPr>
            </w:r>
            <w:r>
              <w:rPr>
                <w:rFonts w:ascii="Calibri" w:hAnsi="Calibri"/>
                <w:b/>
                <w:color w:val="FFFFFF"/>
                <w:sz w:val="20"/>
              </w:rPr>
              <w:t>Implementação no Orbis.tax</w:t>
            </w:r>
          </w:p>
        </w:tc>
      </w:tr>
      <w:tr>
        <w:tc>
          <w:tcPr>
            <w:tcW w:type="dxa" w:w="4320"/>
            <w:shd w:fill="EDF2FA"/>
          </w:tcPr>
          <w:p>
            <w:r/>
            <w:r>
              <w:rPr>
                <w:rFonts w:ascii="Calibri" w:hAnsi="Calibri"/>
                <w:b w:val="0"/>
                <w:sz w:val="20"/>
              </w:rPr>
              <w:t>Confirmação e acesso (art. 18, I e II)</w:t>
            </w:r>
          </w:p>
        </w:tc>
        <w:tc>
          <w:tcPr>
            <w:tcW w:type="dxa" w:w="4320"/>
            <w:shd w:fill="EDF2FA"/>
          </w:tcPr>
          <w:p>
            <w:r/>
            <w:r>
              <w:rPr>
                <w:rFonts w:ascii="Calibri" w:hAnsi="Calibri"/>
                <w:b w:val="0"/>
                <w:sz w:val="20"/>
              </w:rPr>
              <w:t>Endpoint de self-service para o usuário visualizar todos os dados pessoais armazenados sobre ele</w:t>
            </w:r>
          </w:p>
        </w:tc>
      </w:tr>
      <w:tr>
        <w:tc>
          <w:tcPr>
            <w:tcW w:type="dxa" w:w="4320"/>
          </w:tcPr>
          <w:p>
            <w:r/>
            <w:r>
              <w:rPr>
                <w:rFonts w:ascii="Calibri" w:hAnsi="Calibri"/>
                <w:b w:val="0"/>
                <w:sz w:val="20"/>
              </w:rPr>
              <w:t>Correção (art. 18, III)</w:t>
            </w:r>
          </w:p>
        </w:tc>
        <w:tc>
          <w:tcPr>
            <w:tcW w:type="dxa" w:w="4320"/>
          </w:tcPr>
          <w:p>
            <w:r/>
            <w:r>
              <w:rPr>
                <w:rFonts w:ascii="Calibri" w:hAnsi="Calibri"/>
                <w:b w:val="0"/>
                <w:sz w:val="20"/>
              </w:rPr>
              <w:t>Usuário pode corrigir dados cadastrais diretamente; dados em decisões tributárias são imutáveis (integridade do registro) mas podem ser anotados</w:t>
            </w:r>
          </w:p>
        </w:tc>
      </w:tr>
      <w:tr>
        <w:tc>
          <w:tcPr>
            <w:tcW w:type="dxa" w:w="4320"/>
            <w:shd w:fill="EDF2FA"/>
          </w:tcPr>
          <w:p>
            <w:r/>
            <w:r>
              <w:rPr>
                <w:rFonts w:ascii="Calibri" w:hAnsi="Calibri"/>
                <w:b w:val="0"/>
                <w:sz w:val="20"/>
              </w:rPr>
              <w:t>Anonimização, bloqueio ou eliminação (art. 18, IV)</w:t>
            </w:r>
          </w:p>
        </w:tc>
        <w:tc>
          <w:tcPr>
            <w:tcW w:type="dxa" w:w="4320"/>
            <w:shd w:fill="EDF2FA"/>
          </w:tcPr>
          <w:p>
            <w:r/>
            <w:r>
              <w:rPr>
                <w:rFonts w:ascii="Calibri" w:hAnsi="Calibri"/>
                <w:b w:val="0"/>
                <w:sz w:val="20"/>
              </w:rPr>
              <w:t>Processo de exclusão que anonimiza dados pessoais mantendo integridade dos registros tributários (substituição por hash)</w:t>
            </w:r>
          </w:p>
        </w:tc>
      </w:tr>
      <w:tr>
        <w:tc>
          <w:tcPr>
            <w:tcW w:type="dxa" w:w="4320"/>
          </w:tcPr>
          <w:p>
            <w:r/>
            <w:r>
              <w:rPr>
                <w:rFonts w:ascii="Calibri" w:hAnsi="Calibri"/>
                <w:b w:val="0"/>
                <w:sz w:val="20"/>
              </w:rPr>
              <w:t>Portabilidade (art. 18, V)</w:t>
            </w:r>
          </w:p>
        </w:tc>
        <w:tc>
          <w:tcPr>
            <w:tcW w:type="dxa" w:w="4320"/>
          </w:tcPr>
          <w:p>
            <w:r/>
            <w:r>
              <w:rPr>
                <w:rFonts w:ascii="Calibri" w:hAnsi="Calibri"/>
                <w:b w:val="0"/>
                <w:sz w:val="20"/>
              </w:rPr>
              <w:t>Export de dados em formato estruturado (JSON/CSV) sob demanda do titular, via admin do tenant</w:t>
            </w:r>
          </w:p>
        </w:tc>
      </w:tr>
      <w:tr>
        <w:tc>
          <w:tcPr>
            <w:tcW w:type="dxa" w:w="4320"/>
            <w:shd w:fill="EDF2FA"/>
          </w:tcPr>
          <w:p>
            <w:r/>
            <w:r>
              <w:rPr>
                <w:rFonts w:ascii="Calibri" w:hAnsi="Calibri"/>
                <w:b w:val="0"/>
                <w:sz w:val="20"/>
              </w:rPr>
              <w:t>Eliminação de dados com consentimento (art. 18, VI)</w:t>
            </w:r>
          </w:p>
        </w:tc>
        <w:tc>
          <w:tcPr>
            <w:tcW w:type="dxa" w:w="4320"/>
            <w:shd w:fill="EDF2FA"/>
          </w:tcPr>
          <w:p>
            <w:r/>
            <w:r>
              <w:rPr>
                <w:rFonts w:ascii="Calibri" w:hAnsi="Calibri"/>
                <w:b w:val="0"/>
                <w:sz w:val="20"/>
              </w:rPr>
              <w:t>Se base legal é consentimento: eliminação mediante solicitação; se outra base legal: documentar recusa com justificativa</w:t>
            </w:r>
          </w:p>
        </w:tc>
      </w:tr>
      <w:tr>
        <w:tc>
          <w:tcPr>
            <w:tcW w:type="dxa" w:w="4320"/>
          </w:tcPr>
          <w:p>
            <w:r/>
            <w:r>
              <w:rPr>
                <w:rFonts w:ascii="Calibri" w:hAnsi="Calibri"/>
                <w:b w:val="0"/>
                <w:sz w:val="20"/>
              </w:rPr>
              <w:t>Informação sobre compartilhamento (art. 18, VII)</w:t>
            </w:r>
          </w:p>
        </w:tc>
        <w:tc>
          <w:tcPr>
            <w:tcW w:type="dxa" w:w="4320"/>
          </w:tcPr>
          <w:p>
            <w:r/>
            <w:r>
              <w:rPr>
                <w:rFonts w:ascii="Calibri" w:hAnsi="Calibri"/>
                <w:b w:val="0"/>
                <w:sz w:val="20"/>
              </w:rPr>
              <w:t>Dashboard de transparência mostrando com quais entidades os dados são compartilhados (subprocessadores, IA, grupo)</w:t>
            </w:r>
          </w:p>
        </w:tc>
      </w:tr>
      <w:tr>
        <w:tc>
          <w:tcPr>
            <w:tcW w:type="dxa" w:w="4320"/>
            <w:shd w:fill="EDF2FA"/>
          </w:tcPr>
          <w:p>
            <w:r/>
            <w:r>
              <w:rPr>
                <w:rFonts w:ascii="Calibri" w:hAnsi="Calibri"/>
                <w:b w:val="0"/>
                <w:sz w:val="20"/>
              </w:rPr>
              <w:t>Revogação de consentimento (art. 18, IX)</w:t>
            </w:r>
          </w:p>
        </w:tc>
        <w:tc>
          <w:tcPr>
            <w:tcW w:type="dxa" w:w="4320"/>
            <w:shd w:fill="EDF2FA"/>
          </w:tcPr>
          <w:p>
            <w:r/>
            <w:r>
              <w:rPr>
                <w:rFonts w:ascii="Calibri" w:hAnsi="Calibri"/>
                <w:b w:val="0"/>
                <w:sz w:val="20"/>
              </w:rPr>
              <w:t>Mecanismo de opt-out que não compromete a funcionalidade core do sistema</w:t>
            </w:r>
          </w:p>
        </w:tc>
      </w:tr>
    </w:tbl>
    <w:p>
      <w:pPr>
        <w:pStyle w:val="Heading2"/>
      </w:pPr>
      <w:r>
        <w:t>Medidas Organizacionais</w:t>
      </w:r>
    </w:p>
    <w:p>
      <w:pPr>
        <w:pStyle w:val="ListBullet"/>
      </w:pPr>
      <w:r>
        <w:rPr>
          <w:rFonts w:ascii="Calibri" w:hAnsi="Calibri"/>
          <w:b w:val="0"/>
          <w:sz w:val="22"/>
        </w:rPr>
        <w:t>DPO (Encarregado): designar responsável pelo tratamento de dados pessoais, com canal de contato público</w:t>
      </w:r>
    </w:p>
    <w:p>
      <w:pPr>
        <w:pStyle w:val="ListBullet"/>
      </w:pPr>
      <w:r>
        <w:rPr>
          <w:rFonts w:ascii="Calibri" w:hAnsi="Calibri"/>
          <w:b w:val="0"/>
          <w:sz w:val="22"/>
        </w:rPr>
        <w:t>RIPD (Relatório de Impacto): elaborar Relatório de Impacto à Proteção de Dados antes do go-live, revisado anualmente</w:t>
      </w:r>
    </w:p>
    <w:p>
      <w:pPr>
        <w:pStyle w:val="ListBullet"/>
      </w:pPr>
      <w:r>
        <w:rPr>
          <w:rFonts w:ascii="Calibri" w:hAnsi="Calibri"/>
          <w:b w:val="0"/>
          <w:sz w:val="22"/>
        </w:rPr>
        <w:t>LIA (Legitimate Interest Assessment): documentar análise de legítimo interesse para cada tratamento baseado nessa base legal</w:t>
      </w:r>
    </w:p>
    <w:p>
      <w:pPr>
        <w:pStyle w:val="ListBullet"/>
      </w:pPr>
      <w:r>
        <w:rPr>
          <w:rFonts w:ascii="Calibri" w:hAnsi="Calibri"/>
          <w:b w:val="0"/>
          <w:sz w:val="22"/>
        </w:rPr>
        <w:t>Registro de tratamentos (art. 37): manter inventário atualizado de todos os tratamentos de dados pessoais</w:t>
      </w:r>
    </w:p>
    <w:p>
      <w:pPr>
        <w:pStyle w:val="ListBullet"/>
      </w:pPr>
      <w:r>
        <w:rPr>
          <w:rFonts w:ascii="Calibri" w:hAnsi="Calibri"/>
          <w:b w:val="0"/>
          <w:sz w:val="22"/>
        </w:rPr>
        <w:t>Treinamento: equipe com acesso a dados pessoais treinada anualmente em LGPD e segurança da informação</w:t>
      </w:r>
    </w:p>
    <w:p>
      <w:pPr>
        <w:pStyle w:val="ListBullet"/>
      </w:pPr>
      <w:r>
        <w:rPr>
          <w:rFonts w:ascii="Calibri" w:hAnsi="Calibri"/>
          <w:b w:val="0"/>
          <w:sz w:val="22"/>
        </w:rPr>
        <w:t>Data Processing Agreement (DPA): contrato com todos os subprocessadores (provedor de IA, cloud, etc.) com cláusulas LGPD</w:t>
      </w:r>
    </w:p>
    <w:p>
      <w:pPr>
        <w:pStyle w:val="Heading2"/>
      </w:pPr>
      <w:r>
        <w:t>Resposta a Incidentes</w:t>
      </w:r>
    </w:p>
    <w:p>
      <w:pPr>
        <w:spacing w:after="120" w:before="0"/>
      </w:pPr>
      <w:r>
        <w:rPr>
          <w:rFonts w:ascii="Calibri" w:hAnsi="Calibri"/>
          <w:b w:val="0"/>
          <w:i w:val="0"/>
          <w:sz w:val="22"/>
        </w:rPr>
        <w:t>Conforme art. 48 da LGPD, incidentes de segurança que possam acarretar risco ou dano relevante aos titulares devem ser comunicados à ANPD e aos titulares:</w:t>
      </w:r>
    </w:p>
    <w:p>
      <w:pPr>
        <w:pStyle w:val="ListBullet"/>
      </w:pPr>
      <w:r>
        <w:rPr>
          <w:rFonts w:ascii="Calibri" w:hAnsi="Calibri"/>
          <w:b w:val="0"/>
          <w:sz w:val="22"/>
        </w:rPr>
        <w:t>Plano de resposta a incidentes documentado e testado semestralmente</w:t>
      </w:r>
    </w:p>
    <w:p>
      <w:pPr>
        <w:pStyle w:val="ListBullet"/>
      </w:pPr>
      <w:r>
        <w:rPr>
          <w:rFonts w:ascii="Calibri" w:hAnsi="Calibri"/>
          <w:b w:val="0"/>
          <w:sz w:val="22"/>
        </w:rPr>
        <w:t>Comunicação à ANPD em prazo razoável (recomendação: até 72 horas, alinhado com melhores práticas)</w:t>
      </w:r>
    </w:p>
    <w:p>
      <w:pPr>
        <w:pStyle w:val="ListBullet"/>
      </w:pPr>
      <w:r>
        <w:rPr>
          <w:rFonts w:ascii="Calibri" w:hAnsi="Calibri"/>
          <w:b w:val="0"/>
          <w:sz w:val="22"/>
        </w:rPr>
        <w:t>Comunicação aos titulares afetados com: descrição do incidente, dados afetados, medidas tomadas, canal de contato</w:t>
      </w:r>
    </w:p>
    <w:p>
      <w:pPr>
        <w:pStyle w:val="ListBullet"/>
      </w:pPr>
      <w:r>
        <w:rPr>
          <w:rFonts w:ascii="Calibri" w:hAnsi="Calibri"/>
          <w:b w:val="0"/>
          <w:sz w:val="22"/>
        </w:rPr>
        <w:t>Post-mortem obrigatório com plano de ação corretiva registrado</w:t>
      </w:r>
    </w:p>
    <w:p>
      <w:pPr>
        <w:pStyle w:val="Heading2"/>
      </w:pPr>
      <w:r>
        <w:t>Retenção e Descarte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color w:val="FFFFFF"/>
              </w:rPr>
            </w:r>
            <w:r>
              <w:rPr>
                <w:rFonts w:ascii="Calibri" w:hAnsi="Calibri"/>
                <w:b/>
                <w:color w:val="FFFFFF"/>
                <w:sz w:val="20"/>
              </w:rPr>
              <w:t>Tipo de dado</w:t>
            </w:r>
          </w:p>
        </w:tc>
        <w:tc>
          <w:tcPr>
            <w:tcW w:type="dxa" w:w="2160"/>
            <w:shd w:fill="1A3C6E"/>
          </w:tcPr>
          <w:p>
            <w:r>
              <w:rPr>
                <w:color w:val="FFFFFF"/>
              </w:rPr>
            </w:r>
            <w:r>
              <w:rPr>
                <w:rFonts w:ascii="Calibri" w:hAnsi="Calibri"/>
                <w:b/>
                <w:color w:val="FFFFFF"/>
                <w:sz w:val="20"/>
              </w:rPr>
              <w:t>Retenção mínima</w:t>
            </w:r>
          </w:p>
        </w:tc>
        <w:tc>
          <w:tcPr>
            <w:tcW w:type="dxa" w:w="2160"/>
            <w:shd w:fill="1A3C6E"/>
          </w:tcPr>
          <w:p>
            <w:r>
              <w:rPr>
                <w:color w:val="FFFFFF"/>
              </w:rPr>
            </w:r>
            <w:r>
              <w:rPr>
                <w:rFonts w:ascii="Calibri" w:hAnsi="Calibri"/>
                <w:b/>
                <w:color w:val="FFFFFF"/>
                <w:sz w:val="20"/>
              </w:rPr>
              <w:t>Retenção máxima</w:t>
            </w:r>
          </w:p>
        </w:tc>
        <w:tc>
          <w:tcPr>
            <w:tcW w:type="dxa" w:w="2160"/>
            <w:shd w:fill="1A3C6E"/>
          </w:tcPr>
          <w:p>
            <w:r>
              <w:rPr>
                <w:color w:val="FFFFFF"/>
              </w:rPr>
            </w:r>
            <w:r>
              <w:rPr>
                <w:rFonts w:ascii="Calibri" w:hAnsi="Calibri"/>
                <w:b/>
                <w:color w:val="FFFFFF"/>
                <w:sz w:val="20"/>
              </w:rPr>
              <w:t>Justificativa</w:t>
            </w:r>
          </w:p>
        </w:tc>
      </w:tr>
      <w:tr>
        <w:tc>
          <w:tcPr>
            <w:tcW w:type="dxa" w:w="2160"/>
            <w:shd w:fill="EDF2FA"/>
          </w:tcPr>
          <w:p>
            <w:r/>
            <w:r>
              <w:rPr>
                <w:rFonts w:ascii="Calibri" w:hAnsi="Calibri"/>
                <w:b w:val="0"/>
                <w:sz w:val="20"/>
              </w:rPr>
              <w:t>Dados de decisões tributárias</w:t>
            </w:r>
          </w:p>
        </w:tc>
        <w:tc>
          <w:tcPr>
            <w:tcW w:type="dxa" w:w="2160"/>
            <w:shd w:fill="EDF2FA"/>
          </w:tcPr>
          <w:p>
            <w:r/>
            <w:r>
              <w:rPr>
                <w:rFonts w:ascii="Calibri" w:hAnsi="Calibri"/>
                <w:b w:val="0"/>
                <w:sz w:val="20"/>
              </w:rPr>
              <w:t>5 anos</w:t>
            </w:r>
          </w:p>
        </w:tc>
        <w:tc>
          <w:tcPr>
            <w:tcW w:type="dxa" w:w="2160"/>
            <w:shd w:fill="EDF2FA"/>
          </w:tcPr>
          <w:p>
            <w:r/>
            <w:r>
              <w:rPr>
                <w:rFonts w:ascii="Calibri" w:hAnsi="Calibri"/>
                <w:b w:val="0"/>
                <w:sz w:val="20"/>
              </w:rPr>
              <w:t>10 anos</w:t>
            </w:r>
          </w:p>
        </w:tc>
        <w:tc>
          <w:tcPr>
            <w:tcW w:type="dxa" w:w="2160"/>
            <w:shd w:fill="EDF2FA"/>
          </w:tcPr>
          <w:p>
            <w:r/>
            <w:r>
              <w:rPr>
                <w:rFonts w:ascii="Calibri" w:hAnsi="Calibri"/>
                <w:b w:val="0"/>
                <w:sz w:val="20"/>
              </w:rPr>
              <w:t>Prazo de decadência tributária (CTN art. 173) + margem para contencioso</w:t>
            </w:r>
          </w:p>
        </w:tc>
      </w:tr>
      <w:tr>
        <w:tc>
          <w:tcPr>
            <w:tcW w:type="dxa" w:w="2160"/>
          </w:tcPr>
          <w:p>
            <w:r/>
            <w:r>
              <w:rPr>
                <w:rFonts w:ascii="Calibri" w:hAnsi="Calibri"/>
                <w:b w:val="0"/>
                <w:sz w:val="20"/>
              </w:rPr>
              <w:t>Logs de auditoria</w:t>
            </w:r>
          </w:p>
        </w:tc>
        <w:tc>
          <w:tcPr>
            <w:tcW w:type="dxa" w:w="2160"/>
          </w:tcPr>
          <w:p>
            <w:r/>
            <w:r>
              <w:rPr>
                <w:rFonts w:ascii="Calibri" w:hAnsi="Calibri"/>
                <w:b w:val="0"/>
                <w:sz w:val="20"/>
              </w:rPr>
              <w:t>5 anos</w:t>
            </w:r>
          </w:p>
        </w:tc>
        <w:tc>
          <w:tcPr>
            <w:tcW w:type="dxa" w:w="2160"/>
          </w:tcPr>
          <w:p>
            <w:r/>
            <w:r>
              <w:rPr>
                <w:rFonts w:ascii="Calibri" w:hAnsi="Calibri"/>
                <w:b w:val="0"/>
                <w:sz w:val="20"/>
              </w:rPr>
              <w:t>7 anos</w:t>
            </w:r>
          </w:p>
        </w:tc>
        <w:tc>
          <w:tcPr>
            <w:tcW w:type="dxa" w:w="2160"/>
          </w:tcPr>
          <w:p>
            <w:r/>
            <w:r>
              <w:rPr>
                <w:rFonts w:ascii="Calibri" w:hAnsi="Calibri"/>
                <w:b w:val="0"/>
                <w:sz w:val="20"/>
              </w:rPr>
              <w:t>Compliance tributário + possível necessidade em processos administrativos/judiciais</w:t>
            </w:r>
          </w:p>
        </w:tc>
      </w:tr>
      <w:tr>
        <w:tc>
          <w:tcPr>
            <w:tcW w:type="dxa" w:w="2160"/>
            <w:shd w:fill="EDF2FA"/>
          </w:tcPr>
          <w:p>
            <w:r/>
            <w:r>
              <w:rPr>
                <w:rFonts w:ascii="Calibri" w:hAnsi="Calibri"/>
                <w:b w:val="0"/>
                <w:sz w:val="20"/>
              </w:rPr>
              <w:t>Dados pessoais de usuários inativos</w:t>
            </w:r>
          </w:p>
        </w:tc>
        <w:tc>
          <w:tcPr>
            <w:tcW w:type="dxa" w:w="2160"/>
            <w:shd w:fill="EDF2FA"/>
          </w:tcPr>
          <w:p>
            <w:r/>
            <w:r>
              <w:rPr>
                <w:rFonts w:ascii="Calibri" w:hAnsi="Calibri"/>
                <w:b w:val="0"/>
                <w:sz w:val="20"/>
              </w:rPr>
              <w:t>Até exclusão</w:t>
            </w:r>
          </w:p>
        </w:tc>
        <w:tc>
          <w:tcPr>
            <w:tcW w:type="dxa" w:w="2160"/>
            <w:shd w:fill="EDF2FA"/>
          </w:tcPr>
          <w:p>
            <w:r/>
            <w:r>
              <w:rPr>
                <w:rFonts w:ascii="Calibri" w:hAnsi="Calibri"/>
                <w:b w:val="0"/>
                <w:sz w:val="20"/>
              </w:rPr>
              <w:t>2 anos após inatividade</w:t>
            </w:r>
          </w:p>
        </w:tc>
        <w:tc>
          <w:tcPr>
            <w:tcW w:type="dxa" w:w="2160"/>
            <w:shd w:fill="EDF2FA"/>
          </w:tcPr>
          <w:p>
            <w:r/>
            <w:r>
              <w:rPr>
                <w:rFonts w:ascii="Calibri" w:hAnsi="Calibri"/>
                <w:b w:val="0"/>
                <w:sz w:val="20"/>
              </w:rPr>
              <w:t>Anonimizar após período; manter registro de ações (desvinculado da identidade)</w:t>
            </w:r>
          </w:p>
        </w:tc>
      </w:tr>
      <w:tr>
        <w:tc>
          <w:tcPr>
            <w:tcW w:type="dxa" w:w="2160"/>
          </w:tcPr>
          <w:p>
            <w:r/>
            <w:r>
              <w:rPr>
                <w:rFonts w:ascii="Calibri" w:hAnsi="Calibri"/>
                <w:b w:val="0"/>
                <w:sz w:val="20"/>
              </w:rPr>
              <w:t>Backups</w:t>
            </w:r>
          </w:p>
        </w:tc>
        <w:tc>
          <w:tcPr>
            <w:tcW w:type="dxa" w:w="2160"/>
          </w:tcPr>
          <w:p>
            <w:r/>
            <w:r>
              <w:rPr>
                <w:rFonts w:ascii="Calibri" w:hAnsi="Calibri"/>
                <w:b w:val="0"/>
                <w:sz w:val="20"/>
              </w:rPr>
              <w:t>30 dias</w:t>
            </w:r>
          </w:p>
        </w:tc>
        <w:tc>
          <w:tcPr>
            <w:tcW w:type="dxa" w:w="2160"/>
          </w:tcPr>
          <w:p>
            <w:r/>
            <w:r>
              <w:rPr>
                <w:rFonts w:ascii="Calibri" w:hAnsi="Calibri"/>
                <w:b w:val="0"/>
                <w:sz w:val="20"/>
              </w:rPr>
              <w:t>1 ano</w:t>
            </w:r>
          </w:p>
        </w:tc>
        <w:tc>
          <w:tcPr>
            <w:tcW w:type="dxa" w:w="2160"/>
          </w:tcPr>
          <w:p>
            <w:r/>
            <w:r>
              <w:rPr>
                <w:rFonts w:ascii="Calibri" w:hAnsi="Calibri"/>
                <w:b w:val="0"/>
                <w:sz w:val="20"/>
              </w:rPr>
              <w:t>Disaster recovery; backups mais antigos destruídos de forma segura</w:t>
            </w:r>
          </w:p>
        </w:tc>
      </w:tr>
      <w:tr>
        <w:tc>
          <w:tcPr>
            <w:tcW w:type="dxa" w:w="2160"/>
            <w:shd w:fill="EDF2FA"/>
          </w:tcPr>
          <w:p>
            <w:r/>
            <w:r>
              <w:rPr>
                <w:rFonts w:ascii="Calibri" w:hAnsi="Calibri"/>
                <w:b w:val="0"/>
                <w:sz w:val="20"/>
              </w:rPr>
              <w:t>Dados de IA (prompts/respostas)</w:t>
            </w:r>
          </w:p>
        </w:tc>
        <w:tc>
          <w:tcPr>
            <w:tcW w:type="dxa" w:w="2160"/>
            <w:shd w:fill="EDF2FA"/>
          </w:tcPr>
          <w:p>
            <w:r/>
            <w:r>
              <w:rPr>
                <w:rFonts w:ascii="Calibri" w:hAnsi="Calibri"/>
                <w:b w:val="0"/>
                <w:sz w:val="20"/>
              </w:rPr>
              <w:t>1 ano</w:t>
            </w:r>
          </w:p>
        </w:tc>
        <w:tc>
          <w:tcPr>
            <w:tcW w:type="dxa" w:w="2160"/>
            <w:shd w:fill="EDF2FA"/>
          </w:tcPr>
          <w:p>
            <w:r/>
            <w:r>
              <w:rPr>
                <w:rFonts w:ascii="Calibri" w:hAnsi="Calibri"/>
                <w:b w:val="0"/>
                <w:sz w:val="20"/>
              </w:rPr>
              <w:t>3 anos</w:t>
            </w:r>
          </w:p>
        </w:tc>
        <w:tc>
          <w:tcPr>
            <w:tcW w:type="dxa" w:w="2160"/>
            <w:shd w:fill="EDF2FA"/>
          </w:tcPr>
          <w:p>
            <w:r/>
            <w:r>
              <w:rPr>
                <w:rFonts w:ascii="Calibri" w:hAnsi="Calibri"/>
                <w:b w:val="0"/>
                <w:sz w:val="20"/>
              </w:rPr>
              <w:t>Auditoria de recomendações; após período, anonimizar</w:t>
            </w:r>
          </w:p>
        </w:tc>
      </w:tr>
      <w:tr>
        <w:tc>
          <w:tcPr>
            <w:tcW w:type="dxa" w:w="2160"/>
          </w:tcPr>
          <w:p>
            <w:r>
              <w:t>Outputs de Modo Exploração</w:t>
            </w:r>
          </w:p>
        </w:tc>
        <w:tc>
          <w:tcPr>
            <w:tcW w:type="dxa" w:w="2160"/>
          </w:tcPr>
          <w:p>
            <w:r>
              <w:t>30 dias</w:t>
            </w:r>
          </w:p>
        </w:tc>
        <w:tc>
          <w:tcPr>
            <w:tcW w:type="dxa" w:w="2160"/>
          </w:tcPr>
          <w:p>
            <w:r>
              <w:t>2 anos</w:t>
            </w:r>
          </w:p>
        </w:tc>
        <w:tc>
          <w:tcPr>
            <w:tcW w:type="dxa" w:w="2160"/>
          </w:tcPr>
          <w:p>
            <w:r>
              <w:t>Outputs exploratórios podem ser deletados pelo usuário; sujeitos a Legal Hold se aplicável. Retenção menor que outputs operacionais.</w:t>
            </w:r>
          </w:p>
        </w:tc>
      </w:tr>
    </w:tbl>
    <w:p>
      <w:pPr>
        <w:spacing w:after="120" w:before="160"/>
      </w:pPr>
      <w:r>
        <w:rPr>
          <w:rFonts w:ascii="Calibri" w:hAnsi="Calibri"/>
          <w:b/>
          <w:i w:val="0"/>
          <w:sz w:val="22"/>
        </w:rPr>
        <w:t>Descarte: dados devem ser eliminados de forma irreversível (crypto-shredding para dados criptografados; secure delete para demais).</w:t>
      </w:r>
    </w:p>
    <w:p>
      <w:r>
        <w:br w:type="page"/>
      </w:r>
    </w:p>
    <w:p>
      <w:pPr>
        <w:pStyle w:val="Heading1"/>
      </w:pPr>
      <w:r>
        <w:t>Sigilo Fiscal — CTN art. 198</w:t>
      </w:r>
    </w:p>
    <w:p>
      <w:pPr>
        <w:spacing w:after="120" w:before="0"/>
      </w:pPr>
      <w:r>
        <w:rPr>
          <w:rFonts w:ascii="Calibri" w:hAnsi="Calibri"/>
          <w:b w:val="0"/>
          <w:i w:val="0"/>
          <w:sz w:val="22"/>
        </w:rPr>
        <w:t>Além da LGPD, o Orbis.tax deve observar o sigilo fiscal previsto no art. 198 do Código Tributário Nacional. Informações econômicas ou financeiras dos contribuintes, obtidas em razão do ofício, são protegidas por sigilo fiscal.</w:t>
      </w:r>
    </w:p>
    <w:p>
      <w:pPr>
        <w:spacing w:after="120" w:before="0"/>
      </w:pPr>
      <w:r>
        <w:rPr>
          <w:rFonts w:ascii="Calibri" w:hAnsi="Calibri"/>
          <w:b/>
          <w:i w:val="0"/>
          <w:sz w:val="22"/>
        </w:rPr>
        <w:t>Implicações para o Orbis.tax:</w:t>
      </w:r>
    </w:p>
    <w:p>
      <w:pPr>
        <w:pStyle w:val="ListBullet"/>
      </w:pPr>
      <w:r>
        <w:rPr>
          <w:rFonts w:ascii="Calibri" w:hAnsi="Calibri"/>
          <w:b w:val="0"/>
          <w:sz w:val="22"/>
        </w:rPr>
        <w:t>Dados tributários de um cliente NÃO podem ser utilizados para gerar heurísticas que beneficiem outro cliente (exceto se efetivamente anonimizados e agregados)</w:t>
      </w:r>
    </w:p>
    <w:p>
      <w:pPr>
        <w:pStyle w:val="ListBullet"/>
      </w:pPr>
      <w:r>
        <w:rPr>
          <w:rFonts w:ascii="Calibri" w:hAnsi="Calibri"/>
          <w:b w:val="0"/>
          <w:sz w:val="22"/>
        </w:rPr>
        <w:t>O compartilhamento intra-grupo é permitido apenas quando ambas as empresas pertencem ao mesmo grupo econômico e há autorização explícita</w:t>
      </w:r>
    </w:p>
    <w:p>
      <w:pPr>
        <w:pStyle w:val="ListBullet"/>
      </w:pPr>
      <w:r>
        <w:rPr>
          <w:rFonts w:ascii="Calibri" w:hAnsi="Calibri"/>
          <w:b w:val="0"/>
          <w:sz w:val="22"/>
        </w:rPr>
        <w:t>A equipe interna do Orbis.tax que acessa dados de clientes para suporte/debug deve estar sob NDA e sob procedimento auditado</w:t>
      </w:r>
    </w:p>
    <w:p>
      <w:pPr>
        <w:pStyle w:val="ListBullet"/>
      </w:pPr>
      <w:r>
        <w:rPr>
          <w:rFonts w:ascii="Calibri" w:hAnsi="Calibri"/>
          <w:b w:val="0"/>
          <w:sz w:val="22"/>
        </w:rPr>
        <w:t>Relatórios exportados devem conter watermark digital com identificação do usuário que gerou o export</w:t>
      </w:r>
    </w:p>
    <w:p>
      <w:r>
        <w:br w:type="page"/>
      </w:r>
    </w:p>
    <w:p>
      <w:pPr>
        <w:pStyle w:val="Heading1"/>
      </w:pPr>
      <w:r>
        <w:t>Legal Hold — Preservação de Registros</w:t>
      </w:r>
    </w:p>
    <w:p>
      <w:pPr/>
      <w:r>
        <w:t>Outputs do Orbis.tax (análises, recomendações, decisões registradas, audit trails) podem ser requisitados em procedimentos fiscais, administrativos ou judiciais. O Orbis.tax deve implementar capacidade de Legal Hold — preservação obrigatória de registros sob demanda.</w:t>
      </w:r>
    </w:p>
    <w:p>
      <w:pPr/>
      <w:r>
        <w:t>Requisitos de Legal Hold:</w:t>
      </w:r>
    </w:p>
    <w:p>
      <w:pPr>
        <w:pStyle w:val="ListBullet"/>
      </w:pPr>
      <w:r>
        <w:t>Ativação por trigger: Legal Hold é ativado quando a organização é notificada de procedimento fiscal, administrativo ou judicial que possa requerer evidências do Orbis.tax</w:t>
      </w:r>
    </w:p>
    <w:p>
      <w:pPr>
        <w:pStyle w:val="ListBullet"/>
      </w:pPr>
      <w:r>
        <w:t>Escopo configurável: o Legal Hold pode abranger todo o tenant ou apenas decisões/análises específicas relacionadas ao procedimento</w:t>
      </w:r>
    </w:p>
    <w:p>
      <w:pPr>
        <w:pStyle w:val="ListBullet"/>
      </w:pPr>
      <w:r>
        <w:t>Bloqueio de exclusão: outputs sob Legal Hold não podem ser excluídos, mesmo que a política de retenção padrão indique descarte</w:t>
      </w:r>
    </w:p>
    <w:p>
      <w:pPr>
        <w:pStyle w:val="ListBullet"/>
      </w:pPr>
      <w:r>
        <w:t>Auditoria: toda ativação e desativação de Legal Hold é registrada no audit log com: quem ativou, quando, motivo, escopo, e quem desativou</w:t>
      </w:r>
    </w:p>
    <w:p>
      <w:pPr>
        <w:pStyle w:val="ListBullet"/>
      </w:pPr>
      <w:r>
        <w:t>Exportação forense: outputs sob Legal Hold devem ser exportáveis em formato que preserve integridade (hash de verificação, metadados de contexto)</w:t>
      </w:r>
    </w:p>
    <w:p>
      <w:pPr/>
    </w:p>
    <w:p>
      <w:pPr>
        <w:pStyle w:val="Heading2"/>
      </w:pPr>
      <w:r>
        <w:t>Disclaimer Padrão em Outputs</w:t>
      </w:r>
    </w:p>
    <w:p>
      <w:pPr/>
      <w:r>
        <w:t>Todo output gerado pelo Orbis.tax — análises, recomendações, alertas, relatórios — deve incluir o seguinte disclaimer padrão, não removível pelo usuário:</w:t>
      </w:r>
    </w:p>
    <w:p>
      <w:pPr/>
      <w:r>
        <w:t>"Esta análise é gerada por sistema de inteligência artificial com base na legislação vigente na data de processamento. Não constitui parecer jurídico ou contábil. A precisão das recomendações depende da qualidade dos dados fornecidos e da estabilidade do cenário normativo. A decisão final é responsabilidade do profissional competente."</w:t>
      </w:r>
    </w:p>
    <w:p>
      <w:pPr/>
      <w:r>
        <w:t>Para outputs gerados em Modo Exploração, o disclaimer padrão é acrescido de: "Análises em Modo Exploração envolvem posições tributárias com grau de consolidação variável. A decisão de adotar tese alternativa é responsabilidade exclusiva do contribuinte, preferencialmente com assessoria jurídica."</w:t>
      </w:r>
    </w:p>
    <w:p>
      <w:pPr/>
    </w:p>
    <w:p>
      <w:pPr>
        <w:pStyle w:val="Heading1"/>
      </w:pPr>
      <w:r>
        <w:t>Checklist de Implementação — MVP</w:t>
      </w:r>
    </w:p>
    <w:p>
      <w:pPr>
        <w:spacing w:after="120" w:before="0"/>
      </w:pPr>
      <w:r>
        <w:rPr>
          <w:rFonts w:ascii="Calibri" w:hAnsi="Calibri"/>
          <w:b w:val="0"/>
          <w:i w:val="0"/>
          <w:sz w:val="22"/>
        </w:rPr>
        <w:t>Itens que devem estar implementados no MVP para que o sistema entre em produção:</w:t>
      </w:r>
    </w:p>
    <w:p>
      <w:pPr>
        <w:pStyle w:val="Heading3"/>
      </w:pPr>
      <w:r>
        <w:t>Segurança de Backend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Item</w:t>
            </w:r>
          </w:p>
        </w:tc>
        <w:tc>
          <w:tcPr>
            <w:tcW w:type="dxa" w:w="2880"/>
            <w:shd w:fill="1A3C6E"/>
          </w:tcPr>
          <w:p>
            <w:r>
              <w:rPr>
                <w:color w:val="FFFFFF"/>
              </w:rPr>
            </w:r>
            <w:r>
              <w:rPr>
                <w:rFonts w:ascii="Calibri" w:hAnsi="Calibri"/>
                <w:b/>
                <w:color w:val="FFFFFF"/>
                <w:sz w:val="20"/>
              </w:rPr>
              <w:t>Prioridade</w:t>
            </w:r>
          </w:p>
        </w:tc>
        <w:tc>
          <w:tcPr>
            <w:tcW w:type="dxa" w:w="2880"/>
            <w:shd w:fill="1A3C6E"/>
          </w:tcPr>
          <w:p>
            <w:r>
              <w:rPr>
                <w:color w:val="FFFFFF"/>
              </w:rPr>
            </w:r>
            <w:r>
              <w:rPr>
                <w:rFonts w:ascii="Calibri" w:hAnsi="Calibri"/>
                <w:b/>
                <w:color w:val="FFFFFF"/>
                <w:sz w:val="20"/>
              </w:rPr>
              <w:t>Status</w:t>
            </w:r>
          </w:p>
        </w:tc>
      </w:tr>
      <w:tr>
        <w:tc>
          <w:tcPr>
            <w:tcW w:type="dxa" w:w="2880"/>
            <w:shd w:fill="EDF2FA"/>
          </w:tcPr>
          <w:p>
            <w:r/>
            <w:r>
              <w:rPr>
                <w:rFonts w:ascii="Calibri" w:hAnsi="Calibri"/>
                <w:b w:val="0"/>
                <w:sz w:val="20"/>
              </w:rPr>
              <w:t>TLS 1.3 em todas as comunicações</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Autenticação via IdP externo (OIDC/SAML)</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MFA para Admin e Gestor</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JWT com validade curta + refresh rotation</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RBAC enforced no backend (middleware)</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Row-Level Security (RLS) no banco</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Tenant_id derivado do token, nunca do input</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Audit log append-only</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Criptografia AES-256 em repouso</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WAF em edge + rate limiting</w:t>
            </w:r>
          </w:p>
        </w:tc>
        <w:tc>
          <w:tcPr>
            <w:tcW w:type="dxa" w:w="2880"/>
          </w:tcPr>
          <w:p>
            <w:r/>
            <w:r>
              <w:rPr>
                <w:rFonts w:ascii="Calibri" w:hAnsi="Calibri"/>
                <w:b w:val="0"/>
                <w:sz w:val="20"/>
              </w:rPr>
              <w:t>Alta</w:t>
            </w:r>
          </w:p>
        </w:tc>
        <w:tc>
          <w:tcPr>
            <w:tcW w:type="dxa" w:w="2880"/>
          </w:tcPr>
          <w:p>
            <w:r/>
            <w:r>
              <w:rPr>
                <w:rFonts w:ascii="Calibri" w:hAnsi="Calibri"/>
                <w:b w:val="0"/>
                <w:sz w:val="20"/>
              </w:rPr>
              <w:t>—</w:t>
            </w:r>
          </w:p>
        </w:tc>
      </w:tr>
      <w:tr>
        <w:tc>
          <w:tcPr>
            <w:tcW w:type="dxa" w:w="2880"/>
            <w:shd w:fill="EDF2FA"/>
          </w:tcPr>
          <w:p>
            <w:r/>
            <w:r>
              <w:rPr>
                <w:rFonts w:ascii="Calibri" w:hAnsi="Calibri"/>
                <w:b w:val="0"/>
                <w:sz w:val="20"/>
              </w:rPr>
              <w:t>SIEM integration</w:t>
            </w:r>
          </w:p>
        </w:tc>
        <w:tc>
          <w:tcPr>
            <w:tcW w:type="dxa" w:w="2880"/>
            <w:shd w:fill="EDF2FA"/>
          </w:tcPr>
          <w:p>
            <w:r/>
            <w:r>
              <w:rPr>
                <w:rFonts w:ascii="Calibri" w:hAnsi="Calibri"/>
                <w:b w:val="0"/>
                <w:sz w:val="20"/>
              </w:rPr>
              <w:t>Média</w:t>
            </w:r>
          </w:p>
        </w:tc>
        <w:tc>
          <w:tcPr>
            <w:tcW w:type="dxa" w:w="2880"/>
            <w:shd w:fill="EDF2FA"/>
          </w:tcPr>
          <w:p>
            <w:r/>
            <w:r>
              <w:rPr>
                <w:rFonts w:ascii="Calibri" w:hAnsi="Calibri"/>
                <w:b w:val="0"/>
                <w:sz w:val="20"/>
              </w:rPr>
              <w:t>—</w:t>
            </w:r>
          </w:p>
        </w:tc>
      </w:tr>
      <w:tr>
        <w:tc>
          <w:tcPr>
            <w:tcW w:type="dxa" w:w="2880"/>
          </w:tcPr>
          <w:p>
            <w:r/>
            <w:r>
              <w:rPr>
                <w:rFonts w:ascii="Calibri" w:hAnsi="Calibri"/>
                <w:b w:val="0"/>
                <w:sz w:val="20"/>
              </w:rPr>
              <w:t>Monitoramento de anomalias</w:t>
            </w:r>
          </w:p>
        </w:tc>
        <w:tc>
          <w:tcPr>
            <w:tcW w:type="dxa" w:w="2880"/>
          </w:tcPr>
          <w:p>
            <w:r/>
            <w:r>
              <w:rPr>
                <w:rFonts w:ascii="Calibri" w:hAnsi="Calibri"/>
                <w:b w:val="0"/>
                <w:sz w:val="20"/>
              </w:rPr>
              <w:t>Média</w:t>
            </w:r>
          </w:p>
        </w:tc>
        <w:tc>
          <w:tcPr>
            <w:tcW w:type="dxa" w:w="2880"/>
          </w:tcPr>
          <w:p>
            <w:r/>
            <w:r>
              <w:rPr>
                <w:rFonts w:ascii="Calibri" w:hAnsi="Calibri"/>
                <w:b w:val="0"/>
                <w:sz w:val="20"/>
              </w:rPr>
              <w:t>—</w:t>
            </w:r>
          </w:p>
        </w:tc>
      </w:tr>
      <w:tr>
        <w:tc>
          <w:tcPr>
            <w:tcW w:type="dxa" w:w="2880"/>
          </w:tcPr>
          <w:p>
            <w:r>
              <w:t>Versionamento de modelos e prompts de IA</w:t>
            </w:r>
          </w:p>
        </w:tc>
        <w:tc>
          <w:tcPr>
            <w:tcW w:type="dxa" w:w="2880"/>
          </w:tcPr>
          <w:p>
            <w:r>
              <w:t>Blocker</w:t>
            </w:r>
          </w:p>
        </w:tc>
        <w:tc>
          <w:tcPr>
            <w:tcW w:type="dxa" w:w="2880"/>
          </w:tcPr>
          <w:p>
            <w:r>
              <w:t>—</w:t>
            </w:r>
          </w:p>
        </w:tc>
      </w:tr>
      <w:tr>
        <w:tc>
          <w:tcPr>
            <w:tcW w:type="dxa" w:w="2880"/>
          </w:tcPr>
          <w:p>
            <w:r>
              <w:t>Detecção de alucinação legislativa (verificação de citações)</w:t>
            </w:r>
          </w:p>
        </w:tc>
        <w:tc>
          <w:tcPr>
            <w:tcW w:type="dxa" w:w="2880"/>
          </w:tcPr>
          <w:p>
            <w:r>
              <w:t>Blocker</w:t>
            </w:r>
          </w:p>
        </w:tc>
        <w:tc>
          <w:tcPr>
            <w:tcW w:type="dxa" w:w="2880"/>
          </w:tcPr>
          <w:p>
            <w:r>
              <w:t>—</w:t>
            </w:r>
          </w:p>
        </w:tc>
      </w:tr>
      <w:tr>
        <w:tc>
          <w:tcPr>
            <w:tcW w:type="dxa" w:w="2880"/>
          </w:tcPr>
          <w:p>
            <w:r>
              <w:t>Scoring de confiança em recomendações de IA</w:t>
            </w:r>
          </w:p>
        </w:tc>
        <w:tc>
          <w:tcPr>
            <w:tcW w:type="dxa" w:w="2880"/>
          </w:tcPr>
          <w:p>
            <w:r>
              <w:t>Blocker</w:t>
            </w:r>
          </w:p>
        </w:tc>
        <w:tc>
          <w:tcPr>
            <w:tcW w:type="dxa" w:w="2880"/>
          </w:tcPr>
          <w:p>
            <w:r>
              <w:t>—</w:t>
            </w:r>
          </w:p>
        </w:tc>
      </w:tr>
      <w:tr>
        <w:tc>
          <w:tcPr>
            <w:tcW w:type="dxa" w:w="2880"/>
          </w:tcPr>
          <w:p>
            <w:r>
              <w:t>Grounding obrigatório (fundamentação legal)</w:t>
            </w:r>
          </w:p>
        </w:tc>
        <w:tc>
          <w:tcPr>
            <w:tcW w:type="dxa" w:w="2880"/>
          </w:tcPr>
          <w:p>
            <w:r>
              <w:t>Blocker</w:t>
            </w:r>
          </w:p>
        </w:tc>
        <w:tc>
          <w:tcPr>
            <w:tcW w:type="dxa" w:w="2880"/>
          </w:tcPr>
          <w:p>
            <w:r>
              <w:t>—</w:t>
            </w:r>
          </w:p>
        </w:tc>
      </w:tr>
      <w:tr>
        <w:tc>
          <w:tcPr>
            <w:tcW w:type="dxa" w:w="2880"/>
          </w:tcPr>
          <w:p>
            <w:r>
              <w:t>Política de fallback por nível de confiança</w:t>
            </w:r>
          </w:p>
        </w:tc>
        <w:tc>
          <w:tcPr>
            <w:tcW w:type="dxa" w:w="2880"/>
          </w:tcPr>
          <w:p>
            <w:r>
              <w:t>Alta</w:t>
            </w:r>
          </w:p>
        </w:tc>
        <w:tc>
          <w:tcPr>
            <w:tcW w:type="dxa" w:w="2880"/>
          </w:tcPr>
          <w:p>
            <w:r>
              <w:t>—</w:t>
            </w:r>
          </w:p>
        </w:tc>
      </w:tr>
      <w:tr>
        <w:tc>
          <w:tcPr>
            <w:tcW w:type="dxa" w:w="2880"/>
          </w:tcPr>
          <w:p>
            <w:r>
              <w:t>Definir política de Legal Hold para outputs rastreáveis</w:t>
            </w:r>
          </w:p>
        </w:tc>
        <w:tc>
          <w:tcPr>
            <w:tcW w:type="dxa" w:w="2880"/>
          </w:tcPr>
          <w:p>
            <w:r>
              <w:t>Alta</w:t>
            </w:r>
          </w:p>
        </w:tc>
        <w:tc>
          <w:tcPr>
            <w:tcW w:type="dxa" w:w="2880"/>
          </w:tcPr>
          <w:p>
            <w:r>
              <w:t>—</w:t>
            </w:r>
          </w:p>
        </w:tc>
      </w:tr>
      <w:tr>
        <w:tc>
          <w:tcPr>
            <w:tcW w:type="dxa" w:w="2880"/>
          </w:tcPr>
          <w:p>
            <w:r>
              <w:t>Implementar disclaimer padrão em todos os outputs gerados</w:t>
            </w:r>
          </w:p>
        </w:tc>
        <w:tc>
          <w:tcPr>
            <w:tcW w:type="dxa" w:w="2880"/>
          </w:tcPr>
          <w:p>
            <w:r>
              <w:t>Alta</w:t>
            </w:r>
          </w:p>
        </w:tc>
        <w:tc>
          <w:tcPr>
            <w:tcW w:type="dxa" w:w="2880"/>
          </w:tcPr>
          <w:p>
            <w:r>
              <w:t>—</w:t>
            </w:r>
          </w:p>
        </w:tc>
      </w:tr>
      <w:tr>
        <w:tc>
          <w:tcPr>
            <w:tcW w:type="dxa" w:w="2880"/>
          </w:tcPr>
          <w:p>
            <w:r>
              <w:t>Implementar controles de Modo Exploração (RBAC + SoD)</w:t>
            </w:r>
          </w:p>
        </w:tc>
        <w:tc>
          <w:tcPr>
            <w:tcW w:type="dxa" w:w="2880"/>
          </w:tcPr>
          <w:p>
            <w:r>
              <w:t>Média</w:t>
            </w:r>
          </w:p>
        </w:tc>
        <w:tc>
          <w:tcPr>
            <w:tcW w:type="dxa" w:w="2880"/>
          </w:tcPr>
          <w:p>
            <w:r>
              <w:t>—</w:t>
            </w:r>
          </w:p>
        </w:tc>
      </w:tr>
    </w:tbl>
    <w:p>
      <w:pPr>
        <w:pStyle w:val="Heading3"/>
      </w:pPr>
      <w:r>
        <w:t>SoD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Item</w:t>
            </w:r>
          </w:p>
        </w:tc>
        <w:tc>
          <w:tcPr>
            <w:tcW w:type="dxa" w:w="2880"/>
            <w:shd w:fill="1A3C6E"/>
          </w:tcPr>
          <w:p>
            <w:r>
              <w:rPr>
                <w:color w:val="FFFFFF"/>
              </w:rPr>
            </w:r>
            <w:r>
              <w:rPr>
                <w:rFonts w:ascii="Calibri" w:hAnsi="Calibri"/>
                <w:b/>
                <w:color w:val="FFFFFF"/>
                <w:sz w:val="20"/>
              </w:rPr>
              <w:t>Prioridade</w:t>
            </w:r>
          </w:p>
        </w:tc>
        <w:tc>
          <w:tcPr>
            <w:tcW w:type="dxa" w:w="2880"/>
            <w:shd w:fill="1A3C6E"/>
          </w:tcPr>
          <w:p>
            <w:r>
              <w:rPr>
                <w:color w:val="FFFFFF"/>
              </w:rPr>
            </w:r>
            <w:r>
              <w:rPr>
                <w:rFonts w:ascii="Calibri" w:hAnsi="Calibri"/>
                <w:b/>
                <w:color w:val="FFFFFF"/>
                <w:sz w:val="20"/>
              </w:rPr>
              <w:t>Status</w:t>
            </w:r>
          </w:p>
        </w:tc>
      </w:tr>
      <w:tr>
        <w:tc>
          <w:tcPr>
            <w:tcW w:type="dxa" w:w="2880"/>
            <w:shd w:fill="EDF2FA"/>
          </w:tcPr>
          <w:p>
            <w:r/>
            <w:r>
              <w:rPr>
                <w:rFonts w:ascii="Calibri" w:hAnsi="Calibri"/>
                <w:b w:val="0"/>
                <w:sz w:val="20"/>
              </w:rPr>
              <w:t>Papéis RBAC implementados (5 papéis mínimos)</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Vínculo usuário-CNPJ com convite + aprovação</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Regras SoD hard-coded no backend (4 regras)</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Matriz de permissões por passo do protocolo</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Troca de contexto CNPJ auditada</w:t>
            </w:r>
          </w:p>
        </w:tc>
        <w:tc>
          <w:tcPr>
            <w:tcW w:type="dxa" w:w="2880"/>
            <w:shd w:fill="EDF2FA"/>
          </w:tcPr>
          <w:p>
            <w:r/>
            <w:r>
              <w:rPr>
                <w:rFonts w:ascii="Calibri" w:hAnsi="Calibri"/>
                <w:b w:val="0"/>
                <w:sz w:val="20"/>
              </w:rPr>
              <w:t>Alta</w:t>
            </w:r>
          </w:p>
        </w:tc>
        <w:tc>
          <w:tcPr>
            <w:tcW w:type="dxa" w:w="2880"/>
            <w:shd w:fill="EDF2FA"/>
          </w:tcPr>
          <w:p>
            <w:r/>
            <w:r>
              <w:rPr>
                <w:rFonts w:ascii="Calibri" w:hAnsi="Calibri"/>
                <w:b w:val="0"/>
                <w:sz w:val="20"/>
              </w:rPr>
              <w:t>—</w:t>
            </w:r>
          </w:p>
        </w:tc>
      </w:tr>
      <w:tr>
        <w:tc>
          <w:tcPr>
            <w:tcW w:type="dxa" w:w="2880"/>
          </w:tcPr>
          <w:p>
            <w:r/>
            <w:r>
              <w:rPr>
                <w:rFonts w:ascii="Calibri" w:hAnsi="Calibri"/>
                <w:b w:val="0"/>
                <w:sz w:val="20"/>
              </w:rPr>
              <w:t>Hierarquia de grupo (multi-tenant)</w:t>
            </w:r>
          </w:p>
        </w:tc>
        <w:tc>
          <w:tcPr>
            <w:tcW w:type="dxa" w:w="2880"/>
          </w:tcPr>
          <w:p>
            <w:r/>
            <w:r>
              <w:rPr>
                <w:rFonts w:ascii="Calibri" w:hAnsi="Calibri"/>
                <w:b w:val="0"/>
                <w:sz w:val="20"/>
              </w:rPr>
              <w:t>Média</w:t>
            </w:r>
          </w:p>
        </w:tc>
        <w:tc>
          <w:tcPr>
            <w:tcW w:type="dxa" w:w="2880"/>
          </w:tcPr>
          <w:p>
            <w:r/>
            <w:r>
              <w:rPr>
                <w:rFonts w:ascii="Calibri" w:hAnsi="Calibri"/>
                <w:b w:val="0"/>
                <w:sz w:val="20"/>
              </w:rPr>
              <w:t>—</w:t>
            </w:r>
          </w:p>
        </w:tc>
      </w:tr>
    </w:tbl>
    <w:p>
      <w:pPr>
        <w:pStyle w:val="Heading3"/>
      </w:pPr>
      <w:r>
        <w:t>LGPD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Item</w:t>
            </w:r>
          </w:p>
        </w:tc>
        <w:tc>
          <w:tcPr>
            <w:tcW w:type="dxa" w:w="2880"/>
            <w:shd w:fill="1A3C6E"/>
          </w:tcPr>
          <w:p>
            <w:r>
              <w:rPr>
                <w:color w:val="FFFFFF"/>
              </w:rPr>
            </w:r>
            <w:r>
              <w:rPr>
                <w:rFonts w:ascii="Calibri" w:hAnsi="Calibri"/>
                <w:b/>
                <w:color w:val="FFFFFF"/>
                <w:sz w:val="20"/>
              </w:rPr>
              <w:t>Prioridade</w:t>
            </w:r>
          </w:p>
        </w:tc>
        <w:tc>
          <w:tcPr>
            <w:tcW w:type="dxa" w:w="2880"/>
            <w:shd w:fill="1A3C6E"/>
          </w:tcPr>
          <w:p>
            <w:r>
              <w:rPr>
                <w:color w:val="FFFFFF"/>
              </w:rPr>
            </w:r>
            <w:r>
              <w:rPr>
                <w:rFonts w:ascii="Calibri" w:hAnsi="Calibri"/>
                <w:b/>
                <w:color w:val="FFFFFF"/>
                <w:sz w:val="20"/>
              </w:rPr>
              <w:t>Status</w:t>
            </w:r>
          </w:p>
        </w:tc>
      </w:tr>
      <w:tr>
        <w:tc>
          <w:tcPr>
            <w:tcW w:type="dxa" w:w="2880"/>
            <w:shd w:fill="EDF2FA"/>
          </w:tcPr>
          <w:p>
            <w:r/>
            <w:r>
              <w:rPr>
                <w:rFonts w:ascii="Calibri" w:hAnsi="Calibri"/>
                <w:b w:val="0"/>
                <w:sz w:val="20"/>
              </w:rPr>
              <w:t>Classificação de dados implementada</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Bases legais documentadas por tratamento</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Endpoint de direitos dos titulares (acesso, correção, exclusão)</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DPA com subprocessadores (cloud, IA)</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RIPD elaborado e aprovado</w:t>
            </w:r>
          </w:p>
        </w:tc>
        <w:tc>
          <w:tcPr>
            <w:tcW w:type="dxa" w:w="2880"/>
            <w:shd w:fill="EDF2FA"/>
          </w:tcPr>
          <w:p>
            <w:r/>
            <w:r>
              <w:rPr>
                <w:rFonts w:ascii="Calibri" w:hAnsi="Calibri"/>
                <w:b w:val="0"/>
                <w:sz w:val="20"/>
              </w:rPr>
              <w:t>Blocker</w:t>
            </w:r>
          </w:p>
        </w:tc>
        <w:tc>
          <w:tcPr>
            <w:tcW w:type="dxa" w:w="2880"/>
            <w:shd w:fill="EDF2FA"/>
          </w:tcPr>
          <w:p>
            <w:r/>
            <w:r>
              <w:rPr>
                <w:rFonts w:ascii="Calibri" w:hAnsi="Calibri"/>
                <w:b w:val="0"/>
                <w:sz w:val="20"/>
              </w:rPr>
              <w:t>—</w:t>
            </w:r>
          </w:p>
        </w:tc>
      </w:tr>
      <w:tr>
        <w:tc>
          <w:tcPr>
            <w:tcW w:type="dxa" w:w="2880"/>
          </w:tcPr>
          <w:p>
            <w:r/>
            <w:r>
              <w:rPr>
                <w:rFonts w:ascii="Calibri" w:hAnsi="Calibri"/>
                <w:b w:val="0"/>
                <w:sz w:val="20"/>
              </w:rPr>
              <w:t>Plano de resposta a incidentes</w:t>
            </w:r>
          </w:p>
        </w:tc>
        <w:tc>
          <w:tcPr>
            <w:tcW w:type="dxa" w:w="2880"/>
          </w:tcPr>
          <w:p>
            <w:r/>
            <w:r>
              <w:rPr>
                <w:rFonts w:ascii="Calibri" w:hAnsi="Calibri"/>
                <w:b w:val="0"/>
                <w:sz w:val="20"/>
              </w:rPr>
              <w:t>Blocker</w:t>
            </w:r>
          </w:p>
        </w:tc>
        <w:tc>
          <w:tcPr>
            <w:tcW w:type="dxa" w:w="2880"/>
          </w:tcPr>
          <w:p>
            <w:r/>
            <w:r>
              <w:rPr>
                <w:rFonts w:ascii="Calibri" w:hAnsi="Calibri"/>
                <w:b w:val="0"/>
                <w:sz w:val="20"/>
              </w:rPr>
              <w:t>—</w:t>
            </w:r>
          </w:p>
        </w:tc>
      </w:tr>
      <w:tr>
        <w:tc>
          <w:tcPr>
            <w:tcW w:type="dxa" w:w="2880"/>
            <w:shd w:fill="EDF2FA"/>
          </w:tcPr>
          <w:p>
            <w:r/>
            <w:r>
              <w:rPr>
                <w:rFonts w:ascii="Calibri" w:hAnsi="Calibri"/>
                <w:b w:val="0"/>
                <w:sz w:val="20"/>
              </w:rPr>
              <w:t>Política de retenção e descarte implementada</w:t>
            </w:r>
          </w:p>
        </w:tc>
        <w:tc>
          <w:tcPr>
            <w:tcW w:type="dxa" w:w="2880"/>
            <w:shd w:fill="EDF2FA"/>
          </w:tcPr>
          <w:p>
            <w:r/>
            <w:r>
              <w:rPr>
                <w:rFonts w:ascii="Calibri" w:hAnsi="Calibri"/>
                <w:b w:val="0"/>
                <w:sz w:val="20"/>
              </w:rPr>
              <w:t>Alta</w:t>
            </w:r>
          </w:p>
        </w:tc>
        <w:tc>
          <w:tcPr>
            <w:tcW w:type="dxa" w:w="2880"/>
            <w:shd w:fill="EDF2FA"/>
          </w:tcPr>
          <w:p>
            <w:r/>
            <w:r>
              <w:rPr>
                <w:rFonts w:ascii="Calibri" w:hAnsi="Calibri"/>
                <w:b w:val="0"/>
                <w:sz w:val="20"/>
              </w:rPr>
              <w:t>—</w:t>
            </w:r>
          </w:p>
        </w:tc>
      </w:tr>
      <w:tr>
        <w:tc>
          <w:tcPr>
            <w:tcW w:type="dxa" w:w="2880"/>
          </w:tcPr>
          <w:p>
            <w:r/>
            <w:r>
              <w:rPr>
                <w:rFonts w:ascii="Calibri" w:hAnsi="Calibri"/>
                <w:b w:val="0"/>
                <w:sz w:val="20"/>
              </w:rPr>
              <w:t>Dashboard de transparência (compartilhamento)</w:t>
            </w:r>
          </w:p>
        </w:tc>
        <w:tc>
          <w:tcPr>
            <w:tcW w:type="dxa" w:w="2880"/>
          </w:tcPr>
          <w:p>
            <w:r/>
            <w:r>
              <w:rPr>
                <w:rFonts w:ascii="Calibri" w:hAnsi="Calibri"/>
                <w:b w:val="0"/>
                <w:sz w:val="20"/>
              </w:rPr>
              <w:t>Média</w:t>
            </w:r>
          </w:p>
        </w:tc>
        <w:tc>
          <w:tcPr>
            <w:tcW w:type="dxa" w:w="2880"/>
          </w:tcPr>
          <w:p>
            <w:r/>
            <w:r>
              <w:rPr>
                <w:rFonts w:ascii="Calibri" w:hAnsi="Calibri"/>
                <w:b w:val="0"/>
                <w:sz w:val="20"/>
              </w:rPr>
              <w:t>—</w:t>
            </w:r>
          </w:p>
        </w:tc>
      </w:tr>
      <w:tr>
        <w:tc>
          <w:tcPr>
            <w:tcW w:type="dxa" w:w="2880"/>
            <w:shd w:fill="EDF2FA"/>
          </w:tcPr>
          <w:p>
            <w:r/>
            <w:r>
              <w:rPr>
                <w:rFonts w:ascii="Calibri" w:hAnsi="Calibri"/>
                <w:b w:val="0"/>
                <w:sz w:val="20"/>
              </w:rPr>
              <w:t>Mecanismo de anonimização para dados expirados</w:t>
            </w:r>
          </w:p>
        </w:tc>
        <w:tc>
          <w:tcPr>
            <w:tcW w:type="dxa" w:w="2880"/>
            <w:shd w:fill="EDF2FA"/>
          </w:tcPr>
          <w:p>
            <w:r/>
            <w:r>
              <w:rPr>
                <w:rFonts w:ascii="Calibri" w:hAnsi="Calibri"/>
                <w:b w:val="0"/>
                <w:sz w:val="20"/>
              </w:rPr>
              <w:t>Média</w:t>
            </w:r>
          </w:p>
        </w:tc>
        <w:tc>
          <w:tcPr>
            <w:tcW w:type="dxa" w:w="2880"/>
            <w:shd w:fill="EDF2FA"/>
          </w:tcPr>
          <w:p>
            <w:r/>
            <w:r>
              <w:rPr>
                <w:rFonts w:ascii="Calibri" w:hAnsi="Calibri"/>
                <w:b w:val="0"/>
                <w:sz w:val="20"/>
              </w:rPr>
              <w:t>—</w:t>
            </w:r>
          </w:p>
        </w:tc>
      </w:tr>
    </w:tbl>
    <w:p>
      <w:r>
        <w:br w:type="page"/>
      </w:r>
    </w:p>
    <w:p>
      <w:pPr>
        <w:pStyle w:val="Heading1"/>
      </w:pPr>
      <w:r>
        <w:t>Log de Alterações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color w:val="FFFFFF"/>
              </w:rPr>
            </w:r>
            <w:r>
              <w:rPr>
                <w:rFonts w:ascii="Calibri" w:hAnsi="Calibri"/>
                <w:b/>
                <w:color w:val="FFFFFF"/>
                <w:sz w:val="20"/>
              </w:rPr>
              <w:t>Data</w:t>
            </w:r>
          </w:p>
        </w:tc>
        <w:tc>
          <w:tcPr>
            <w:tcW w:type="dxa" w:w="2160"/>
            <w:shd w:fill="1A3C6E"/>
          </w:tcPr>
          <w:p>
            <w:r>
              <w:rPr>
                <w:color w:val="FFFFFF"/>
              </w:rPr>
            </w:r>
            <w:r>
              <w:rPr>
                <w:rFonts w:ascii="Calibri" w:hAnsi="Calibri"/>
                <w:b/>
                <w:color w:val="FFFFFF"/>
                <w:sz w:val="20"/>
              </w:rPr>
              <w:t>Seção</w:t>
            </w:r>
          </w:p>
        </w:tc>
        <w:tc>
          <w:tcPr>
            <w:tcW w:type="dxa" w:w="2160"/>
            <w:shd w:fill="1A3C6E"/>
          </w:tcPr>
          <w:p>
            <w:r>
              <w:rPr>
                <w:color w:val="FFFFFF"/>
              </w:rPr>
            </w:r>
            <w:r>
              <w:rPr>
                <w:rFonts w:ascii="Calibri" w:hAnsi="Calibri"/>
                <w:b/>
                <w:color w:val="FFFFFF"/>
                <w:sz w:val="20"/>
              </w:rPr>
              <w:t>Alteração</w:t>
            </w:r>
          </w:p>
        </w:tc>
        <w:tc>
          <w:tcPr>
            <w:tcW w:type="dxa" w:w="2160"/>
            <w:shd w:fill="1A3C6E"/>
          </w:tcPr>
          <w:p>
            <w:r>
              <w:rPr>
                <w:color w:val="FFFFFF"/>
              </w:rPr>
            </w:r>
            <w:r>
              <w:rPr>
                <w:rFonts w:ascii="Calibri" w:hAnsi="Calibri"/>
                <w:b/>
                <w:color w:val="FFFFFF"/>
                <w:sz w:val="20"/>
              </w:rPr>
              <w:t>Autor</w:t>
            </w:r>
          </w:p>
        </w:tc>
      </w:tr>
      <w:tr>
        <w:tc>
          <w:tcPr>
            <w:tcW w:type="dxa" w:w="2160"/>
            <w:shd w:fill="EDF2FA"/>
          </w:tcPr>
          <w:p>
            <w:r/>
            <w:r>
              <w:rPr>
                <w:rFonts w:ascii="Calibri" w:hAnsi="Calibri"/>
                <w:b w:val="0"/>
                <w:sz w:val="20"/>
              </w:rPr>
              <w:t>Mar/2026</w:t>
            </w:r>
          </w:p>
        </w:tc>
        <w:tc>
          <w:tcPr>
            <w:tcW w:type="dxa" w:w="2160"/>
            <w:shd w:fill="EDF2FA"/>
          </w:tcPr>
          <w:p>
            <w:r/>
            <w:r>
              <w:rPr>
                <w:rFonts w:ascii="Calibri" w:hAnsi="Calibri"/>
                <w:b w:val="0"/>
                <w:sz w:val="20"/>
              </w:rPr>
              <w:t>Todas</w:t>
            </w:r>
          </w:p>
        </w:tc>
        <w:tc>
          <w:tcPr>
            <w:tcW w:type="dxa" w:w="2160"/>
            <w:shd w:fill="EDF2FA"/>
          </w:tcPr>
          <w:p>
            <w:r/>
            <w:r>
              <w:rPr>
                <w:rFonts w:ascii="Calibri" w:hAnsi="Calibri"/>
                <w:b w:val="0"/>
                <w:sz w:val="20"/>
              </w:rPr>
              <w:t>Criação do documento — SoD, Segurança, LGPD</w:t>
            </w:r>
          </w:p>
        </w:tc>
        <w:tc>
          <w:tcPr>
            <w:tcW w:type="dxa" w:w="2160"/>
            <w:shd w:fill="EDF2FA"/>
          </w:tcPr>
          <w:p>
            <w:r/>
            <w:r>
              <w:rPr>
                <w:rFonts w:ascii="Calibri" w:hAnsi="Calibri"/>
                <w:b w:val="0"/>
                <w:sz w:val="20"/>
              </w:rPr>
              <w:t>Equipe Orbis.tax</w:t>
            </w:r>
          </w:p>
        </w:tc>
      </w:tr>
      <w:tr>
        <w:tc>
          <w:tcPr>
            <w:tcW w:type="dxa" w:w="2160"/>
          </w:tcPr>
          <w:p>
            <w:r>
              <w:t>Mar/2026</w:t>
            </w:r>
          </w:p>
        </w:tc>
        <w:tc>
          <w:tcPr>
            <w:tcW w:type="dxa" w:w="2160"/>
          </w:tcPr>
          <w:p>
            <w:r>
              <w:t>Segurança da Camada de IA</w:t>
            </w:r>
          </w:p>
        </w:tc>
        <w:tc>
          <w:tcPr>
            <w:tcW w:type="dxa" w:w="2160"/>
          </w:tcPr>
          <w:p>
            <w:r>
              <w:t>Expansão com versionamento de modelos, detecção de alucinação legislativa, scoring de confiança, grounding obrigatório e política de fallback</w:t>
            </w:r>
          </w:p>
        </w:tc>
        <w:tc>
          <w:tcPr>
            <w:tcW w:type="dxa" w:w="2160"/>
          </w:tcPr>
          <w:p>
            <w:r>
              <w:t>Equipe Orbis.tax</w:t>
            </w:r>
          </w:p>
        </w:tc>
      </w:tr>
      <w:tr>
        <w:tc>
          <w:tcPr>
            <w:tcW w:type="dxa" w:w="2160"/>
          </w:tcPr>
          <w:p>
            <w:r>
              <w:t>Mar/2026</w:t>
            </w:r>
          </w:p>
        </w:tc>
        <w:tc>
          <w:tcPr>
            <w:tcW w:type="dxa" w:w="2160"/>
          </w:tcPr>
          <w:p>
            <w:r>
              <w:t>SoD + LGPD</w:t>
            </w:r>
          </w:p>
        </w:tc>
        <w:tc>
          <w:tcPr>
            <w:tcW w:type="dxa" w:w="2160"/>
          </w:tcPr>
          <w:p>
            <w:r>
              <w:t>Adição do perfil Analista de Processos (RBAC), regra SoD para processos, nota LGPD sobre dados de processo — preparação para Capítulo de Processos (APQC × RT)</w:t>
            </w:r>
          </w:p>
        </w:tc>
        <w:tc>
          <w:tcPr>
            <w:tcW w:type="dxa" w:w="2160"/>
          </w:tcPr>
          <w:p>
            <w:r>
              <w:t>Equipe Orbis.tax</w:t>
            </w:r>
          </w:p>
        </w:tc>
      </w:tr>
      <w:tr>
        <w:tc>
          <w:tcPr>
            <w:tcW w:type="dxa" w:w="2160"/>
          </w:tcPr>
          <w:p>
            <w:r>
              <w:t>Mar/2026</w:t>
            </w:r>
          </w:p>
        </w:tc>
        <w:tc>
          <w:tcPr>
            <w:tcW w:type="dxa" w:w="2160"/>
          </w:tcPr>
          <w:p>
            <w:r>
              <w:t>LGPD + Auditoria</w:t>
            </w:r>
          </w:p>
        </w:tc>
        <w:tc>
          <w:tcPr>
            <w:tcW w:type="dxa" w:w="2160"/>
          </w:tcPr>
          <w:p>
            <w:r>
              <w:t>Adição de classificação de dados de split payment (LGPD) e requisito de auditoria de retenções tributárias</w:t>
            </w:r>
          </w:p>
        </w:tc>
        <w:tc>
          <w:tcPr>
            <w:tcW w:type="dxa" w:w="2160"/>
          </w:tcPr>
          <w:p>
            <w:r>
              <w:t>Equipe Orbis.tax</w:t>
            </w:r>
          </w:p>
        </w:tc>
      </w:tr>
      <w:tr>
        <w:tc>
          <w:tcPr>
            <w:tcW w:type="dxa" w:w="2160"/>
          </w:tcPr>
          <w:p>
            <w:r>
              <w:t>Mar/2026</w:t>
            </w:r>
          </w:p>
        </w:tc>
        <w:tc>
          <w:tcPr>
            <w:tcW w:type="dxa" w:w="2160"/>
          </w:tcPr>
          <w:p>
            <w:r>
              <w:t>SoD + RBAC</w:t>
            </w:r>
          </w:p>
        </w:tc>
        <w:tc>
          <w:tcPr>
            <w:tcW w:type="dxa" w:w="2160"/>
          </w:tcPr>
          <w:p>
            <w:r>
              <w:t>Adição do perfil Especialista Tributário e regra SoD para Modo Exploração</w:t>
            </w:r>
          </w:p>
        </w:tc>
        <w:tc>
          <w:tcPr>
            <w:tcW w:type="dxa" w:w="2160"/>
          </w:tcPr>
          <w:p>
            <w:r>
              <w:t>Revisão Conceitual v1.0</w:t>
            </w:r>
          </w:p>
        </w:tc>
      </w:tr>
      <w:tr>
        <w:tc>
          <w:tcPr>
            <w:tcW w:type="dxa" w:w="2160"/>
          </w:tcPr>
          <w:p>
            <w:r>
              <w:t>Mar/2026</w:t>
            </w:r>
          </w:p>
        </w:tc>
        <w:tc>
          <w:tcPr>
            <w:tcW w:type="dxa" w:w="2160"/>
          </w:tcPr>
          <w:p>
            <w:r>
              <w:t>Legal Hold</w:t>
            </w:r>
          </w:p>
        </w:tc>
        <w:tc>
          <w:tcPr>
            <w:tcW w:type="dxa" w:w="2160"/>
          </w:tcPr>
          <w:p>
            <w:r>
              <w:t>Nova seção — política de preservação de registros para procedimentos fiscais/judiciais</w:t>
            </w:r>
          </w:p>
        </w:tc>
        <w:tc>
          <w:tcPr>
            <w:tcW w:type="dxa" w:w="2160"/>
          </w:tcPr>
          <w:p>
            <w:r>
              <w:t>Revisão Conceitual v1.0</w:t>
            </w:r>
          </w:p>
        </w:tc>
      </w:tr>
      <w:tr>
        <w:tc>
          <w:tcPr>
            <w:tcW w:type="dxa" w:w="2160"/>
          </w:tcPr>
          <w:p>
            <w:r>
              <w:t>Mar/2026</w:t>
            </w:r>
          </w:p>
        </w:tc>
        <w:tc>
          <w:tcPr>
            <w:tcW w:type="dxa" w:w="2160"/>
          </w:tcPr>
          <w:p>
            <w:r>
              <w:t>Disclaimer</w:t>
            </w:r>
          </w:p>
        </w:tc>
        <w:tc>
          <w:tcPr>
            <w:tcW w:type="dxa" w:w="2160"/>
          </w:tcPr>
          <w:p>
            <w:r>
              <w:t>Nova seção — disclaimer padrão obrigatório em todos os outputs</w:t>
            </w:r>
          </w:p>
        </w:tc>
        <w:tc>
          <w:tcPr>
            <w:tcW w:type="dxa" w:w="2160"/>
          </w:tcPr>
          <w:p>
            <w:r>
              <w:t>Revisão Conceitual v1.0</w:t>
            </w:r>
          </w:p>
        </w:tc>
      </w:tr>
      <w:tr>
        <w:tc>
          <w:tcPr>
            <w:tcW w:type="dxa" w:w="2160"/>
          </w:tcPr>
          <w:p>
            <w:r>
              <w:t>Mar/2026</w:t>
            </w:r>
          </w:p>
        </w:tc>
        <w:tc>
          <w:tcPr>
            <w:tcW w:type="dxa" w:w="2160"/>
          </w:tcPr>
          <w:p>
            <w:r>
              <w:t>LGPD/Retenção</w:t>
            </w:r>
          </w:p>
        </w:tc>
        <w:tc>
          <w:tcPr>
            <w:tcW w:type="dxa" w:w="2160"/>
          </w:tcPr>
          <w:p>
            <w:r>
              <w:t>Adição de política de retenção diferenciada para outputs de Modo Exploração</w:t>
            </w:r>
          </w:p>
        </w:tc>
        <w:tc>
          <w:tcPr>
            <w:tcW w:type="dxa" w:w="2160"/>
          </w:tcPr>
          <w:p>
            <w:r>
              <w:t>Revisão Conceitual v1.0</w:t>
            </w:r>
          </w:p>
        </w:tc>
      </w:tr>
      <w:tr>
        <w:tc>
          <w:tcPr>
            <w:tcW w:type="dxa" w:w="2160"/>
          </w:tcPr>
          <w:p>
            <w:r>
              <w:t>Mar/2026</w:t>
            </w:r>
          </w:p>
        </w:tc>
        <w:tc>
          <w:tcPr>
            <w:tcW w:type="dxa" w:w="2160"/>
          </w:tcPr>
          <w:p>
            <w:r>
              <w:t>Checklist MVP</w:t>
            </w:r>
          </w:p>
        </w:tc>
        <w:tc>
          <w:tcPr>
            <w:tcW w:type="dxa" w:w="2160"/>
          </w:tcPr>
          <w:p>
            <w:r>
              <w:t>Adição de 3 itens: Legal Hold, Disclaimer, controles Modo Exploração</w:t>
            </w:r>
          </w:p>
        </w:tc>
        <w:tc>
          <w:tcPr>
            <w:tcW w:type="dxa" w:w="2160"/>
          </w:tcPr>
          <w:p>
            <w:r>
              <w:t>Revisão Conceitual v1.0</w:t>
            </w:r>
          </w:p>
        </w:tc>
      </w:tr>
    </w:tbl>
    <w:p/>
    <w:p/>
    <w:p>
      <w:pPr>
        <w:jc w:val="center"/>
      </w:pPr>
      <w:r>
        <w:rPr>
          <w:rFonts w:ascii="Calibri" w:hAnsi="Calibri"/>
          <w:i/>
          <w:color w:val="888888"/>
          <w:sz w:val="20"/>
        </w:rPr>
        <w:t>Orbis.tax — Arquitetura de Segurança, SoD e LGPD</w:t>
        <w:br/>
        <w:t>Documento complementar ao Conceitual v2</w:t>
        <w:br/>
        <w:br/>
        <w:t>"Segurança não é uma feature — é a fundação sobre a qual todo o resto se constrói."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