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8619A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>bigDVarejoPMC Project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com o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A63622" w:rsidRDefault="00953137" w:rsidP="00953137">
      <w:pPr>
        <w:spacing w:after="0"/>
        <w:ind w:left="708" w:firstLine="708"/>
        <w:jc w:val="both"/>
        <w:rPr>
          <w:u w:val="single"/>
        </w:rPr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disponibilizados pelo IBGE. São dados que visam fornecer aos inúmeros interessados como evoluiu o crescimento de vendas no varejo durante os períodos passados fornecidos. No caso do Data Lake do bigDVarejo tratado</w:t>
      </w:r>
      <w:r w:rsidR="00A673A7">
        <w:t>,</w:t>
      </w:r>
      <w:r w:rsidR="009900C0">
        <w:t xml:space="preserve"> nesse projeto</w:t>
      </w:r>
      <w:r w:rsidR="00A673A7">
        <w:t>,</w:t>
      </w:r>
      <w:r w:rsidR="009900C0">
        <w:t xml:space="preserve"> tem-se o foco no desempenho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Pr="00B67350" w:rsidRDefault="00B67350" w:rsidP="00B67350">
      <w:pPr>
        <w:spacing w:after="0"/>
        <w:jc w:val="both"/>
        <w:rPr>
          <w:u w:val="single"/>
        </w:rPr>
      </w:pPr>
      <w:r>
        <w:tab/>
      </w: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 </w:t>
      </w:r>
      <w:r w:rsidR="00A553E7">
        <w:lastRenderedPageBreak/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</w:t>
      </w:r>
      <w:r>
        <w:t>agora são inseridos, gravados</w:t>
      </w:r>
      <w:r>
        <w:t xml:space="preserve"> </w:t>
      </w:r>
      <w:r>
        <w:t>em EXTERNAL TABLES no</w:t>
      </w:r>
      <w:r>
        <w:t xml:space="preserve"> </w:t>
      </w:r>
      <w:r>
        <w:t>Hive em 2 tabelas distintas agora utilizando arquivos parquet para</w:t>
      </w:r>
      <w:r>
        <w:t xml:space="preserve"> </w:t>
      </w:r>
      <w:r>
        <w:t>que possam ser acessados pelos</w:t>
      </w:r>
      <w:r>
        <w:t xml:space="preserve"> </w:t>
      </w:r>
      <w:r>
        <w:t>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bookmarkStart w:id="0" w:name="_GoBack"/>
      <w:bookmarkEnd w:id="0"/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B714FE" w:rsidRPr="008A7309" w:rsidRDefault="00B714FE" w:rsidP="00B714FE">
      <w:pPr>
        <w:spacing w:after="0"/>
        <w:ind w:left="720"/>
        <w:jc w:val="both"/>
      </w:pP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características e configurações do processamento:</w:t>
      </w:r>
    </w:p>
    <w:p w:rsidR="00F80FD2" w:rsidRPr="00F80FD2" w:rsidRDefault="008A7309" w:rsidP="00F80FD2">
      <w:pPr>
        <w:spacing w:after="0"/>
        <w:ind w:left="720" w:firstLine="696"/>
        <w:jc w:val="both"/>
        <w:rPr>
          <w:u w:val="single"/>
        </w:rPr>
      </w:pPr>
      <w:r>
        <w:t>Todo o processamento, todos os códigos das 3 camadas serão executados às</w:t>
      </w:r>
      <w:r w:rsidR="00F80FD2">
        <w:t xml:space="preserve"> quartas e</w:t>
      </w:r>
      <w:r>
        <w:t xml:space="preserve"> </w:t>
      </w:r>
      <w:r w:rsidR="00F80FD2">
        <w:t>sextas</w:t>
      </w:r>
      <w:r>
        <w:t xml:space="preserve">-feiras </w:t>
      </w:r>
      <w:r w:rsidR="00F80FD2">
        <w:t>às 20:00.</w:t>
      </w:r>
    </w:p>
    <w:p w:rsidR="008A7309" w:rsidRPr="00A673A7" w:rsidRDefault="008A7309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lastRenderedPageBreak/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9450E">
        <w:t>dremio</w:t>
      </w:r>
    </w:p>
    <w:p w:rsidR="00163C1E" w:rsidRPr="00115491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1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52CD"/>
    <w:rsid w:val="00531A72"/>
    <w:rsid w:val="0053201C"/>
    <w:rsid w:val="00532E47"/>
    <w:rsid w:val="00540D3F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363C0"/>
    <w:rsid w:val="00953137"/>
    <w:rsid w:val="009900C0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B4B"/>
    <w:rsid w:val="00C34378"/>
    <w:rsid w:val="00C96346"/>
    <w:rsid w:val="00CA1210"/>
    <w:rsid w:val="00DB3483"/>
    <w:rsid w:val="00DC5590"/>
    <w:rsid w:val="00DE2B1F"/>
    <w:rsid w:val="00E407C1"/>
    <w:rsid w:val="00EA6EF3"/>
    <w:rsid w:val="00ED0EB9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4280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B537-3328-477F-8650-2279BF19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27</cp:revision>
  <dcterms:created xsi:type="dcterms:W3CDTF">2022-07-04T18:15:00Z</dcterms:created>
  <dcterms:modified xsi:type="dcterms:W3CDTF">2022-07-06T18:55:00Z</dcterms:modified>
</cp:coreProperties>
</file>