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Medidas para solucionar barreras de accesibilidad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Medidas para solucionar barreras de accesibilidad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a. Uso de atributos inexistentes en la versión de HTML: Se debe realizar una revisión automática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utilizando herramientas como el W3C validator para verificar la sintaxis del tipo de documento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Es fundamental asegurar que el código fuente sea correcto y cumpla con la especificación declarada (como HTML5) para que los navegadores interpreten adecuadamente la estructura y funciones del sitio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b. Falta de texto equivalente para elementos no textuales: Se debe proporcionar un texto alternativo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(atributo alt) para todas las imágenes y elementos multimedia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Esto permite que los usuarios ciegos accedan al contenido mediante lectores de pantalla o líneas braille, y ayuda a cualquier usuario cuando los elementos visuales no cargan correctamente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c. Problemas de contraste y visibilidad en el menú lateral: Es necesario garantizar un contraste adecuado entre el texto y el fondo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, independientemente de si la imagen de fondo carga o no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El diseño debe validarse simulando condiciones de visualización sin color o imágenes para asegurar que la información siga siendo legible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Un texto con tamaño suficiente también facilita la lectura a personas con problemas visuales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d. Formulario maquetado con tablas: Se debe rediseñar el formulario utilizando la semántica de HTML5,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evitando el uso de tablas para la maquetación (diseño)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El estándar HTML5 ofrece nuevos controles específicos (como email, date, placeholder) que facilitan la entrada y validación de datos de forma nativa por el navegador, mejorando la experiencia del usuario sin depender de scripts complejos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e. Animación en Flash: Se recomienda sustituir la animación de Flash por elementos nativos de HTML5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.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Los estándares abiertos como HTML5 permiten que el contenido multimedia se gestione de forma más eficiente, consuma menos recursos y funcione sin necesidad de instalar componentes adicionales o propietarios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f. Video de YouTube sin subtítulos: Se deben incluir subtítulos en el video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Esta medida es esencial para que los usuarios con dificultades auditivas puedan comprender plenamente la información, cumpliendo con el principio de acceso universal independientemente de las capacidades del usuario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g. Imposibilidad de navegar con el teclado: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El diseño de la interfaz debe ser cuidadosamente estudiado para garantizar la autonomía de los usuarios que no pueden utilizar el ratón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  <w:t xml:space="preserve">. Se debe asegurar que todos los elementos interactivos sean accesibles mediante el teclado, permitiendo una navegación lógica y equitativa para personas con discapacidades motoras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Implementar estas medidas no solo ayuda a las personas con discapacidad, sino que mejora la calidad de navegación para todos los usuarios bajo diversas circunstancias externas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