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1. Clasificación de Categorías y Productos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Para la tienda, se han definido tres categorías principales basadas en la clasificación lógica de los productos solicitados: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Informática y Tecnología: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Incluye dispositivos de procesamiento y periféricos.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Productos: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Ordenadores, Monitores, Impresoras, Tablets.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Electrodomésticos: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Incluye equipos para el hogar y la cocina.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Productos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: Frigoríficos, Microondas, Tostadoras, Freidoras, Televisores.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Librería y Entretenimiento: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Agrupa material de lectura en distintos formatos.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Productos: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Libros de cocina, Novelas, Cómics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2. Mapa del Sitio Web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El mapa del sitio representa la jerarquía y relaciones entre las páginas: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Página Principal (Home):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Punto de entrada y resumen de novedades.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Sobre la Empresa: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Información corporativa y misión.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Contacto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: Formulario y datos de localización.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Blog: Clasificación cronológica de artículos.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Archivo 2012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Archivo 2013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... (Años sucesivos)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Tienda: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Nodo central de ventas dividido por categorías.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Categoría: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Informática (Ordenadores, Monitores, Impresoras, Tablets).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Categoría: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Electrodomésticos (Frigoríficos, Microondas, Tostadoras, Freidoras, Televisores).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Categoría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: Librería (Libros de cocina, Novelas, Cómics).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3. Consideraciones de Accesibilidad y Usabilidad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Al desarrollar esta estructura, es vital seguir las pautas del W3C (World Wide Web Consortium) para garantizar el acceso universal: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Estructura Semántica: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El uso de etiquetas de HTML5 como &lt;header&gt;, &lt;nav&gt;, &lt;section&gt; y &lt;footer&gt; ayuda a los navegadores y lectores de pantalla a interpretar la jerarquía del sitio de forma nativa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Texto Alternativo: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Cada producto en la tienda debe incluir el atributo alt en sus imágenes para permitir que usuarios ciegos identifiquen el contenido mediante lectores de audio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Navegación por Teclado: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El diseño debe permitir que cualquier usuario pueda navegar por el menú de categorías y el blog utilizando únicamente el teclado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Lenguaje Sencillo: </w:t>
      </w:r>
      <w:r>
        <w:rPr>
          <w:rFonts w:ascii="Arial" w:hAnsi="Arial" w:cs="Arial" w:eastAsia="Arial"/>
          <w:color w:val="1F3864"/>
          <w:spacing w:val="0"/>
          <w:position w:val="0"/>
          <w:sz w:val="32"/>
          <w:shd w:fill="auto" w:val="clear"/>
        </w:rPr>
        <w:t xml:space="preserve">Redactar las descripciones de los productos y los artículos del blog con un lenguaje claro facilita la comprensión para personas con discapacidades cognitivas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