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44"/>
          <w:szCs w:val="44"/>
        </w:rPr>
        <w:t xml:space="preserve">Infraestructura de la plataforma BCD</w:t>
      </w:r>
    </w:p>
    <w:p>
      <w:pPr>
        <w:pBdr>
          <w:bottom w:val="single" w:color="1F3A5F" w:sz="8" w:space="6"/>
        </w:pBdr>
        <w:spacing w:after="300"/>
      </w:pPr>
      <w:r>
        <w:rPr>
          <w:color w:val="52606D"/>
          <w:sz w:val="22"/>
          <w:szCs w:val="22"/>
        </w:rPr>
        <w:t xml:space="preserve">NAS, servidores, CDE, fotos georreferenciadas e IA local — enfoque escalable hacia gemelos digitales</w:t>
      </w:r>
    </w:p>
    <w:p>
      <w:pPr>
        <w:spacing w:after="140" w:line="300"/>
      </w:pPr>
      <w:r>
        <w:t xml:space="preserve">Recomiendo separar la infraestructura en capas, con una regla principal: </w:t>
      </w:r>
      <w:r>
        <w:rPr>
          <w:b/>
          <w:bCs/>
        </w:rPr>
        <w:t xml:space="preserve">el NAS solo almacena, no ejecuta todos los servicios</w:t>
      </w:r>
      <w:r>
        <w:t xml:space="preserve">. Si cargas en el NAS la identidad, las bases de datos, el CDE y las fotos, un problema de rendimiento o una actualización fallida tumba toda la plataforma a la vez. Separar almacenamiento, cómputo e IA te permite crecer cada parte por su lado.</w:t>
      </w:r>
    </w:p>
    <w:p>
      <w:pPr>
        <w:pStyle w:val="Heading1"/>
      </w:pPr>
      <w:r>
        <w:t xml:space="preserve">Arquitectura propuesta por capas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326"/>
      </w:tblGrid>
      <w:tr>
        <w:trPr>
          <w:tblHeader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aloja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 principal de 8 bahías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Modelos, planos, fotos (almacenamiento de objetos tipo S3), respaldos de bases de datos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Cómputo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Servidor con Proxmox VE (virtualización)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Identidad, PostgreSQL/PostGIS, CDE, Git, gestor de secretos, API de fotos, monitoreo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local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Estación dedicada con GPU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 abiertos para RAG, OCR, visión sobre planos, transcripción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Respaldo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QNAP actual de 2 bahías + nube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Segunda copia local y copia externa (regla 3-2-1)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 + switch 10GbE + UPS</w:t>
            </w:r>
          </w:p>
        </w:tc>
        <w:tc>
          <w:tcPr>
            <w:tcW w:type="dxa" w:w="4326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VLAN, VPN WireGuard, alimentación protegida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El NAS</w:t>
      </w:r>
    </w:p>
    <w:p>
      <w:pPr>
        <w:spacing w:after="140" w:line="300"/>
      </w:pPr>
      <w:r>
        <w:t xml:space="preserve">Como ya conoces el ecosistema QNAP, me quedaría ahí, en un equipo de 8 bahías con QuTS hero, que trabaja sobre ZFS. Encaja con lo que hablamos de seguridad: la versión h6.0, publicada en mayo de 2026, trae alta disponibilidad entre dos NAS e instantáneas inmutables. Además, ZFS repara automáticamente los datos corruptos usando la copia espejo y el sistema cumple con WORM (escribir una vez, leer muchas), lo cual sirve de base para la bitácora inalterable y luego para blockchain.</w:t>
      </w:r>
    </w:p>
    <w:p>
      <w:pPr>
        <w:spacing w:after="140" w:line="300"/>
      </w:pPr>
      <w:r>
        <w:t xml:space="preserve">Los modelos a evaluar serían el TVS-h874 o el más reciente TVS-h877AX, ambos de 8 bahías con QuTS hero. Lo que importa en cualquiera de los dos: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RAM:</w:t>
      </w:r>
      <w:r>
        <w:t xml:space="preserve"> mínimo 32 GB, idealmente 64 GB, porque ZFS usa la memoria como caché.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Ranuras M.2 NVMe</w:t>
      </w:r>
      <w:r>
        <w:t xml:space="preserve"> para caché.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10GbE nativo o por tarjeta PCIe.</w:t>
      </w:r>
      <w:r>
        <w:t xml:space="preserve"> Los modelos de Revit pesan, y 1GbE se vuelve un cuello de botella con varios usuarios.</w:t>
      </w:r>
    </w:p>
    <w:p>
      <w:pPr>
        <w:spacing w:after="140" w:line="300"/>
      </w:pPr>
      <w:r>
        <w:t xml:space="preserve">Para los discos, empezaría con 6 discos NAS de 16–20 TB en RAID 6 (dos discos de paridad), dejando 2 bahías libres. Con cinco proyectos en curso, eso deja margen para modelos y fotos, y cuando se llene se agrega una unidad de expansión.</w:t>
      </w:r>
    </w:p>
    <w:p>
      <w:pPr>
        <w:spacing w:after="140" w:line="300"/>
      </w:pPr>
      <w:r>
        <w:t xml:space="preserve">Una advertencia honesta: QNAP fue blanco de campañas de ransomware hace unos años. Eso refuerza la regla de que el NAS nunca se expone a internet; todo acceso remoto pasa por VPN.</w:t>
      </w:r>
    </w:p>
    <w:p>
      <w:pPr>
        <w:pStyle w:val="Heading1"/>
      </w:pPr>
      <w:r>
        <w:t xml:space="preserve">El correo: aquí te recomiendo no autoalojar</w:t>
      </w:r>
    </w:p>
    <w:p>
      <w:pPr>
        <w:spacing w:after="140" w:line="300"/>
      </w:pPr>
      <w:r>
        <w:t xml:space="preserve">Lo autoalojaría casi todo menos el correo. Un servidor de correo propio da problemas constantes de entregabilidad: tus correos terminan en spam en Gmail y Outlook si no mantienes al día la reputación de IP, SPF, DKIM y DMARC. Además, es la puerta de entrada número uno de ataques. Usaría Google Workspace o Microsoft 365 y los federaría con tu identidad autoalojada (Keycloak), de modo que el usuario siga siendo uno solo en toda la plataforma.</w:t>
      </w:r>
    </w:p>
    <w:p>
      <w:pPr>
        <w:pStyle w:val="Heading1"/>
      </w:pPr>
      <w:r>
        <w:t xml:space="preserve">Fotos georreferenciadas</w:t>
      </w:r>
    </w:p>
    <w:p>
      <w:pPr>
        <w:spacing w:after="140" w:line="300"/>
      </w:pPr>
      <w:r>
        <w:t xml:space="preserve">No necesitan un servidor aparte; son un servicio sobre la capa de cómputo. La APK de FieldSuite sube la foto a una API. El archivo va al almacenamiento de objetos en el NAS, y los metadatos (coordenadas, fecha, usuario, código del elemento, hash) van a PostGIS. Así cada foto queda ligada a un elemento del modelo y a un punto en el mapa, y su hash entra al registro encadenado de auditoría.</w:t>
      </w:r>
    </w:p>
    <w:p>
      <w:pPr>
        <w:pStyle w:val="Heading1"/>
      </w:pPr>
      <w:r>
        <w:t xml:space="preserve">El CDE tipo ACC/Forma</w:t>
      </w:r>
    </w:p>
    <w:p>
      <w:pPr>
        <w:spacing w:after="140" w:line="300"/>
      </w:pPr>
      <w:r>
        <w:t xml:space="preserve">Construirlo desde cero sería un proyecto enorme. Te propongo armarlo sobre componentes abiertos y desarrollar solo la capa de gobierno: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Speckle autoalojado</w:t>
      </w:r>
      <w:r>
        <w:t xml:space="preserve"> para versionar modelos. Tiene conectores para Revit, Blender e IFC, justo la vía doble que definimos.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That Open Engine</w:t>
      </w:r>
      <w:r>
        <w:t xml:space="preserve"> como visor IFC web.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Capa propia</w:t>
      </w:r>
      <w:r>
        <w:t xml:space="preserve"> para estados ISO 19650 (WIP, Compartido, Publicado, Archivo), aprobaciones, transmittals e incidencias en formato BCF.</w:t>
      </w:r>
    </w:p>
    <w:p>
      <w:pPr>
        <w:spacing w:after="140" w:line="300"/>
      </w:pPr>
      <w:r>
        <w:t xml:space="preserve">El MVP sería estados más aprobaciones más visor. Lo demás se agrega por etapas.</w:t>
      </w:r>
    </w:p>
    <w:p>
      <w:pPr>
        <w:pStyle w:val="Heading1"/>
      </w:pPr>
      <w:r>
        <w:t xml:space="preserve">El servidor de IA local</w:t>
      </w:r>
    </w:p>
    <w:p>
      <w:pPr>
        <w:spacing w:after="140" w:line="300"/>
      </w:pPr>
      <w:r>
        <w:t xml:space="preserve">Aquí la decisión es entre capacidad y velocidad: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NVIDIA DGX Spark:</w:t>
      </w:r>
      <w:r>
        <w:t xml:space="preserve"> cuesta alrededor de €4.800 en Europa, con 128 GB de memoria unificada, pero en la práctica es hardware de inferencia para un solo usuario.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Estación con RTX PRO 6000 Blackwell (96 GB):</w:t>
      </w:r>
      <w:r>
        <w:t xml:space="preserve"> ronda los €13.000 o más. A cambio, genera tokens de 6 a 7 veces más rápido que el Spark con los mismos modelos. Considera que la tarjeta consume hasta 600 W, así que necesita una UPS dimensionada.</w:t>
      </w:r>
    </w:p>
    <w:p>
      <w:pPr>
        <w:spacing w:after="140" w:line="300"/>
      </w:pPr>
      <w:r>
        <w:t xml:space="preserve">Para un equipo que usará RAG sobre documentos de cinco proyectos y visión sobre planos de forma concurrente, la RTX PRO 6000 es la opción de producción. El Spark sirve si la primera etapa es experimentación tuya.</w:t>
      </w:r>
    </w:p>
    <w:p>
      <w:pPr>
        <w:spacing w:after="140" w:line="300"/>
      </w:pPr>
      <w:r>
        <w:t xml:space="preserve">El enfoque sería híbrido. Lo local maneja documentos confidenciales, embeddings, OCR y transcripción. Claude, por API, queda para el razonamiento complejo, porque los modelos abiertos locales siguen por debajo en ese terreno.</w:t>
      </w:r>
    </w:p>
    <w:p>
      <w:pPr>
        <w:pStyle w:val="Heading1"/>
      </w:pPr>
      <w:r>
        <w:t xml:space="preserve">Orden de compra sugerido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Etapa 1:</w:t>
      </w:r>
      <w:r>
        <w:t xml:space="preserve"> NAS de 8 bahías, firewall, switch 10GbE y UPS. Tu QNAP actual pasa a ser destino de respaldo. Los servicios pueden correr temporalmente en contenedores del NAS.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Etapa 2:</w:t>
      </w:r>
      <w:r>
        <w:t xml:space="preserve"> servidor Proxmox y migración de identidad, bases de datos y CDE hacia él.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Etapa 3:</w:t>
      </w:r>
      <w:r>
        <w:t xml:space="preserve"> servidor de IA.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Etapa 4:</w:t>
      </w:r>
      <w:r>
        <w:t xml:space="preserve"> segundo NAS fuera de la oficina para replicación y alta disponibilidad.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QNAP — QuTS hero h6.0: https://www.qnap.com/en/news/2026/qnap-officially-releases-quts-hero-h6-0-official-featuring-dual-nas-high-availability-immutable-snapshots-and-more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QNAP — QuTS hero / ZFS: https://www.qnapworks.com/quts-hero.asp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QNAP — Catálogo de productos: https://www.qnap.com/en-us/product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CloudNews — Hardware para LLM local, sept. 2026: https://cloudnews.tech/what-to-buy-to-run-llms-locally-in-september-2026/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Island Mountain — DGX Spark vs RTX PRO 6000: https://islandmountain.io/blog/dgx-spark-vs-rtx-pro-6000-strix-halo.html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2606D"/>
          <w:sz w:val="18"/>
          <w:szCs w:val="18"/>
        </w:rPr>
        <w:t xml:space="preserve">The Register — RTX PRO 6000 Blackwell: https://www.theregister.com/2025/03/18/gtc_frame_nvidias_budget_blackwell/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8"/>
        <w:szCs w:val="18"/>
      </w:rPr>
      <w:t xml:space="preserve">BCD S.A.S. · Infraestructura de la plataforma · Pág. </w:t>
    </w:r>
    <w:r>
      <w:rPr>
        <w:color w:val="7B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2026-10-04T13:04:39.550Z</dcterms:created>
  <dcterms:modified xsi:type="dcterms:W3CDTF">2026-10-04T13:04:39.560Z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