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lrb0wbm67y2" w:id="0"/>
      <w:bookmarkEnd w:id="0"/>
      <w:r w:rsidDel="00000000" w:rsidR="00000000" w:rsidRPr="00000000">
        <w:rPr>
          <w:rtl w:val="0"/>
        </w:rPr>
        <w:t xml:space="preserve">Analysis of Fixed Income Investment Strategies and Instruments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q22x5ij1xyh1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Fixed income investments represent a fundamental pillar of the financial market, characterized by the lending of capital to issuers—such as banks, corporations, or the government—in exchange for interest-based remuneration. This briefing document synthesizes the core modalities of fixed income:  </w:t>
      </w:r>
      <w:r w:rsidDel="00000000" w:rsidR="00000000" w:rsidRPr="00000000">
        <w:rPr>
          <w:b w:val="1"/>
          <w:bCs w:val="1"/>
          <w:rtl w:val="0"/>
        </w:rPr>
        <w:t xml:space="preserve">prefixado</w:t>
      </w:r>
      <w:r w:rsidDel="00000000" w:rsidR="00000000" w:rsidRPr="00000000">
        <w:rPr>
          <w:rtl w:val="0"/>
        </w:rPr>
        <w:t xml:space="preserve">  (fixed-rate),  </w:t>
      </w:r>
      <w:r w:rsidDel="00000000" w:rsidR="00000000" w:rsidRPr="00000000">
        <w:rPr>
          <w:b w:val="1"/>
          <w:bCs w:val="1"/>
          <w:rtl w:val="0"/>
        </w:rPr>
        <w:t xml:space="preserve">pós-fixado</w:t>
      </w:r>
      <w:r w:rsidDel="00000000" w:rsidR="00000000" w:rsidRPr="00000000">
        <w:rPr>
          <w:rtl w:val="0"/>
        </w:rPr>
        <w:t xml:space="preserve">  (floating-rate), and  </w:t>
      </w:r>
      <w:r w:rsidDel="00000000" w:rsidR="00000000" w:rsidRPr="00000000">
        <w:rPr>
          <w:b w:val="1"/>
          <w:bCs w:val="1"/>
          <w:rtl w:val="0"/>
        </w:rPr>
        <w:t xml:space="preserve">híbrido</w:t>
      </w:r>
      <w:r w:rsidDel="00000000" w:rsidR="00000000" w:rsidRPr="00000000">
        <w:rPr>
          <w:rtl w:val="0"/>
        </w:rPr>
        <w:t xml:space="preserve">  (hybrid).Critical takeaways include: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Strategic Selection:</w:t>
      </w:r>
      <w:r w:rsidDel="00000000" w:rsidR="00000000" w:rsidRPr="00000000">
        <w:rPr>
          <w:rtl w:val="0"/>
        </w:rPr>
        <w:t xml:space="preserve">  The choice of instrument depends heavily on the economic cycle. Prefixado titles are optimal when interest rates are expected to fall, whereas pós-fixado titles offer protection and liquidity during periods of rising rates or high uncertainty.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Taxation and Liquidity:</w:t>
      </w:r>
      <w:r w:rsidDel="00000000" w:rsidR="00000000" w:rsidRPr="00000000">
        <w:rPr>
          <w:rtl w:val="0"/>
        </w:rPr>
        <w:t xml:space="preserve">  Most instruments follow a regressive Income Tax (IR) scale and are subject to IOF for withdrawals under 30 days, though specific instruments like LCI, LCA, and Savings (Poupança) offer tax exemptions for individuals.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  <w:t xml:space="preserve">  The Credit Guaranty Fund (FGC) provides a safety net of up to R$ 250,000 for specific bank-issued titles, while Public Titles (Tesouro Direto) are considered the lowest-risk assets in the domestic market.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Portfolio Construction:</w:t>
      </w:r>
      <w:r w:rsidDel="00000000" w:rsidR="00000000" w:rsidRPr="00000000">
        <w:rPr>
          <w:rtl w:val="0"/>
        </w:rPr>
        <w:t xml:space="preserve">  Effective management utilizes a "three buckets" strategy, balancing immediate liquidity needs (short-term) with inflation protection and real gains (long-term).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144xv75dwfwa" w:id="2"/>
      <w:bookmarkEnd w:id="2"/>
      <w:r w:rsidDel="00000000" w:rsidR="00000000" w:rsidRPr="00000000">
        <w:rPr>
          <w:rtl w:val="0"/>
        </w:rPr>
        <w:t xml:space="preserve">1. Fundamentals of Fixed Income Remuneration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Fixed income remuneration is categorized by how interest is calculated and when the investor gains certainty over the final return.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ecwam7ns7av4" w:id="3"/>
      <w:bookmarkEnd w:id="3"/>
      <w:r w:rsidDel="00000000" w:rsidR="00000000" w:rsidRPr="00000000">
        <w:rPr>
          <w:rtl w:val="0"/>
        </w:rPr>
        <w:t xml:space="preserve">Remuneration Modalities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Modality,Definition,Primary Use Case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Prefixado (Fixed),The interest rate is defined at the moment of application and remains unchanged until maturity.,High interest rate environments where a future decline in rates is expected.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Pós-fixado (Floating),"Remuneration follows an economic index, typically the  Selic  (basic interest rate) or  CDI  (interbank rate).","Scenarios of economic uncertainty, rising interest rates, or for emergency reserves."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Híbrido (Hybrid),"Combines a fixed interest rate with a variable index, usually the  IPCA  (inflation).",Long-term wealth preservation and protection against loss of purchasing power.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b58optn38xr6" w:id="4"/>
      <w:bookmarkEnd w:id="4"/>
      <w:r w:rsidDel="00000000" w:rsidR="00000000" w:rsidRPr="00000000">
        <w:rPr>
          <w:rtl w:val="0"/>
        </w:rPr>
        <w:t xml:space="preserve">Strategic Timing for Rate Selection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Prefixado Advantage:</w:t>
      </w:r>
      <w:r w:rsidDel="00000000" w:rsidR="00000000" w:rsidRPr="00000000">
        <w:rPr>
          <w:rtl w:val="0"/>
        </w:rPr>
        <w:t xml:space="preserve">  Locks in high returns. If market rates drop, the investor continues to earn the higher previously contracted rate.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Pós-fixado Advantage:</w:t>
      </w:r>
      <w:r w:rsidDel="00000000" w:rsidR="00000000" w:rsidRPr="00000000">
        <w:rPr>
          <w:rtl w:val="0"/>
        </w:rPr>
        <w:t xml:space="preserve">  Adjusts with the economy. If the Selic rate rises, the investment yield increases accordingly.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Hybrid Advantage:</w:t>
      </w:r>
      <w:r w:rsidDel="00000000" w:rsidR="00000000" w:rsidRPr="00000000">
        <w:rPr>
          <w:rtl w:val="0"/>
        </w:rPr>
        <w:t xml:space="preserve">  Guarantees a "real gain" (yield above inflation), ensuring capital does not lose value relative to rising prices.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g61clr7d1v11" w:id="5"/>
      <w:bookmarkEnd w:id="5"/>
      <w:r w:rsidDel="00000000" w:rsidR="00000000" w:rsidRPr="00000000">
        <w:rPr>
          <w:rtl w:val="0"/>
        </w:rPr>
        <w:t xml:space="preserve">2. Analysis of Private and Bank-Issued Instruments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ya98j5dfztjm" w:id="6"/>
      <w:bookmarkEnd w:id="6"/>
      <w:r w:rsidDel="00000000" w:rsidR="00000000" w:rsidRPr="00000000">
        <w:rPr>
          <w:rtl w:val="0"/>
        </w:rPr>
        <w:t xml:space="preserve">CDB (Certificado de Depósito Bancário)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CDBs are titles issued by banks to fund their activities.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Rendimento:</w:t>
      </w:r>
      <w:r w:rsidDel="00000000" w:rsidR="00000000" w:rsidRPr="00000000">
        <w:rPr>
          <w:rtl w:val="0"/>
        </w:rPr>
        <w:t xml:space="preserve">  Can be fixed, floating (linked to CDI), or hybrid. Longer terms generally offer higher rates.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Liquidity:</w:t>
      </w:r>
      <w:r w:rsidDel="00000000" w:rsidR="00000000" w:rsidRPr="00000000">
        <w:rPr>
          <w:rtl w:val="0"/>
        </w:rPr>
        <w:t xml:space="preserve">  Varies from daily liquidity to maturity-only withdrawal.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Taxation:</w:t>
      </w:r>
      <w:r w:rsidDel="00000000" w:rsidR="00000000" w:rsidRPr="00000000">
        <w:rPr>
          <w:rtl w:val="0"/>
        </w:rPr>
        <w:t xml:space="preserve">  Subject to both IOF and regressive IR.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7czwwb9it02a" w:id="7"/>
      <w:bookmarkEnd w:id="7"/>
      <w:r w:rsidDel="00000000" w:rsidR="00000000" w:rsidRPr="00000000">
        <w:rPr>
          <w:rtl w:val="0"/>
        </w:rPr>
        <w:t xml:space="preserve">LCI and LCA (Letras de Crédito Imobiliário / do Agronegócio)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These titles are designed to fund the real estate and agribusiness sectors, respectively.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Tax Benefit:</w:t>
      </w:r>
      <w:r w:rsidDel="00000000" w:rsidR="00000000" w:rsidRPr="00000000">
        <w:rPr>
          <w:rtl w:val="0"/>
        </w:rPr>
        <w:t xml:space="preserve">  Exempt from Income Tax (IR) and IOF for individuals (provided the 90-day legal grace period is observed).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Liquidity:</w:t>
      </w:r>
      <w:r w:rsidDel="00000000" w:rsidR="00000000" w:rsidRPr="00000000">
        <w:rPr>
          <w:rtl w:val="0"/>
        </w:rPr>
        <w:t xml:space="preserve">  Typically have a mandatory 90-day grace period, after which they may offer daily liquidity.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 Both are protected by the FGC up to R$ 250,000 per CPF per institution.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9zrnkndal208" w:id="8"/>
      <w:bookmarkEnd w:id="8"/>
      <w:r w:rsidDel="00000000" w:rsidR="00000000" w:rsidRPr="00000000">
        <w:rPr>
          <w:rtl w:val="0"/>
        </w:rPr>
        <w:t xml:space="preserve">Caderneta de Poupança (Savings Account)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most traditional and simple investment, but generally the least profitable.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Remuneration Rule: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Selic &gt; 8.5% p.a.: 0.5% per month + TR (Taxa Referencial).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Selic ≤ 8.5% p.a.: 70% of the Selic rate.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 Earnings are only credited on the "birthday" (anniversary) of the deposit; withdrawals before this date result in zero interest for that period.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hb4viiz4ryfp" w:id="9"/>
      <w:bookmarkEnd w:id="9"/>
      <w:r w:rsidDel="00000000" w:rsidR="00000000" w:rsidRPr="00000000">
        <w:rPr>
          <w:rtl w:val="0"/>
        </w:rPr>
        <w:t xml:space="preserve">3. Public Titles (Tesouro Direto)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Public titles are issued by the National Treasury to fund government projects and are considered the safest investments in the country.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pdg4el1cqx4o" w:id="10"/>
      <w:bookmarkEnd w:id="10"/>
      <w:r w:rsidDel="00000000" w:rsidR="00000000" w:rsidRPr="00000000">
        <w:rPr>
          <w:rtl w:val="0"/>
        </w:rPr>
        <w:t xml:space="preserve">Primary Title Types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Tesouro Selic (LFT):</w:t>
      </w:r>
      <w:r w:rsidDel="00000000" w:rsidR="00000000" w:rsidRPr="00000000">
        <w:rPr>
          <w:rtl w:val="0"/>
        </w:rPr>
        <w:t xml:space="preserve">  Follows the basic interest rate. Ideal for emergency reserves due to low risk and high liquidity.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Tesouro Prefixado (LTN/NTN-F):</w:t>
      </w:r>
      <w:r w:rsidDel="00000000" w:rsidR="00000000" w:rsidRPr="00000000">
        <w:rPr>
          <w:rtl w:val="0"/>
        </w:rPr>
        <w:t xml:space="preserve">  Fixed rate defined at purchase. Recommended for conservative investors seeking guaranteed returns when rates are expected to drop.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Tesouro IPCA+ (NTN-B):</w:t>
      </w:r>
      <w:r w:rsidDel="00000000" w:rsidR="00000000" w:rsidRPr="00000000">
        <w:rPr>
          <w:rtl w:val="0"/>
        </w:rPr>
        <w:t xml:space="preserve">  Protects against inflation. Recommended for long-term goals like retirement or purchasing property.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Tesouro Renda+:</w:t>
      </w:r>
      <w:r w:rsidDel="00000000" w:rsidR="00000000" w:rsidRPr="00000000">
        <w:rPr>
          <w:rtl w:val="0"/>
        </w:rPr>
        <w:t xml:space="preserve">  Specifically designed for retirement planning, allowing for the accumulation of passive income corrected by inflation.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Tesouro Educa+:</w:t>
      </w:r>
      <w:r w:rsidDel="00000000" w:rsidR="00000000" w:rsidRPr="00000000">
        <w:rPr>
          <w:rtl w:val="0"/>
        </w:rPr>
        <w:t xml:space="preserve">  Aimed at accumulating funds for educational purposes.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67kqdu4ee52u" w:id="11"/>
      <w:bookmarkEnd w:id="11"/>
      <w:r w:rsidDel="00000000" w:rsidR="00000000" w:rsidRPr="00000000">
        <w:rPr>
          <w:rtl w:val="0"/>
        </w:rPr>
        <w:t xml:space="preserve">Costs and Risks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Custody Fee:</w:t>
      </w:r>
      <w:r w:rsidDel="00000000" w:rsidR="00000000" w:rsidRPr="00000000">
        <w:rPr>
          <w:rtl w:val="0"/>
        </w:rPr>
        <w:t xml:space="preserve">  A fixed and mandatory fee of 0.20% per year charged by B3 (Bovespa) for managing the titles.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Market-to-Market (Marcação a Mercado):</w:t>
      </w:r>
      <w:r w:rsidDel="00000000" w:rsidR="00000000" w:rsidRPr="00000000">
        <w:rPr>
          <w:rtl w:val="0"/>
        </w:rPr>
        <w:t xml:space="preserve">  If a prefixado or hybrid title is sold before maturity, its price may vary based on current market rates, potentially leading to losses or gains. Holding until maturity guarantees the contracted rate.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je2iel2euo2q" w:id="12"/>
      <w:bookmarkEnd w:id="12"/>
      <w:r w:rsidDel="00000000" w:rsidR="00000000" w:rsidRPr="00000000">
        <w:rPr>
          <w:rtl w:val="0"/>
        </w:rPr>
        <w:t xml:space="preserve">4. Taxation and Regulatory Framework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Fixed income investments (except for exempt titles like LCI/LCA) follow a regressive taxation structure.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287cqp20fner" w:id="13"/>
      <w:bookmarkEnd w:id="13"/>
      <w:r w:rsidDel="00000000" w:rsidR="00000000" w:rsidRPr="00000000">
        <w:rPr>
          <w:rtl w:val="0"/>
        </w:rPr>
        <w:t xml:space="preserve">Income Tax (IRPF) - Regressive Scale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Application Period,IR Rate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Up to 180 days,22.5%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181 to 360 days,20.0%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361 to 720 days,17.5%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Above 720 days,15.0%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p5a260yemaug" w:id="14"/>
      <w:bookmarkEnd w:id="14"/>
      <w:r w:rsidDel="00000000" w:rsidR="00000000" w:rsidRPr="00000000">
        <w:rPr>
          <w:rtl w:val="0"/>
        </w:rPr>
        <w:t xml:space="preserve">Financial Operations Tax (IOF)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Applicable only if the investment is held for fewer than 30 days. The rate starts at 96% on day 1 and drops to 0% by day 30.</w:t>
      </w:r>
      <w:r w:rsidDel="00000000" w:rsidR="00000000" w:rsidRPr="00000000">
        <w:rPr>
          <w:b w:val="1"/>
          <w:bCs w:val="1"/>
          <w:rtl w:val="0"/>
        </w:rPr>
        <w:t xml:space="preserve">Sample IOF Table: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Day:</w:t>
      </w:r>
      <w:r w:rsidDel="00000000" w:rsidR="00000000" w:rsidRPr="00000000">
        <w:rPr>
          <w:rtl w:val="0"/>
        </w:rPr>
        <w:t xml:space="preserve">  96%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 Days:</w:t>
      </w:r>
      <w:r w:rsidDel="00000000" w:rsidR="00000000" w:rsidRPr="00000000">
        <w:rPr>
          <w:rtl w:val="0"/>
        </w:rPr>
        <w:t xml:space="preserve">  66%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 Days:</w:t>
      </w:r>
      <w:r w:rsidDel="00000000" w:rsidR="00000000" w:rsidRPr="00000000">
        <w:rPr>
          <w:rtl w:val="0"/>
        </w:rPr>
        <w:t xml:space="preserve">  33%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 Days:</w:t>
      </w:r>
      <w:r w:rsidDel="00000000" w:rsidR="00000000" w:rsidRPr="00000000">
        <w:rPr>
          <w:rtl w:val="0"/>
        </w:rPr>
        <w:t xml:space="preserve">  0%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or0wsfgbo3bb" w:id="15"/>
      <w:bookmarkEnd w:id="15"/>
      <w:r w:rsidDel="00000000" w:rsidR="00000000" w:rsidRPr="00000000">
        <w:rPr>
          <w:rtl w:val="0"/>
        </w:rPr>
        <w:t xml:space="preserve">5. Investment Strategy: The "Three Buckets" Model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Experts suggest organizing a portfolio based on time horizons to optimize the balance between liquidity and profitability.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ic6hzfg4j1gj" w:id="16"/>
      <w:bookmarkEnd w:id="16"/>
      <w:r w:rsidDel="00000000" w:rsidR="00000000" w:rsidRPr="00000000">
        <w:rPr>
          <w:rtl w:val="0"/>
        </w:rPr>
        <w:t xml:space="preserve">Bucket 1: Short Term (0-2 Years)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 Liquidity and emergency reserve.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Instruments:</w:t>
      </w:r>
      <w:r w:rsidDel="00000000" w:rsidR="00000000" w:rsidRPr="00000000">
        <w:rPr>
          <w:rtl w:val="0"/>
        </w:rPr>
        <w:t xml:space="preserve">  Pós-fixado titles, Tesouro Selic, daily liquidity CDBs, and Fundos DI.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 Security and immediate access.</w:t>
      </w:r>
    </w:p>
    <w:p w:rsidR="00000000" w:rsidDel="00000000" w:rsidP="00000000" w:rsidRDefault="00000000" w:rsidRPr="00000000" w14:paraId="00000043">
      <w:pPr>
        <w:pStyle w:val="Heading5"/>
        <w:rPr/>
      </w:pPr>
      <w:bookmarkStart w:colFirst="0" w:colLast="0" w:name="_l087nc8r0igz" w:id="17"/>
      <w:bookmarkEnd w:id="17"/>
      <w:r w:rsidDel="00000000" w:rsidR="00000000" w:rsidRPr="00000000">
        <w:rPr>
          <w:rtl w:val="0"/>
        </w:rPr>
        <w:t xml:space="preserve">Bucket 2: Intermediate Term (2-5 Years)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 Specific goals (e.g., travel, car purchase).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Instruments:</w:t>
      </w:r>
      <w:r w:rsidDel="00000000" w:rsidR="00000000" w:rsidRPr="00000000">
        <w:rPr>
          <w:rtl w:val="0"/>
        </w:rPr>
        <w:t xml:space="preserve">  Mix of pós-fixado and prefixado, and intermediate-term IPCA+ titles.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 Matching maturities with specific dates of need.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rdyj8m5hf9q1" w:id="18"/>
      <w:bookmarkEnd w:id="18"/>
      <w:r w:rsidDel="00000000" w:rsidR="00000000" w:rsidRPr="00000000">
        <w:rPr>
          <w:rtl w:val="0"/>
        </w:rPr>
        <w:t xml:space="preserve">Bucket 3: Long Term (5+ Years)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 Wealth preservation and retirement.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Instruments:</w:t>
      </w:r>
      <w:r w:rsidDel="00000000" w:rsidR="00000000" w:rsidRPr="00000000">
        <w:rPr>
          <w:rtl w:val="0"/>
        </w:rPr>
        <w:t xml:space="preserve">  Long-term IPCA+ titles and prefixado titles (during falling rate cycles).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 Real gains and protection against inflation.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tgif2tj4aezg" w:id="19"/>
      <w:bookmarkEnd w:id="19"/>
      <w:r w:rsidDel="00000000" w:rsidR="00000000" w:rsidRPr="00000000">
        <w:rPr>
          <w:rtl w:val="0"/>
        </w:rPr>
        <w:t xml:space="preserve">6. Performance Indicators and Evaluation</w:t>
      </w:r>
    </w:p>
    <w:p w:rsidR="00000000" w:rsidDel="00000000" w:rsidP="00000000" w:rsidRDefault="00000000" w:rsidRPr="00000000" w14:paraId="0000004C">
      <w:pPr>
        <w:pStyle w:val="Heading5"/>
        <w:rPr/>
      </w:pPr>
      <w:bookmarkStart w:colFirst="0" w:colLast="0" w:name="_npc5hdoga8a9" w:id="20"/>
      <w:bookmarkEnd w:id="20"/>
      <w:r w:rsidDel="00000000" w:rsidR="00000000" w:rsidRPr="00000000">
        <w:rPr>
          <w:rtl w:val="0"/>
        </w:rPr>
        <w:t xml:space="preserve">Liquidity Indicators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 evaluate the financial health of the institutions issuing titles (like CDBs or LCIs), investors can monitor liquidity ratios: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Current Liquidity (Liquidez Corrente):</w:t>
      </w:r>
      <w:r w:rsidDel="00000000" w:rsidR="00000000" w:rsidRPr="00000000">
        <w:rPr>
          <w:rtl w:val="0"/>
        </w:rPr>
        <w:t xml:space="preserve">  Calculated as Current Assets / Current Liabilities. A result above 1.0 indicates the company has enough resources to cover short-term obligations.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o6phopps4375" w:id="21"/>
      <w:bookmarkEnd w:id="21"/>
      <w:r w:rsidDel="00000000" w:rsidR="00000000" w:rsidRPr="00000000">
        <w:rPr>
          <w:rtl w:val="0"/>
        </w:rPr>
        <w:t xml:space="preserve">Comparative Return Simulation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 a scenario with CDI at approximately 10.7% and IPCA around 4.3%, a R$ 5,000 investment yields the following estimated gross returns over time:| Term | At 9.0% p.a. | At 11.5% p.a. || ------ | ------ | ------ || </w:t>
      </w:r>
      <w:r w:rsidDel="00000000" w:rsidR="00000000" w:rsidRPr="00000000">
        <w:rPr>
          <w:b w:val="1"/>
          <w:bCs w:val="1"/>
          <w:rtl w:val="0"/>
        </w:rPr>
        <w:t xml:space="preserve">1 Year</w:t>
      </w:r>
      <w:r w:rsidDel="00000000" w:rsidR="00000000" w:rsidRPr="00000000">
        <w:rPr>
          <w:rtl w:val="0"/>
        </w:rPr>
        <w:t xml:space="preserve"> | R$ 5,450.00 | R$ 5,575.00 || </w:t>
      </w:r>
      <w:r w:rsidDel="00000000" w:rsidR="00000000" w:rsidRPr="00000000">
        <w:rPr>
          <w:b w:val="1"/>
          <w:bCs w:val="1"/>
          <w:rtl w:val="0"/>
        </w:rPr>
        <w:t xml:space="preserve">5 Years</w:t>
      </w:r>
      <w:r w:rsidDel="00000000" w:rsidR="00000000" w:rsidRPr="00000000">
        <w:rPr>
          <w:rtl w:val="0"/>
        </w:rPr>
        <w:t xml:space="preserve"> | R$ 7,693.12 | R$ 8,616.77 || </w:t>
      </w:r>
      <w:r w:rsidDel="00000000" w:rsidR="00000000" w:rsidRPr="00000000">
        <w:rPr>
          <w:b w:val="1"/>
          <w:bCs w:val="1"/>
          <w:rtl w:val="0"/>
        </w:rPr>
        <w:t xml:space="preserve">10 Years</w:t>
      </w:r>
      <w:r w:rsidDel="00000000" w:rsidR="00000000" w:rsidRPr="00000000">
        <w:rPr>
          <w:rtl w:val="0"/>
        </w:rPr>
        <w:t xml:space="preserve"> | R$ 11,836.82 | R$ 14,849.73 |</w:t>
      </w:r>
    </w:p>
    <w:p w:rsidR="00000000" w:rsidDel="00000000" w:rsidP="00000000" w:rsidRDefault="00000000" w:rsidRPr="00000000" w14:paraId="00000051">
      <w:pPr>
        <w:pStyle w:val="Heading5"/>
        <w:rPr/>
      </w:pPr>
      <w:bookmarkStart w:colFirst="0" w:colLast="0" w:name="_4v7i752ume1n" w:id="22"/>
      <w:bookmarkEnd w:id="22"/>
      <w:r w:rsidDel="00000000" w:rsidR="00000000" w:rsidRPr="00000000">
        <w:rPr>
          <w:rtl w:val="0"/>
        </w:rPr>
        <w:t xml:space="preserve">Common Investment Pitfalls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Confusing Contracted Rate with Intermediate Return:</w:t>
      </w:r>
      <w:r w:rsidDel="00000000" w:rsidR="00000000" w:rsidRPr="00000000">
        <w:rPr>
          <w:rtl w:val="0"/>
        </w:rPr>
        <w:t xml:space="preserve">  Ignoring market-to-market fluctuations when selling before maturity.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Mismatched Maturities:</w:t>
      </w:r>
      <w:r w:rsidDel="00000000" w:rsidR="00000000" w:rsidRPr="00000000">
        <w:rPr>
          <w:rtl w:val="0"/>
        </w:rPr>
        <w:t xml:space="preserve">  Locking emergency funds in long-term titles (e.g., IPCA+ 2045) without a liquidity cushion.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Single-Index Dependency:</w:t>
      </w:r>
      <w:r w:rsidDel="00000000" w:rsidR="00000000" w:rsidRPr="00000000">
        <w:rPr>
          <w:rtl w:val="0"/>
        </w:rPr>
        <w:t xml:space="preserve">  Focusing exclusively on one index (only CDI or only IPCA), which increases vulnerability to specific economic shifts.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Ignoring Credit Quality:</w:t>
      </w:r>
      <w:r w:rsidDel="00000000" w:rsidR="00000000" w:rsidRPr="00000000">
        <w:rPr>
          <w:rtl w:val="0"/>
        </w:rPr>
        <w:t xml:space="preserve">  Pursuing high rates from issuers with poor financial health (low liquidity ratios).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