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Comentarios iniciales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1. Reescribir la tabla de forma tal que sea útil para el algoritmo apriori, teniendo en cuenta los renglones, se puede usar la columna venta para hacerlo.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2. Prod_ID, cuidado con el formato de la columna.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3. ¿hay ruido en el product ID?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4. Propuestas: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Hacer las reglas sobre el ID del producto. (No lo veo tan conveniente)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Concatenar DescGen, DescAdic y Marca para hacer las reglas, creo que al no saber del negocio es lo más conveniente para determinar las reglas que son “interesantes”.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5. No veo negativos en el precio (Ya se por qué)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6. Los de precio 0 son solamente de las marcas KUNNAN, NATWAY, PENN y WATERDOG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7. Siguiendo la pregunta de Nicolás sobre el ID de las ventas: Falta del 6061 al 7300, del 8112</w:t>
        <w:tab/>
        <w:t xml:space="preserve">al 10160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8. Tampoco veo negativos para la columna renglón (Ya se por qué)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9. Cuando UM2 es negativo, UM1 también, ¿qué significa esto? Podría ser parte del ruido o como dice Nicolás podría ser parte de ventas canceladas.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10. Hay que categorizar los precios.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