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51" w:rsidRDefault="00EC6578">
      <w:r w:rsidRPr="00EC6578">
        <w:t xml:space="preserve">La cultura normativa del </w:t>
      </w:r>
      <w:proofErr w:type="spellStart"/>
      <w:r w:rsidRPr="00EC6578">
        <w:rPr>
          <w:i/>
        </w:rPr>
        <w:t>ius</w:t>
      </w:r>
      <w:proofErr w:type="spellEnd"/>
      <w:r w:rsidRPr="00EC6578">
        <w:rPr>
          <w:i/>
        </w:rPr>
        <w:t xml:space="preserve"> </w:t>
      </w:r>
      <w:proofErr w:type="spellStart"/>
      <w:r w:rsidRPr="00EC6578">
        <w:rPr>
          <w:i/>
        </w:rPr>
        <w:t>commune</w:t>
      </w:r>
      <w:proofErr w:type="spellEnd"/>
      <w:r w:rsidRPr="00EC6578">
        <w:t xml:space="preserve"> indicaba que dios era la fuente de toda </w:t>
      </w:r>
      <w:proofErr w:type="spellStart"/>
      <w:r>
        <w:rPr>
          <w:i/>
        </w:rPr>
        <w:t>iurisdictio</w:t>
      </w:r>
      <w:proofErr w:type="spellEnd"/>
      <w:r>
        <w:t xml:space="preserve">, por la cual se había otorgado </w:t>
      </w:r>
      <w:proofErr w:type="spellStart"/>
      <w:r>
        <w:rPr>
          <w:i/>
        </w:rPr>
        <w:t>auctoritas</w:t>
      </w:r>
      <w:proofErr w:type="spellEnd"/>
      <w:r>
        <w:t xml:space="preserve"> a los pontífices y príncipes para juzgar y gobernar. En el caso del monarca se denominaba majestad, sinónimo de </w:t>
      </w:r>
      <w:proofErr w:type="spellStart"/>
      <w:r>
        <w:rPr>
          <w:i/>
        </w:rPr>
        <w:t>potestas</w:t>
      </w:r>
      <w:proofErr w:type="spellEnd"/>
      <w:r>
        <w:t>, con la cual se le habilitaba para hacer uso del castigo para ser temido</w:t>
      </w:r>
      <w:r w:rsidR="0009453C">
        <w:t xml:space="preserve"> por los malvados</w:t>
      </w:r>
      <w:r>
        <w:t xml:space="preserve"> y de la misericordia para ser amado</w:t>
      </w:r>
      <w:r w:rsidR="0009453C">
        <w:t xml:space="preserve"> por los súbditos</w:t>
      </w:r>
      <w:r>
        <w:t>.</w:t>
      </w:r>
      <w:r w:rsidR="0009453C">
        <w:rPr>
          <w:rStyle w:val="Refdenotaalpie"/>
        </w:rPr>
        <w:footnoteReference w:id="1"/>
      </w:r>
      <w:r w:rsidR="0009453C">
        <w:t xml:space="preserve"> </w:t>
      </w:r>
      <w:r>
        <w:t xml:space="preserve"> </w:t>
      </w:r>
      <w:r w:rsidR="00EB4BE4">
        <w:t xml:space="preserve">En este sentido, el conceder indultos era “una de las </w:t>
      </w:r>
      <w:proofErr w:type="spellStart"/>
      <w:r w:rsidR="00EB4BE4">
        <w:t>mas</w:t>
      </w:r>
      <w:proofErr w:type="spellEnd"/>
      <w:r w:rsidR="00EB4BE4">
        <w:t xml:space="preserve"> preciosas Regalías que adornan la corona de los Soberanos,” ya que </w:t>
      </w:r>
      <w:r w:rsidR="00EB4BE4">
        <w:t>era el temor a la espada lo que hacía agradecer la clemencia, cuando el rey o sus delegados pudiendo castigar justificadamente no lo hacía estaban demo</w:t>
      </w:r>
      <w:r w:rsidR="00EB4BE4">
        <w:t>strando la grandeza del poder del rey.</w:t>
      </w:r>
      <w:r w:rsidR="00EB4BE4">
        <w:rPr>
          <w:rStyle w:val="Refdenotaalpie"/>
        </w:rPr>
        <w:footnoteReference w:id="2"/>
      </w:r>
      <w:r w:rsidR="00642758">
        <w:t xml:space="preserve"> Es por lo tanto pertinente considerar que la clemencia formaba parte de la misma entidad real y que de otra manera, un rey carente de misericordia, ya no se consideraba como un gobierno justo sino tiránico. La consideración de la </w:t>
      </w:r>
      <w:r w:rsidR="00587E51">
        <w:t xml:space="preserve">historiografía </w:t>
      </w:r>
      <w:proofErr w:type="spellStart"/>
      <w:r w:rsidR="00587E51">
        <w:t>hispanoamericanista</w:t>
      </w:r>
      <w:proofErr w:type="spellEnd"/>
      <w:r w:rsidR="00587E51">
        <w:t>, hasta hace relativamente pocas décadas, denominaba al dominio castellano en América como una tiranía, incluso tildó de “despótica” la etapa reformista de Carlos III y Carlos IV. ¿Se trataba entonces de gobiernos inclementes? ¿Estaban tan ceñidos por el interés peninsular del fortalecimiento de la monarquía que olvidaron la misericordia debida con las provincias americanas? El propósito de este apartado consiste tan solo en preparar la posible resolución de tales cuestionamientos</w:t>
      </w:r>
      <w:r w:rsidR="00D06DAB">
        <w:t xml:space="preserve"> desde la identificación de la vinculación semántica entre clemencia, poder y autoridad regia en la cultura normativa aún vigente </w:t>
      </w:r>
      <w:r w:rsidR="00674651">
        <w:t>durante</w:t>
      </w:r>
      <w:r w:rsidR="00D06DAB">
        <w:t xml:space="preserve"> el siglo XVIII.</w:t>
      </w:r>
    </w:p>
    <w:p w:rsidR="00642758" w:rsidRDefault="00642758">
      <w:r>
        <w:t xml:space="preserve">Los latinajos utilizados </w:t>
      </w:r>
      <w:r w:rsidR="00A261FE">
        <w:t>al inicio</w:t>
      </w:r>
      <w:r>
        <w:t xml:space="preserve"> </w:t>
      </w:r>
      <w:r w:rsidR="00A261FE">
        <w:t>d</w:t>
      </w:r>
      <w:r>
        <w:t>el párrafo anterior no tiene</w:t>
      </w:r>
      <w:r w:rsidR="00587E51">
        <w:t xml:space="preserve">n una intencionalidad de mera </w:t>
      </w:r>
      <w:r>
        <w:t>retórica, pretenden llamar la atención acerca del origen medieval (</w:t>
      </w:r>
      <w:proofErr w:type="spellStart"/>
      <w:r>
        <w:rPr>
          <w:i/>
        </w:rPr>
        <w:t>ius</w:t>
      </w:r>
      <w:proofErr w:type="spellEnd"/>
      <w:r>
        <w:rPr>
          <w:i/>
        </w:rPr>
        <w:t xml:space="preserve"> </w:t>
      </w:r>
      <w:proofErr w:type="spellStart"/>
      <w:r>
        <w:rPr>
          <w:i/>
        </w:rPr>
        <w:t>commune</w:t>
      </w:r>
      <w:proofErr w:type="spellEnd"/>
      <w:r>
        <w:t>) de la diferenciación entre autoridad y potestad</w:t>
      </w:r>
      <w:r w:rsidR="002D49F0">
        <w:t>, componentes del poder político (</w:t>
      </w:r>
      <w:proofErr w:type="spellStart"/>
      <w:r w:rsidR="002D49F0">
        <w:rPr>
          <w:i/>
        </w:rPr>
        <w:t>iurisdiction</w:t>
      </w:r>
      <w:proofErr w:type="spellEnd"/>
      <w:r w:rsidR="002D49F0">
        <w:t>)</w:t>
      </w:r>
      <w:r>
        <w:t>.</w:t>
      </w:r>
      <w:r>
        <w:rPr>
          <w:rStyle w:val="Refdenotaalpie"/>
        </w:rPr>
        <w:footnoteReference w:id="3"/>
      </w:r>
      <w:r>
        <w:t xml:space="preserve"> </w:t>
      </w:r>
      <w:r w:rsidR="005636B2">
        <w:t xml:space="preserve">El </w:t>
      </w:r>
      <w:r>
        <w:t>traer a colación una dicotomía de la Edad Media a una investigación del siglo XVIII americano</w:t>
      </w:r>
      <w:r w:rsidR="005636B2">
        <w:t xml:space="preserve"> se sustenta </w:t>
      </w:r>
      <w:r w:rsidR="005636B2">
        <w:lastRenderedPageBreak/>
        <w:t>en que, a</w:t>
      </w:r>
      <w:r>
        <w:t xml:space="preserve">unque el mundo hispánico dieciochesco, en particular desde el reinado de Carlos III, se caracterizó como un periodo de </w:t>
      </w:r>
      <w:r w:rsidR="005636B2">
        <w:t>trasformación</w:t>
      </w:r>
      <w:r>
        <w:t xml:space="preserve"> administrativa, la discusión ideológica</w:t>
      </w:r>
      <w:r w:rsidR="005636B2">
        <w:t xml:space="preserve"> de los ilustrado,</w:t>
      </w:r>
      <w:r>
        <w:t xml:space="preserve"> que se ha considerado aneja al reformismo</w:t>
      </w:r>
      <w:r w:rsidR="005636B2">
        <w:t>,</w:t>
      </w:r>
      <w:r>
        <w:t xml:space="preserve"> no planteó cambios radicales al régimen jurídico tradicional y pluralista de la monarquía. </w:t>
      </w:r>
      <w:r w:rsidR="005636B2">
        <w:t>Las</w:t>
      </w:r>
      <w:r>
        <w:t xml:space="preserve"> modificaciones </w:t>
      </w:r>
      <w:r w:rsidR="005636B2">
        <w:t xml:space="preserve">planteadas </w:t>
      </w:r>
      <w:r>
        <w:t>al orden jurídico-político tradicional se llevaron avante cautelosamente, sin cuestionar el origen divino de la “constitución histórica” de la monarquía</w:t>
      </w:r>
      <w:r w:rsidR="005636B2">
        <w:t>, ni su sustento en una sociedad estamental, así como se concibió un “derecho patrio” que pretendía ratificar la tradición antes que propender por la innovación</w:t>
      </w:r>
      <w:r>
        <w:t>. Al respecto, Pedro Ruíz Torres ha señalado que los ilustrados reformistas pretendieron reforzar el poder soberano del monarca controlando el ejercicio de las facultades delegadas en las autoridades regias, una dinámica que Carlos Garriga ha denominado como la “</w:t>
      </w:r>
      <w:proofErr w:type="spellStart"/>
      <w:r>
        <w:t>administrativización</w:t>
      </w:r>
      <w:proofErr w:type="spellEnd"/>
      <w:r>
        <w:t xml:space="preserve"> de la monarquía;”</w:t>
      </w:r>
      <w:r>
        <w:rPr>
          <w:rStyle w:val="Refdenotaalpie"/>
        </w:rPr>
        <w:footnoteReference w:id="4"/>
      </w:r>
      <w:r>
        <w:t xml:space="preserve"> sin embargo, tal pretensión tuvo menos impacto en España que en otras naciones europeas</w:t>
      </w:r>
      <w:r w:rsidR="00DF2BAF">
        <w:t>.</w:t>
      </w:r>
      <w:r>
        <w:t xml:space="preserve"> </w:t>
      </w:r>
      <w:r w:rsidR="00DF2BAF">
        <w:t>S</w:t>
      </w:r>
      <w:r>
        <w:t>egún</w:t>
      </w:r>
      <w:r w:rsidR="0042617C">
        <w:t xml:space="preserve"> Ruíz Torres: “A</w:t>
      </w:r>
      <w:r>
        <w:t>quí la impronta jurisdiccional continuó siendo muy manifiesta […] De ahí el corto avance en el sentido de una monarquía administrativa y centralizada y la fuerte impronta jurisdiccional que siguió manifestándose en la Constitución de 1812.”</w:t>
      </w:r>
      <w:r>
        <w:rPr>
          <w:rStyle w:val="Refdenotaalpie"/>
        </w:rPr>
        <w:footnoteReference w:id="5"/>
      </w:r>
    </w:p>
    <w:p w:rsidR="00DF2BAF" w:rsidRPr="00474F59" w:rsidRDefault="006F51CC">
      <w:r>
        <w:t xml:space="preserve">Teniendo en cuenta el limitado efecto de la </w:t>
      </w:r>
      <w:r w:rsidR="00377404">
        <w:t xml:space="preserve">cultura ilustrada en el ordenamiento jurídico-político de la monarquía, por lo menos antes de la crisis de 1808, es posible concebir que durante el siglo XVIII se mantuvo vigente la concepción de la </w:t>
      </w:r>
      <w:proofErr w:type="spellStart"/>
      <w:r w:rsidR="00377404">
        <w:rPr>
          <w:i/>
        </w:rPr>
        <w:t>iurisdictio</w:t>
      </w:r>
      <w:proofErr w:type="spellEnd"/>
      <w:r w:rsidR="00377404">
        <w:t xml:space="preserve"> como la suma potestad que por derecho divino se otorgó a los soberanos para decir derecho (</w:t>
      </w:r>
      <w:proofErr w:type="spellStart"/>
      <w:r w:rsidR="00377404">
        <w:rPr>
          <w:i/>
        </w:rPr>
        <w:t>ius</w:t>
      </w:r>
      <w:proofErr w:type="spellEnd"/>
      <w:r w:rsidR="00377404">
        <w:rPr>
          <w:i/>
        </w:rPr>
        <w:t xml:space="preserve"> </w:t>
      </w:r>
      <w:proofErr w:type="spellStart"/>
      <w:r w:rsidR="00377404">
        <w:rPr>
          <w:i/>
        </w:rPr>
        <w:t>dicere</w:t>
      </w:r>
      <w:proofErr w:type="spellEnd"/>
      <w:r w:rsidR="00377404">
        <w:t>) y establecer la equidad (</w:t>
      </w:r>
      <w:proofErr w:type="spellStart"/>
      <w:r w:rsidR="00377404">
        <w:rPr>
          <w:i/>
        </w:rPr>
        <w:t>aequitatem</w:t>
      </w:r>
      <w:proofErr w:type="spellEnd"/>
      <w:r w:rsidR="00377404">
        <w:rPr>
          <w:i/>
        </w:rPr>
        <w:t xml:space="preserve"> </w:t>
      </w:r>
      <w:proofErr w:type="spellStart"/>
      <w:r w:rsidR="00377404">
        <w:rPr>
          <w:i/>
        </w:rPr>
        <w:t>statuere</w:t>
      </w:r>
      <w:proofErr w:type="spellEnd"/>
      <w:r w:rsidR="003F7E85">
        <w:t>), es decir, para juzgar y dictar normas</w:t>
      </w:r>
      <w:r w:rsidR="00E73E05">
        <w:t xml:space="preserve"> comunes</w:t>
      </w:r>
      <w:r w:rsidR="003F7E85">
        <w:t>.</w:t>
      </w:r>
      <w:r w:rsidR="00377404">
        <w:rPr>
          <w:rStyle w:val="Refdenotaalpie"/>
        </w:rPr>
        <w:footnoteReference w:id="6"/>
      </w:r>
      <w:r w:rsidR="003F7E85">
        <w:t xml:space="preserve"> </w:t>
      </w:r>
      <w:bookmarkStart w:id="0" w:name="_GoBack"/>
      <w:bookmarkEnd w:id="0"/>
    </w:p>
    <w:sectPr w:rsidR="00DF2BAF" w:rsidRPr="00474F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8B6" w:rsidRDefault="00A628B6" w:rsidP="0009453C">
      <w:pPr>
        <w:spacing w:line="240" w:lineRule="auto"/>
      </w:pPr>
      <w:r>
        <w:separator/>
      </w:r>
    </w:p>
  </w:endnote>
  <w:endnote w:type="continuationSeparator" w:id="0">
    <w:p w:rsidR="00A628B6" w:rsidRDefault="00A628B6" w:rsidP="00094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8B6" w:rsidRDefault="00A628B6" w:rsidP="0009453C">
      <w:pPr>
        <w:spacing w:line="240" w:lineRule="auto"/>
      </w:pPr>
      <w:r>
        <w:separator/>
      </w:r>
    </w:p>
  </w:footnote>
  <w:footnote w:type="continuationSeparator" w:id="0">
    <w:p w:rsidR="00A628B6" w:rsidRDefault="00A628B6" w:rsidP="0009453C">
      <w:pPr>
        <w:spacing w:line="240" w:lineRule="auto"/>
      </w:pPr>
      <w:r>
        <w:continuationSeparator/>
      </w:r>
    </w:p>
  </w:footnote>
  <w:footnote w:id="1">
    <w:p w:rsidR="0009453C" w:rsidRPr="0009453C" w:rsidRDefault="0009453C">
      <w:pPr>
        <w:pStyle w:val="Textonotapie"/>
      </w:pPr>
      <w:r>
        <w:rPr>
          <w:rStyle w:val="Refdenotaalpie"/>
        </w:rPr>
        <w:footnoteRef/>
      </w:r>
      <w:r>
        <w:t xml:space="preserve"> Juan López de Cuéllar, </w:t>
      </w:r>
      <w:r>
        <w:rPr>
          <w:i/>
        </w:rPr>
        <w:t xml:space="preserve">Tratado </w:t>
      </w:r>
      <w:proofErr w:type="spellStart"/>
      <w:r>
        <w:rPr>
          <w:i/>
        </w:rPr>
        <w:t>iuridico-politico</w:t>
      </w:r>
      <w:proofErr w:type="spellEnd"/>
      <w:r>
        <w:rPr>
          <w:i/>
        </w:rPr>
        <w:t>: practica de indultos</w:t>
      </w:r>
      <w:r>
        <w:t xml:space="preserve"> (Pamplona: Martín Gregorio de Zabala, 1690), núm. 1-9. </w:t>
      </w:r>
    </w:p>
  </w:footnote>
  <w:footnote w:id="2">
    <w:p w:rsidR="00EB4BE4" w:rsidRDefault="00EB4BE4">
      <w:pPr>
        <w:pStyle w:val="Textonotapie"/>
      </w:pPr>
      <w:r>
        <w:rPr>
          <w:rStyle w:val="Refdenotaalpie"/>
        </w:rPr>
        <w:footnoteRef/>
      </w:r>
      <w:r>
        <w:t xml:space="preserve"> López de Cuéllar, núm. 14.</w:t>
      </w:r>
    </w:p>
  </w:footnote>
  <w:footnote w:id="3">
    <w:p w:rsidR="00642758" w:rsidRDefault="00642758" w:rsidP="00642758">
      <w:pPr>
        <w:pStyle w:val="Textonotapie"/>
      </w:pPr>
      <w:r>
        <w:rPr>
          <w:rStyle w:val="Refdenotaalpie"/>
        </w:rPr>
        <w:footnoteRef/>
      </w:r>
      <w:r>
        <w:t xml:space="preserve"> </w:t>
      </w:r>
      <w:r>
        <w:fldChar w:fldCharType="begin"/>
      </w:r>
      <w:r>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39.","noteIndex":22},"citationItems":[{"id":3390,"uris":["http://zotero.org/users/163570/items/C54QSDGR"],"uri":["http://zotero.org/users/163570/items/C54QSDGR"],"itemData":{"id":3390,"type":"book","title":"Una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Pr="007C7C94">
        <w:rPr>
          <w:rFonts w:cs="Times New Roman"/>
          <w:szCs w:val="24"/>
        </w:rPr>
        <w:t xml:space="preserve">Paolo Prodi, </w:t>
      </w:r>
      <w:r w:rsidRPr="007C7C94">
        <w:rPr>
          <w:rFonts w:cs="Times New Roman"/>
          <w:i/>
          <w:iCs/>
          <w:szCs w:val="24"/>
        </w:rPr>
        <w:t>Una historia de la justicia: de la pluralidad de fueros al dualismo moderno entre conciencia y derecho</w:t>
      </w:r>
      <w:r w:rsidRPr="007C7C94">
        <w:rPr>
          <w:rFonts w:cs="Times New Roman"/>
          <w:szCs w:val="24"/>
        </w:rPr>
        <w:t xml:space="preserve">, trad. Luciano Padilla López (Madrid: </w:t>
      </w:r>
      <w:proofErr w:type="spellStart"/>
      <w:r w:rsidRPr="007C7C94">
        <w:rPr>
          <w:rFonts w:cs="Times New Roman"/>
          <w:szCs w:val="24"/>
        </w:rPr>
        <w:t>Katz</w:t>
      </w:r>
      <w:proofErr w:type="spellEnd"/>
      <w:r w:rsidRPr="007C7C94">
        <w:rPr>
          <w:rFonts w:cs="Times New Roman"/>
          <w:szCs w:val="24"/>
        </w:rPr>
        <w:t xml:space="preserve"> Editores, 2008), 39.</w:t>
      </w:r>
      <w:r>
        <w:fldChar w:fldCharType="end"/>
      </w:r>
    </w:p>
  </w:footnote>
  <w:footnote w:id="4">
    <w:p w:rsidR="00642758" w:rsidRDefault="00642758" w:rsidP="00642758">
      <w:pPr>
        <w:pStyle w:val="Textonotapie"/>
      </w:pPr>
      <w:r>
        <w:rPr>
          <w:rStyle w:val="Refdenotaalpie"/>
        </w:rPr>
        <w:footnoteRef/>
      </w:r>
      <w:r>
        <w:t xml:space="preserve"> </w:t>
      </w:r>
      <w:r>
        <w:fldChar w:fldCharType="begin"/>
      </w:r>
      <w:r>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99.","noteIndex":23},"citationItems":[{"id":8215,"uris":["http://zotero.org/users/163570/items/7K7GNDCS"],"uri":["http://zotero.org/users/163570/items/7K7GNDCS"],"itemData":{"id":8215,"type":"chapter","title":"Justicia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Pr="00722CBD">
        <w:rPr>
          <w:rFonts w:cs="Times New Roman"/>
          <w:szCs w:val="24"/>
        </w:rPr>
        <w:t xml:space="preserve">Carlos Garriga Acosta, “Justicia animada: dispositivos de la justicia en la monarquía católica”, en </w:t>
      </w:r>
      <w:r w:rsidRPr="00722CBD">
        <w:rPr>
          <w:rFonts w:cs="Times New Roman"/>
          <w:i/>
          <w:iCs/>
          <w:szCs w:val="24"/>
        </w:rPr>
        <w:t>De justicia de jueces a justicia de leyes: hacia la España de 1870</w:t>
      </w:r>
      <w:r w:rsidRPr="00722CBD">
        <w:rPr>
          <w:rFonts w:cs="Times New Roman"/>
          <w:szCs w:val="24"/>
        </w:rPr>
        <w:t xml:space="preserve">, ed. Marta Lorente </w:t>
      </w:r>
      <w:proofErr w:type="spellStart"/>
      <w:r w:rsidRPr="00722CBD">
        <w:rPr>
          <w:rFonts w:cs="Times New Roman"/>
          <w:szCs w:val="24"/>
        </w:rPr>
        <w:t>Sariñena</w:t>
      </w:r>
      <w:proofErr w:type="spellEnd"/>
      <w:r w:rsidRPr="00722CBD">
        <w:rPr>
          <w:rFonts w:cs="Times New Roman"/>
          <w:szCs w:val="24"/>
        </w:rPr>
        <w:t>, Cuadernos de derecho judicial, VI–2006 (Madrid: Consejo General del Poder Judicial, 2007), 99.</w:t>
      </w:r>
      <w:r>
        <w:fldChar w:fldCharType="end"/>
      </w:r>
    </w:p>
  </w:footnote>
  <w:footnote w:id="5">
    <w:p w:rsidR="00642758" w:rsidRDefault="00642758" w:rsidP="00642758">
      <w:pPr>
        <w:pStyle w:val="Textonotapie"/>
      </w:pPr>
      <w:r>
        <w:rPr>
          <w:rStyle w:val="Refdenotaalpie"/>
        </w:rPr>
        <w:footnoteRef/>
      </w:r>
      <w:r>
        <w:t xml:space="preserve"> </w:t>
      </w:r>
      <w:r>
        <w:fldChar w:fldCharType="begin"/>
      </w:r>
      <w:r>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130.","noteIndex":24},"citationItems":[{"id":8212,"uris":["http://zotero.org/users/163570/items/HGHKVEF9"],"uri":["http://zotero.org/users/163570/items/HGHKVEF9"],"itemData":{"id":8212,"type":"chapter","title":"Los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Pr="00722CBD">
        <w:rPr>
          <w:rFonts w:cs="Times New Roman"/>
          <w:szCs w:val="24"/>
        </w:rPr>
        <w:t xml:space="preserve">Pedro Ruiz Torres, “Los límites del reformismo del siglo XVIII en España”, en </w:t>
      </w:r>
      <w:r w:rsidRPr="00722CBD">
        <w:rPr>
          <w:rFonts w:cs="Times New Roman"/>
          <w:i/>
          <w:iCs/>
          <w:szCs w:val="24"/>
        </w:rPr>
        <w:t xml:space="preserve">El nacimiento y la construcción del estado moderno: homenaje a Jaume </w:t>
      </w:r>
      <w:proofErr w:type="spellStart"/>
      <w:r w:rsidRPr="00722CBD">
        <w:rPr>
          <w:rFonts w:cs="Times New Roman"/>
          <w:i/>
          <w:iCs/>
          <w:szCs w:val="24"/>
        </w:rPr>
        <w:t>Vicens</w:t>
      </w:r>
      <w:proofErr w:type="spellEnd"/>
      <w:r w:rsidRPr="00722CBD">
        <w:rPr>
          <w:rFonts w:cs="Times New Roman"/>
          <w:i/>
          <w:iCs/>
          <w:szCs w:val="24"/>
        </w:rPr>
        <w:t xml:space="preserve"> Vives</w:t>
      </w:r>
      <w:r w:rsidRPr="00722CBD">
        <w:rPr>
          <w:rFonts w:cs="Times New Roman"/>
          <w:szCs w:val="24"/>
        </w:rPr>
        <w:t xml:space="preserve">, ed. Joaquim </w:t>
      </w:r>
      <w:proofErr w:type="spellStart"/>
      <w:r w:rsidRPr="00722CBD">
        <w:rPr>
          <w:rFonts w:cs="Times New Roman"/>
          <w:szCs w:val="24"/>
        </w:rPr>
        <w:t>Albareda</w:t>
      </w:r>
      <w:proofErr w:type="spellEnd"/>
      <w:r w:rsidRPr="00722CBD">
        <w:rPr>
          <w:rFonts w:cs="Times New Roman"/>
          <w:szCs w:val="24"/>
        </w:rPr>
        <w:t xml:space="preserve"> </w:t>
      </w:r>
      <w:proofErr w:type="spellStart"/>
      <w:r w:rsidRPr="00722CBD">
        <w:rPr>
          <w:rFonts w:cs="Times New Roman"/>
          <w:szCs w:val="24"/>
        </w:rPr>
        <w:t>Salvadó</w:t>
      </w:r>
      <w:proofErr w:type="spellEnd"/>
      <w:r w:rsidRPr="00722CBD">
        <w:rPr>
          <w:rFonts w:cs="Times New Roman"/>
          <w:szCs w:val="24"/>
        </w:rPr>
        <w:t xml:space="preserve"> y </w:t>
      </w:r>
      <w:proofErr w:type="spellStart"/>
      <w:r w:rsidRPr="00722CBD">
        <w:rPr>
          <w:rFonts w:cs="Times New Roman"/>
          <w:szCs w:val="24"/>
        </w:rPr>
        <w:t>Marició</w:t>
      </w:r>
      <w:proofErr w:type="spellEnd"/>
      <w:r w:rsidRPr="00722CBD">
        <w:rPr>
          <w:rFonts w:cs="Times New Roman"/>
          <w:szCs w:val="24"/>
        </w:rPr>
        <w:t xml:space="preserve"> </w:t>
      </w:r>
      <w:proofErr w:type="spellStart"/>
      <w:r w:rsidRPr="00722CBD">
        <w:rPr>
          <w:rFonts w:cs="Times New Roman"/>
          <w:szCs w:val="24"/>
        </w:rPr>
        <w:t>Janué</w:t>
      </w:r>
      <w:proofErr w:type="spellEnd"/>
      <w:r w:rsidRPr="00722CBD">
        <w:rPr>
          <w:rFonts w:cs="Times New Roman"/>
          <w:szCs w:val="24"/>
        </w:rPr>
        <w:t xml:space="preserve"> i </w:t>
      </w:r>
      <w:proofErr w:type="spellStart"/>
      <w:r w:rsidRPr="00722CBD">
        <w:rPr>
          <w:rFonts w:cs="Times New Roman"/>
          <w:szCs w:val="24"/>
        </w:rPr>
        <w:t>Miret</w:t>
      </w:r>
      <w:proofErr w:type="spellEnd"/>
      <w:r w:rsidRPr="00722CBD">
        <w:rPr>
          <w:rFonts w:cs="Times New Roman"/>
          <w:szCs w:val="24"/>
        </w:rPr>
        <w:t xml:space="preserve">, </w:t>
      </w:r>
      <w:proofErr w:type="spellStart"/>
      <w:r w:rsidRPr="00722CBD">
        <w:rPr>
          <w:rFonts w:cs="Times New Roman"/>
          <w:szCs w:val="24"/>
        </w:rPr>
        <w:t>Història</w:t>
      </w:r>
      <w:proofErr w:type="spellEnd"/>
      <w:r w:rsidRPr="00722CBD">
        <w:rPr>
          <w:rFonts w:cs="Times New Roman"/>
          <w:szCs w:val="24"/>
        </w:rPr>
        <w:t xml:space="preserve"> (Valencia: </w:t>
      </w:r>
      <w:proofErr w:type="spellStart"/>
      <w:r w:rsidRPr="00722CBD">
        <w:rPr>
          <w:rFonts w:cs="Times New Roman"/>
          <w:szCs w:val="24"/>
        </w:rPr>
        <w:t>Universitat</w:t>
      </w:r>
      <w:proofErr w:type="spellEnd"/>
      <w:r w:rsidRPr="00722CBD">
        <w:rPr>
          <w:rFonts w:cs="Times New Roman"/>
          <w:szCs w:val="24"/>
        </w:rPr>
        <w:t xml:space="preserve"> de </w:t>
      </w:r>
      <w:proofErr w:type="spellStart"/>
      <w:r w:rsidRPr="00722CBD">
        <w:rPr>
          <w:rFonts w:cs="Times New Roman"/>
          <w:szCs w:val="24"/>
        </w:rPr>
        <w:t>València</w:t>
      </w:r>
      <w:proofErr w:type="spellEnd"/>
      <w:r w:rsidRPr="00722CBD">
        <w:rPr>
          <w:rFonts w:cs="Times New Roman"/>
          <w:szCs w:val="24"/>
        </w:rPr>
        <w:t>, 2011), 130.</w:t>
      </w:r>
      <w:r>
        <w:fldChar w:fldCharType="end"/>
      </w:r>
    </w:p>
  </w:footnote>
  <w:footnote w:id="6">
    <w:p w:rsidR="00377404" w:rsidRDefault="00377404">
      <w:pPr>
        <w:pStyle w:val="Textonotapie"/>
      </w:pPr>
      <w:r>
        <w:rPr>
          <w:rStyle w:val="Refdenotaalpie"/>
        </w:rPr>
        <w:footnoteRef/>
      </w:r>
      <w:r>
        <w:t xml:space="preserve"> </w:t>
      </w:r>
      <w:r>
        <w:fldChar w:fldCharType="begin"/>
      </w:r>
      <w:r w:rsidR="003F7E85">
        <w:instrText xml:space="preserve"> ADDIN ZOTERO_ITEM CSL_CITATION {"citationID":"crP1e7s9","properties":{"formattedCitation":"\\uldash{Jes\\uc0\\u250{}s Vallejo, \\uc0\\u8220{}El pr\\uc0\\u237{}ncipe ante el derecho en la cultura del \\uc0\\u8216{}ius commune\\uc0\\u8217{}\\uc0\\u8221{}, en {\\i{}Manual de Historia del Derecho}, ed. Marta Lorente Sari\\uc0\\u241{}ena y Jes\\uc0\\u250{}s Vallejo (Valencia: Tirant lo Blanch, 2012), 153\\uc0\\u8211{}55.}","plainCitation":"Jesús Vallejo, “El príncipe ante el derecho en la cultura del ‘ius commune’”, en Manual de Historia del Derecho, ed. Marta Lorente Sariñena y Jesús Vallejo (Valencia: Tirant lo Blanch, 2012), 153–55.","noteIndex":6},"citationItems":[{"id":7790,"uris":["http://zotero.org/users/163570/items/D3LIG28Z"],"uri":["http://zotero.org/users/163570/items/D3LIG28Z"],"itemData":{"id":7790,"type":"chapter","title":"El príncipe ante el derecho en la cultura del 'ius commune'","container-title":"Manual de Historia del Derecho","publisher":"Tirant lo Blanch","publisher-place":"Valencia","page":"141-178","source":"Open WorldCat","event-place":"Valencia","ISBN":"978-84-9033-231-3","note":"OCLC: 929705285","language":"Spanish","editor":[{"family":"Lorente Sariñena","given":"Marta"},{"family":"Vallejo","given":"Jesús"}],"author":[{"family":"Vallejo","given":"Jesús"}],"issued":{"date-parts":[["2012"]]},"accessed":{"date-parts":[["2017",11,25]]}},"locator":"153-155","label":"page"}],"schema":"https://github.com/citation-style-language/schema/raw/master/csl-citation.json"} </w:instrText>
      </w:r>
      <w:r>
        <w:fldChar w:fldCharType="separate"/>
      </w:r>
      <w:r w:rsidR="003F7E85" w:rsidRPr="003F7E85">
        <w:rPr>
          <w:rFonts w:cs="Times New Roman"/>
          <w:szCs w:val="24"/>
          <w:u w:val="dash"/>
        </w:rPr>
        <w:t>Jesús Vallejo, “El príncipe ante el derecho en la cultura del ‘</w:t>
      </w:r>
      <w:proofErr w:type="spellStart"/>
      <w:r w:rsidR="003F7E85" w:rsidRPr="003F7E85">
        <w:rPr>
          <w:rFonts w:cs="Times New Roman"/>
          <w:szCs w:val="24"/>
          <w:u w:val="dash"/>
        </w:rPr>
        <w:t>ius</w:t>
      </w:r>
      <w:proofErr w:type="spellEnd"/>
      <w:r w:rsidR="003F7E85" w:rsidRPr="003F7E85">
        <w:rPr>
          <w:rFonts w:cs="Times New Roman"/>
          <w:szCs w:val="24"/>
          <w:u w:val="dash"/>
        </w:rPr>
        <w:t xml:space="preserve"> </w:t>
      </w:r>
      <w:proofErr w:type="spellStart"/>
      <w:r w:rsidR="003F7E85" w:rsidRPr="003F7E85">
        <w:rPr>
          <w:rFonts w:cs="Times New Roman"/>
          <w:szCs w:val="24"/>
          <w:u w:val="dash"/>
        </w:rPr>
        <w:t>commune</w:t>
      </w:r>
      <w:proofErr w:type="spellEnd"/>
      <w:r w:rsidR="003F7E85" w:rsidRPr="003F7E85">
        <w:rPr>
          <w:rFonts w:cs="Times New Roman"/>
          <w:szCs w:val="24"/>
          <w:u w:val="dash"/>
        </w:rPr>
        <w:t xml:space="preserve">’”, en </w:t>
      </w:r>
      <w:r w:rsidR="003F7E85" w:rsidRPr="003F7E85">
        <w:rPr>
          <w:rFonts w:cs="Times New Roman"/>
          <w:i/>
          <w:iCs/>
          <w:szCs w:val="24"/>
          <w:u w:val="dash"/>
        </w:rPr>
        <w:t>Manual de Historia del Derecho</w:t>
      </w:r>
      <w:r w:rsidR="003F7E85" w:rsidRPr="003F7E85">
        <w:rPr>
          <w:rFonts w:cs="Times New Roman"/>
          <w:szCs w:val="24"/>
          <w:u w:val="dash"/>
        </w:rPr>
        <w:t xml:space="preserve">, ed. Marta Lorente </w:t>
      </w:r>
      <w:proofErr w:type="spellStart"/>
      <w:r w:rsidR="003F7E85" w:rsidRPr="003F7E85">
        <w:rPr>
          <w:rFonts w:cs="Times New Roman"/>
          <w:szCs w:val="24"/>
          <w:u w:val="dash"/>
        </w:rPr>
        <w:t>Sariñena</w:t>
      </w:r>
      <w:proofErr w:type="spellEnd"/>
      <w:r w:rsidR="003F7E85" w:rsidRPr="003F7E85">
        <w:rPr>
          <w:rFonts w:cs="Times New Roman"/>
          <w:szCs w:val="24"/>
          <w:u w:val="dash"/>
        </w:rPr>
        <w:t xml:space="preserve"> y Jesús Vallejo (Valencia: Tirant lo Blanch, 2012), 153–55.</w:t>
      </w:r>
      <w:r>
        <w:fldChar w:fldCharType="end"/>
      </w:r>
      <w:r w:rsidR="003F7E85">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78"/>
    <w:rsid w:val="0009453C"/>
    <w:rsid w:val="002D49F0"/>
    <w:rsid w:val="00377404"/>
    <w:rsid w:val="003F7E85"/>
    <w:rsid w:val="0042617C"/>
    <w:rsid w:val="00432FBA"/>
    <w:rsid w:val="00464785"/>
    <w:rsid w:val="00474F59"/>
    <w:rsid w:val="005636B2"/>
    <w:rsid w:val="00587E51"/>
    <w:rsid w:val="00642758"/>
    <w:rsid w:val="00674651"/>
    <w:rsid w:val="006F51CC"/>
    <w:rsid w:val="009002A6"/>
    <w:rsid w:val="00967F83"/>
    <w:rsid w:val="00A261FE"/>
    <w:rsid w:val="00A628B6"/>
    <w:rsid w:val="00CD4A8A"/>
    <w:rsid w:val="00D06DAB"/>
    <w:rsid w:val="00DF2BAF"/>
    <w:rsid w:val="00E02848"/>
    <w:rsid w:val="00E6387D"/>
    <w:rsid w:val="00E73E05"/>
    <w:rsid w:val="00EB4BE4"/>
    <w:rsid w:val="00EC65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1D86E-75FA-48EF-81DA-6217BCBB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rFonts w:ascii="Times New Roman" w:hAnsi="Times New Roman"/>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styleId="Refdenotaalpie">
    <w:name w:val="footnote reference"/>
    <w:basedOn w:val="Fuentedeprrafopredeter"/>
    <w:uiPriority w:val="99"/>
    <w:semiHidden/>
    <w:unhideWhenUsed/>
    <w:rsid w:val="000945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E664924-AAE0-4A37-9F52-A50EE243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573</Words>
  <Characters>3209</Characters>
  <Application>Microsoft Office Word</Application>
  <DocSecurity>0</DocSecurity>
  <Lines>40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10</cp:revision>
  <dcterms:created xsi:type="dcterms:W3CDTF">2018-06-04T23:13:00Z</dcterms:created>
  <dcterms:modified xsi:type="dcterms:W3CDTF">2018-06-05T01:48:00Z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id="DB7NjOyF"/&gt;&lt;style id="http://www.zotero.org/styles/chicago-fullnote-bibliography" locale="es-MX" hasBibliography="1" bibliographyStyleHasBeenSet="0"/&gt;&lt;prefs&gt;&lt;pref name="noteType" value="1"/&gt;&lt;pref</vt:lpwstr>
  </property>
  <property fmtid="{D5CDD505-2E9C-101B-9397-08002B2CF9AE}" pid="3" name="ZOTERO_PREF_2">
    <vt:lpwstr> name="fieldType" value="Field"/&gt;&lt;pref name="delayCitationUpdates" value="true"/&gt;&lt;/prefs&gt;&lt;/data&gt;</vt:lpwstr>
  </property>
</Properties>
</file>