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447F9A33"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w:t>
      </w:r>
      <w:r w:rsidR="00FE7F56">
        <w:rPr>
          <w:rFonts w:eastAsia="Calibri" w:cs="Times New Roman"/>
          <w:iCs/>
        </w:rPr>
        <w:t>E</w:t>
      </w:r>
      <w:r w:rsidR="00F77026">
        <w:rPr>
          <w:rFonts w:eastAsia="Calibri" w:cs="Times New Roman"/>
          <w:iCs/>
        </w:rPr>
        <w:t>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w:t>
      </w:r>
      <w:r w:rsidR="00BA6BF3">
        <w:rPr>
          <w:rFonts w:eastAsia="Calibri" w:cs="Times New Roman"/>
          <w:iCs/>
        </w:rPr>
        <w:t>requerir</w:t>
      </w:r>
      <w:r w:rsidR="003E1218">
        <w:rPr>
          <w:rFonts w:eastAsia="Calibri" w:cs="Times New Roman"/>
          <w:iCs/>
        </w:rPr>
        <w:t xml:space="preserve"> el perdón </w:t>
      </w:r>
      <w:r w:rsidR="00BA6BF3">
        <w:rPr>
          <w:rFonts w:eastAsia="Calibri" w:cs="Times New Roman"/>
          <w:iCs/>
        </w:rPr>
        <w:t>de</w:t>
      </w:r>
      <w:r w:rsidR="003E1218">
        <w:rPr>
          <w:rFonts w:eastAsia="Calibri" w:cs="Times New Roman"/>
          <w:iCs/>
        </w:rPr>
        <w:t xml:space="preserv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w:t>
      </w:r>
      <w:r w:rsidR="00650D67">
        <w:rPr>
          <w:rFonts w:eastAsia="Calibri" w:cs="Times New Roman"/>
          <w:iCs/>
        </w:rPr>
        <w:t>como prevención ante</w:t>
      </w:r>
      <w:r w:rsidR="001E5979">
        <w:rPr>
          <w:rFonts w:eastAsia="Calibri" w:cs="Times New Roman"/>
          <w:iCs/>
        </w:rPr>
        <w:t xml:space="preserve"> una</w:t>
      </w:r>
      <w:r w:rsidR="00650D67">
        <w:rPr>
          <w:rFonts w:eastAsia="Calibri" w:cs="Times New Roman"/>
          <w:iCs/>
        </w:rPr>
        <w:t xml:space="preserve"> posible</w:t>
      </w:r>
      <w:r w:rsidR="001E5979">
        <w:rPr>
          <w:rFonts w:eastAsia="Calibri" w:cs="Times New Roman"/>
          <w:iCs/>
        </w:rPr>
        <w:t xml:space="preserve"> nueva sublevación, </w:t>
      </w:r>
      <w:r w:rsidR="00650D67">
        <w:rPr>
          <w:rFonts w:eastAsia="Calibri" w:cs="Times New Roman"/>
          <w:iCs/>
        </w:rPr>
        <w:t>sin</w:t>
      </w:r>
      <w:r w:rsidR="00F81B0B">
        <w:rPr>
          <w:rFonts w:eastAsia="Calibri" w:cs="Times New Roman"/>
          <w:iCs/>
        </w:rPr>
        <w:t xml:space="preserve"> </w:t>
      </w:r>
      <w:r w:rsidR="00650D67">
        <w:rPr>
          <w:rFonts w:eastAsia="Calibri" w:cs="Times New Roman"/>
          <w:iCs/>
        </w:rPr>
        <w:t>castigar</w:t>
      </w:r>
      <w:r w:rsidR="00F81B0B">
        <w:rPr>
          <w:rFonts w:eastAsia="Calibri" w:cs="Times New Roman"/>
          <w:iCs/>
        </w:rPr>
        <w:t xml:space="preserve"> inmediat</w:t>
      </w:r>
      <w:r w:rsidR="00650D67">
        <w:rPr>
          <w:rFonts w:eastAsia="Calibri" w:cs="Times New Roman"/>
          <w:iCs/>
        </w:rPr>
        <w:t>amente</w:t>
      </w:r>
      <w:r w:rsidR="00F81B0B">
        <w:rPr>
          <w:rFonts w:eastAsia="Calibri" w:cs="Times New Roman"/>
          <w:iCs/>
        </w:rPr>
        <w:t xml:space="preserve"> </w:t>
      </w:r>
      <w:r w:rsidR="00650D67">
        <w:rPr>
          <w:rFonts w:eastAsia="Calibri" w:cs="Times New Roman"/>
          <w:iCs/>
        </w:rPr>
        <w:t>a</w:t>
      </w:r>
      <w:r w:rsidR="00F81B0B">
        <w:rPr>
          <w:rFonts w:eastAsia="Calibri" w:cs="Times New Roman"/>
          <w:iCs/>
        </w:rPr>
        <w:t xml:space="preserv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650D67">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09D06229"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w:t>
      </w:r>
      <w:r w:rsidR="00650D67">
        <w:t>como</w:t>
      </w:r>
      <w:r>
        <w:t xml:space="preserv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7A96D70B"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w:t>
      </w:r>
      <w:r w:rsidR="009600DC" w:rsidRPr="00650D67">
        <w:rPr>
          <w:highlight w:val="yellow"/>
        </w:rPr>
        <w:t xml:space="preserve">on lo cual se mostraba los esponsales simbólicos que daban sentido a la monarquía </w:t>
      </w:r>
      <w:r w:rsidR="00650D67" w:rsidRPr="00650D67">
        <w:rPr>
          <w:highlight w:val="yellow"/>
        </w:rPr>
        <w:lastRenderedPageBreak/>
        <w:t>que reconciliab</w:t>
      </w:r>
      <w:r w:rsidR="009600DC" w:rsidRPr="00650D67">
        <w:rPr>
          <w:highlight w:val="yellow"/>
        </w:rPr>
        <w:t>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w:t>
      </w:r>
      <w:r w:rsidR="00650D67">
        <w:t>sus vicarios</w:t>
      </w:r>
      <w:r w:rsidR="00AD59DB">
        <w:t xml:space="preserve"> </w:t>
      </w:r>
      <w:r w:rsidR="004755E2">
        <w:t>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3D7778DF"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w:t>
      </w:r>
      <w:r w:rsidR="00F957A5">
        <w:t>to de los “códigos de la élite,”</w:t>
      </w:r>
      <w:r w:rsidR="00BF7F72">
        <w:t xml:space="preserv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5CC081BF"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12210B98" w:rsidR="000F0EAD" w:rsidRDefault="002C207D" w:rsidP="00F32E78">
      <w:pPr>
        <w:pStyle w:val="Ttulo2"/>
        <w:numPr>
          <w:ilvl w:val="1"/>
          <w:numId w:val="28"/>
        </w:numPr>
      </w:pPr>
      <w:r>
        <w:t>La clemencia en la dialéctica temor-amor</w:t>
      </w:r>
    </w:p>
    <w:p w14:paraId="78AE79A6" w14:textId="77777777" w:rsidR="008C6989" w:rsidRDefault="008C6989" w:rsidP="008C6989"/>
    <w:p w14:paraId="75D19996" w14:textId="6F61AD29" w:rsidR="007A63BF" w:rsidRDefault="00315BAF" w:rsidP="008C6989">
      <w:r>
        <w:t>Existe un consenso en torno a considerar el indulto como un ejercicio de la potestad del pr</w:t>
      </w:r>
      <w:r w:rsidR="00A706D3">
        <w:t>íncipe</w:t>
      </w:r>
      <w:r w:rsidR="00F60496">
        <w:t xml:space="preserve"> en el cual el súbdito se somete por la esperanza del perdón y no por la amenaza de castigo.</w:t>
      </w:r>
      <w:r w:rsidR="00F60496">
        <w:rPr>
          <w:rStyle w:val="Refdenotaalpie"/>
        </w:rPr>
        <w:footnoteReference w:id="16"/>
      </w:r>
      <w:r w:rsidR="00F60496">
        <w:t xml:space="preserve"> </w:t>
      </w:r>
      <w:r w:rsidR="005C4226">
        <w:t>En palabras de António Manuel Hespanha, “la disciplina penal venía ante todo a cumplir una función política: la defensa de la supremacía simbólica del rey en tanto que titular supremo del poder de castigar y, correlativamente, del poder de agraciar.”</w:t>
      </w:r>
      <w:r w:rsidR="005C4226">
        <w:rPr>
          <w:rStyle w:val="Refdenotaalpie"/>
        </w:rPr>
        <w:footnoteReference w:id="17"/>
      </w:r>
      <w:r w:rsidR="005C4226">
        <w:t xml:space="preserve"> Hespanha </w:t>
      </w:r>
      <w:r w:rsidR="005C4226">
        <w:lastRenderedPageBreak/>
        <w:t xml:space="preserve">y, en la misma línea, Alejandro Agüero, han coincidido en afirmar que el perdón regio se inscribía en el corazón de la justicia criminal y la política del antiguo régimen asociado con el </w:t>
      </w:r>
      <w:r w:rsidR="00C5128F">
        <w:t>amor del rey con sus vasallos</w:t>
      </w:r>
      <w:r w:rsidR="00BD6200">
        <w:t>.</w:t>
      </w:r>
      <w:r w:rsidR="00505F86">
        <w:rPr>
          <w:rStyle w:val="Refdenotaalpie"/>
        </w:rPr>
        <w:footnoteReference w:id="18"/>
      </w:r>
      <w:r w:rsidR="00C5128F">
        <w:t xml:space="preserve"> </w:t>
      </w:r>
      <w:r w:rsidR="00BD6200">
        <w:t>Difieren</w:t>
      </w:r>
      <w:r w:rsidR="009C58D9">
        <w:t xml:space="preserve"> por tanto</w:t>
      </w:r>
      <w:r w:rsidR="00C5128F">
        <w:t xml:space="preserve"> de la consideración de Tom</w:t>
      </w:r>
      <w:r w:rsidR="009C58D9">
        <w:t>ás y Valiente</w:t>
      </w:r>
      <w:r w:rsidR="00C5128F">
        <w:t xml:space="preserve"> según la cual el derecho penal estaba centrado en la búsqued</w:t>
      </w:r>
      <w:r w:rsidR="009C58D9">
        <w:t xml:space="preserve">a del castigo y la rigurosidad, de modo que </w:t>
      </w:r>
      <w:r w:rsidR="00C5128F">
        <w:t>la misericordia estaría en el rango de la deontología y no en</w:t>
      </w:r>
      <w:r w:rsidR="002235DA">
        <w:t xml:space="preserve"> el</w:t>
      </w:r>
      <w:r w:rsidR="00C5128F">
        <w:t xml:space="preserve"> derecho.</w:t>
      </w:r>
      <w:r w:rsidR="00505F86">
        <w:rPr>
          <w:rStyle w:val="Refdenotaalpie"/>
        </w:rPr>
        <w:footnoteReference w:id="19"/>
      </w:r>
    </w:p>
    <w:p w14:paraId="59B9FC34" w14:textId="00ECDD67" w:rsidR="00A903F1" w:rsidRPr="00A903F1" w:rsidRDefault="00732D81" w:rsidP="00A903F1">
      <w:r>
        <w:t>Se suponía que la facultad de castigar fue otorgada por dios a los reyes con el propósito de proteger a las repúblicas ante los peligros de la violencia y los asesinatos.</w:t>
      </w:r>
      <w:r>
        <w:rPr>
          <w:rStyle w:val="Refdenotaalpie"/>
        </w:rPr>
        <w:footnoteReference w:id="20"/>
      </w:r>
      <w:r>
        <w:t xml:space="preserve"> </w:t>
      </w:r>
      <w:r w:rsidRPr="00732D81">
        <w:rPr>
          <w:lang w:val="es-ES_tradnl"/>
        </w:rPr>
        <w:t xml:space="preserve">El castigo como demostración de la fuerza del príncipe tendría como origen evitar que los “malvados” actuaran contra los “buenos”; pero si todo fuese temor, el rey no podría atraer el amor de los súbditos, por ello </w:t>
      </w:r>
      <w:r w:rsidR="001758E1">
        <w:rPr>
          <w:lang w:val="es-ES_tradnl"/>
        </w:rPr>
        <w:t>la divinidad</w:t>
      </w:r>
      <w:r w:rsidRPr="00732D81">
        <w:rPr>
          <w:lang w:val="es-ES_tradnl"/>
        </w:rPr>
        <w:t xml:space="preserve"> otorgó la </w:t>
      </w:r>
      <w:r w:rsidR="001758E1">
        <w:rPr>
          <w:lang w:val="es-ES_tradnl"/>
        </w:rPr>
        <w:t>facultad de indultar a los príncipes y superiores</w:t>
      </w:r>
      <w:r w:rsidRPr="00732D81">
        <w:rPr>
          <w:lang w:val="es-ES_tradnl"/>
        </w:rPr>
        <w:t xml:space="preserve"> </w:t>
      </w:r>
      <w:r w:rsidR="001758E1">
        <w:rPr>
          <w:lang w:val="es-ES_tradnl"/>
        </w:rPr>
        <w:t>para con esta</w:t>
      </w:r>
      <w:r w:rsidRPr="00732D81">
        <w:rPr>
          <w:lang w:val="es-ES_tradnl"/>
        </w:rPr>
        <w:t xml:space="preserve"> canalizar su compasión. </w:t>
      </w:r>
      <w:r w:rsidRPr="00732D81">
        <w:t xml:space="preserve">En esta lógica, era el miedo a la espada lo que hacía agradecer la clemencia, cuando el rey o sus delegados pudiendo castigar justificadamente no lo hacía estaban demostrando la magnificencia del príncipe. </w:t>
      </w:r>
      <w:r w:rsidR="00A903F1">
        <w:t>De allí la idea, tomada de Séneca y difundida vía Tomás de Aquino, según la cual perdonar consistía en no castigar a quien merecía serlo, es decir, en la remisión de un castigo que debía ser, en justicia, infligido.</w:t>
      </w:r>
      <w:r w:rsidR="00A903F1" w:rsidRPr="00A903F1">
        <w:rPr>
          <w:vertAlign w:val="superscript"/>
        </w:rPr>
        <w:footnoteReference w:id="21"/>
      </w:r>
      <w:r w:rsidR="00A903F1" w:rsidRPr="00A903F1">
        <w:t xml:space="preserve"> </w:t>
      </w:r>
    </w:p>
    <w:p w14:paraId="1A2013D7" w14:textId="5BA5E2D7" w:rsidR="00EE5D2F" w:rsidRPr="00EE5D2F" w:rsidRDefault="00411DD3" w:rsidP="00EE5D2F">
      <w:r>
        <w:t>En el orden jurídico-político de antiguo régimen, el t</w:t>
      </w:r>
      <w:r w:rsidR="00732D81" w:rsidRPr="00732D81">
        <w:t xml:space="preserve">emor y </w:t>
      </w:r>
      <w:r>
        <w:t xml:space="preserve">el </w:t>
      </w:r>
      <w:r w:rsidR="00732D81" w:rsidRPr="00732D81">
        <w:t>amor e</w:t>
      </w:r>
      <w:r>
        <w:t xml:space="preserve">starían naturalmente vinculados. </w:t>
      </w:r>
      <w:r w:rsidR="00732D81" w:rsidRPr="00732D81">
        <w:t>Alfonso X lo plasmó así: “Natural razon es, que el ome non puede amar ninguna cosa conplidamente si la non teme.”</w:t>
      </w:r>
      <w:r w:rsidR="00732D81" w:rsidRPr="00732D81">
        <w:rPr>
          <w:vertAlign w:val="superscript"/>
        </w:rPr>
        <w:footnoteReference w:id="22"/>
      </w:r>
      <w:r w:rsidR="00732D81" w:rsidRPr="00732D81">
        <w:t xml:space="preserve"> </w:t>
      </w:r>
      <w:r>
        <w:t xml:space="preserve">De esta manera, aunque </w:t>
      </w:r>
      <w:r w:rsidR="00631397">
        <w:t>cierta</w:t>
      </w:r>
      <w:r>
        <w:t xml:space="preserve"> doctrina afirmara que el príncipe debía hacerse amar más que temer, el orden se garantizaba por un equilibrio entre la clemencia y el rigor, en el atraer (“seducir” dice Hespanha) a los buenos vasallos y refrenar a los malvados, como un buen pastor, atrae las ovejas espantando a los </w:t>
      </w:r>
      <w:r>
        <w:lastRenderedPageBreak/>
        <w:t>lobos.</w:t>
      </w:r>
      <w:r>
        <w:rPr>
          <w:rStyle w:val="Refdenotaalpie"/>
        </w:rPr>
        <w:footnoteReference w:id="23"/>
      </w:r>
      <w:r w:rsidR="00BD4CBD">
        <w:t xml:space="preserve"> </w:t>
      </w:r>
      <w:r w:rsidR="00631397">
        <w:t>En su tratado antimaquiavélico,</w:t>
      </w:r>
      <w:r w:rsidR="006B18D9">
        <w:rPr>
          <w:rStyle w:val="Refdenotaalpie"/>
        </w:rPr>
        <w:footnoteReference w:id="24"/>
      </w:r>
      <w:r w:rsidR="006B18D9">
        <w:t xml:space="preserve"> el jesuita Pedro de Ribadeneyra resumió esa dialéctica temor amor en los siguientes términos</w:t>
      </w:r>
      <w:r w:rsidR="00631397">
        <w:t>: “El Principe valeroso debe ser juntamente manso y benigno, para que por la mansedumbre sea amado, y por la fortaleza temido; manso para los rendidos, y para los buenos desvalídos; severo y grave para humillar á los soberbios y altivos; en perdonar sus injurias, fácil y piadoso; en castigar las de Dios, terrible y zeloso.”</w:t>
      </w:r>
      <w:r w:rsidR="00631397">
        <w:rPr>
          <w:rStyle w:val="Refdenotaalpie"/>
        </w:rPr>
        <w:footnoteReference w:id="25"/>
      </w:r>
      <w:r w:rsidR="006B18D9">
        <w:t xml:space="preserve"> </w:t>
      </w:r>
      <w:r w:rsidR="00DB1E61">
        <w:t>Ribadeneyra</w:t>
      </w:r>
      <w:r w:rsidR="000E3421">
        <w:t xml:space="preserve"> consideraba que la verdadera fortaleza del príncipe radicaba en seguir la “ley evangélica” que ordenaba amar a los enemigos y hacer el bien a quienes lo aborrecían,</w:t>
      </w:r>
      <w:r w:rsidR="000E3421">
        <w:rPr>
          <w:rStyle w:val="Refdenotaalpie"/>
        </w:rPr>
        <w:footnoteReference w:id="26"/>
      </w:r>
      <w:r w:rsidR="000E3421">
        <w:t xml:space="preserve"> </w:t>
      </w:r>
      <w:r w:rsidR="00130D3D">
        <w:t>en imitación de dios, quien era “benigno para con los ingratos y malos.”</w:t>
      </w:r>
      <w:r w:rsidR="00130D3D">
        <w:rPr>
          <w:rStyle w:val="Refdenotaalpie"/>
        </w:rPr>
        <w:footnoteReference w:id="27"/>
      </w:r>
      <w:r w:rsidR="00130D3D">
        <w:t xml:space="preserve"> Por lo tanto, la relación temor-amor no era sólo un asunto de buen gobierno, consistía en un ejercicio de imitación de la majestad divina, como lo dejó asentado Juan López de Cuéllar en su tratado</w:t>
      </w:r>
      <w:r w:rsidR="00DB1E61">
        <w:t xml:space="preserve"> cuando dice</w:t>
      </w:r>
      <w:r w:rsidR="00130D3D">
        <w:t>: “Porque siendo Imagen la humana de la Divina MAGESTAD, dispuso con summa providencia (repito otra vez) que en la misericordia se le pareciesse, como en la justicia, para que con esta fuesse temido, y con el exercicio de aquella fuesse amado.”</w:t>
      </w:r>
      <w:r w:rsidR="00130D3D">
        <w:rPr>
          <w:rStyle w:val="Refdenotaalpie"/>
        </w:rPr>
        <w:footnoteReference w:id="28"/>
      </w:r>
    </w:p>
    <w:p w14:paraId="6E92FA0A" w14:textId="42B4BC73" w:rsidR="002F3900" w:rsidRDefault="002F3900" w:rsidP="008C6989">
      <w:r>
        <w:t xml:space="preserve">Saavedra Fajardo consideraba que no era sólo con la clemencia que el príncipe cristiano atraía el afecto de los súbditos, la cual la expresa en varias sentencias que refuerzan esta idea: </w:t>
      </w:r>
    </w:p>
    <w:p w14:paraId="2A54A02C" w14:textId="1DB172F7" w:rsidR="00E77F69" w:rsidRDefault="002F3900" w:rsidP="002F3900">
      <w:pPr>
        <w:pStyle w:val="Cita"/>
      </w:pPr>
      <w:r>
        <w:t xml:space="preserve">La clemencia, i la severidad, aquella prodiga, i esta templada, son las que hazen amado al Principe. El que con </w:t>
      </w:r>
      <w:r w:rsidR="00157B4F">
        <w:t>tal destreza, i prudencia mezclá</w:t>
      </w:r>
      <w:r>
        <w:t>re estas virtudes, que con la justicia se haga respetar, i con la clemencia amar, no podrá errar en su gobierno. El cielo cria las mieses con la benignidad de sus rocios, i las arraiga, i asegura con el rigor de la escarcha, i nieve.  Si Dios no fuéra clemente, le respetára el temor, pero no le adorára el culto. Ambas virtudes le hazen temido, i amado. Por esto dezia el Rey Don Alonso de Aragon, que con la justicia ganava el afecto de los buenos, i con la clemencia, el de los malos. La una induce al temor, i la otra obliga al afecto.</w:t>
      </w:r>
      <w:r>
        <w:rPr>
          <w:rStyle w:val="Refdenotaalpie"/>
        </w:rPr>
        <w:footnoteReference w:id="29"/>
      </w:r>
    </w:p>
    <w:p w14:paraId="14CCB5A6" w14:textId="77777777" w:rsidR="002F3900" w:rsidRDefault="002F3900" w:rsidP="008C6989"/>
    <w:p w14:paraId="576C5417" w14:textId="12EF0318" w:rsidR="00164896" w:rsidRDefault="00410E0D" w:rsidP="008C6989">
      <w:r>
        <w:lastRenderedPageBreak/>
        <w:t xml:space="preserve">La justicia permite ganar el respeto y la clemencia </w:t>
      </w:r>
      <w:r w:rsidR="00EA42C6">
        <w:t xml:space="preserve">atrae el amor, pero ambas consiguen el mismo efecto: la restitución del orden alterado ya sea por los criminales, los desertores, los huidos o los confundidos. El marqués de la Torre, siendo gobernador y capitán general de Venezuela, escribió a Carlos III sobre los buenos efectos que tuvo un indulto pecuniario que decretó en su nombre para detener el contrabando en la provincia de su mando, los cuales habrían sido logrados gracias </w:t>
      </w:r>
      <w:r w:rsidR="001D5156">
        <w:t>a que en primer lugar se decretaron y ejecutaron medidas rigurosas contra los delincuentes y después se les ofreció la clemencia, “para atraerlos despues del escarmiento á lograr las quietudes del yndulto.”</w:t>
      </w:r>
      <w:r w:rsidR="00D25EF1">
        <w:rPr>
          <w:rStyle w:val="Refdenotaalpie"/>
        </w:rPr>
        <w:footnoteReference w:id="30"/>
      </w:r>
      <w:r w:rsidR="00D25EF1">
        <w:t xml:space="preserve"> </w:t>
      </w:r>
      <w:r w:rsidR="002127F0">
        <w:t>Esta</w:t>
      </w:r>
      <w:r w:rsidR="00D25EF1">
        <w:t xml:space="preserve"> estrategia </w:t>
      </w:r>
      <w:r w:rsidR="002127F0">
        <w:t>requería</w:t>
      </w:r>
      <w:r w:rsidR="00D25EF1">
        <w:t xml:space="preserve"> atraer a quien actúa por su propia voluntad y de la misma manera lograr la sumisión de quien sólo ha sido reprimido pero no amansado; con el castigo se afecta el fuero externo y con el perdón se pretende alcanzar el fuero interno, para el cual no hay potestad que logre moldearlo desde el imperio temporal. He utilizado el verbo “amansar” deliberadamente porque el objetivo </w:t>
      </w:r>
      <w:r w:rsidR="00487C74">
        <w:t>último</w:t>
      </w:r>
      <w:r w:rsidR="00D25EF1">
        <w:t xml:space="preserve"> de la clemencia </w:t>
      </w:r>
      <w:r w:rsidR="00B265D7">
        <w:t>consistía</w:t>
      </w:r>
      <w:r w:rsidR="00D25EF1">
        <w:t xml:space="preserve"> </w:t>
      </w:r>
      <w:r w:rsidR="00E714CB">
        <w:t>tanto</w:t>
      </w:r>
      <w:r w:rsidR="00B265D7">
        <w:t xml:space="preserve"> en</w:t>
      </w:r>
      <w:r w:rsidR="00E714CB">
        <w:t xml:space="preserve"> reforzar la lealtad de aquel que había cometido una falta menor, producto de su imperfección natural humana, como</w:t>
      </w:r>
      <w:r w:rsidR="00B265D7">
        <w:t xml:space="preserve"> en</w:t>
      </w:r>
      <w:r w:rsidR="00E714CB">
        <w:t xml:space="preserve"> doblegar al malvado consumido por el vicio y</w:t>
      </w:r>
      <w:r w:rsidR="00487C74">
        <w:t xml:space="preserve"> llevarlo al camino de la mansedumbre. Claramente el rey no tenía forma de afectar el fuero interno de los vasallos, como no lo tenían tampoco los sacerdotes ni siquiera con el ejercicio de la confesión;</w:t>
      </w:r>
      <w:r w:rsidR="00AD59DB">
        <w:rPr>
          <w:rStyle w:val="Refdenotaalpie"/>
        </w:rPr>
        <w:footnoteReference w:id="31"/>
      </w:r>
      <w:r w:rsidR="00487C74">
        <w:t xml:space="preserve"> el cambio en la maledicencia de los delincuentes sólo se haría evidente cuando éstos retomaran el camino de buenos vasallos, leales a la Corona y útiles a la república. </w:t>
      </w:r>
    </w:p>
    <w:p w14:paraId="30D1C31A" w14:textId="0B9C0576" w:rsidR="00487C74" w:rsidRDefault="00AD59DB" w:rsidP="008C6989">
      <w:r>
        <w:t>P</w:t>
      </w:r>
      <w:r w:rsidR="00487C74">
        <w:t xml:space="preserve">uede considerarse que la monarquía actuaba con todo su imperio cuando podía combinar de manera efectiva castigo y clemencia, una estrategia que ha sido claramente identificada </w:t>
      </w:r>
      <w:r w:rsidR="00F5794B">
        <w:t>en el sofocamiento de levantamientos y rebeliones, en las cuales</w:t>
      </w:r>
      <w:r w:rsidR="00AC51FA">
        <w:t xml:space="preserve"> la espada se blandía</w:t>
      </w:r>
      <w:r w:rsidR="00487C74">
        <w:t xml:space="preserve"> </w:t>
      </w:r>
      <w:r w:rsidR="00F5794B">
        <w:t xml:space="preserve">primero </w:t>
      </w:r>
      <w:r w:rsidR="00487C74">
        <w:t>ame</w:t>
      </w:r>
      <w:r w:rsidR="00F5794B">
        <w:t>nazante o ejecutiva</w:t>
      </w:r>
      <w:r w:rsidR="00487C74">
        <w:t xml:space="preserve"> </w:t>
      </w:r>
      <w:r w:rsidR="00AC51FA">
        <w:t>para después mostrar</w:t>
      </w:r>
      <w:r w:rsidR="00487C74">
        <w:t xml:space="preserve"> la rama de olivo a los rebeldes vencidos.</w:t>
      </w:r>
      <w:r w:rsidR="00BA5C8E">
        <w:rPr>
          <w:rStyle w:val="Refdenotaalpie"/>
        </w:rPr>
        <w:footnoteReference w:id="32"/>
      </w:r>
      <w:r w:rsidR="002127F0">
        <w:t xml:space="preserve"> Uno de quienes expresó la ventaja de esta táctica fue el jesuita Juan Eusebio Nieremberg, quien decía en sus </w:t>
      </w:r>
      <w:r w:rsidR="002127F0">
        <w:rPr>
          <w:i/>
        </w:rPr>
        <w:t>Dictámentes</w:t>
      </w:r>
      <w:r w:rsidR="002127F0">
        <w:t xml:space="preserve">: “La sedicion puede ser mayor daño que la guerra. Es mal remediable en sus principios, mortal en sus aumentos, y aun dañoso en sus </w:t>
      </w:r>
      <w:r w:rsidR="002127F0">
        <w:lastRenderedPageBreak/>
        <w:t>mismas declinaciones. En estas seria bien dexar escarmentados á los mas, con el castigo de algunos, y obligados á todos con el perdón, donde tanto como se castiga, se pierde.”</w:t>
      </w:r>
      <w:r w:rsidR="002127F0">
        <w:rPr>
          <w:rStyle w:val="Refdenotaalpie"/>
        </w:rPr>
        <w:footnoteReference w:id="33"/>
      </w:r>
      <w:r w:rsidR="002127F0">
        <w:t xml:space="preserve"> </w:t>
      </w:r>
      <w:r w:rsidR="00AC51FA">
        <w:t>En el caso de la sublevación de la soldadesca que sirve de introducción a este capítulo, la potestad regia estuvo ausente del perdón, no hubo tropa derrotada ni castigo previo o posterior, tampoco fue acompañado el indulto de la acostumbrada orden de castigar a los cabecillas; en cambio</w:t>
      </w:r>
      <w:r w:rsidR="00BA5C8E">
        <w:t>, la tropa misma se encargó</w:t>
      </w:r>
      <w:r w:rsidR="00AC51FA">
        <w:t xml:space="preserve"> de planear el perdón y restituir la autoridad legítima. La exigencia de los soldados para que estuvieran presentes las </w:t>
      </w:r>
      <w:r w:rsidR="00EE5D2F">
        <w:t>majestades representadas en</w:t>
      </w:r>
      <w:r w:rsidR="001750E6">
        <w:t xml:space="preserve"> la ciudad, tal vez correspondió a un acto mimético observado en otras ceremonias de perdón, pero finalmente consistía en </w:t>
      </w:r>
      <w:r w:rsidR="00EE5D2F">
        <w:t>regresar la autoridad</w:t>
      </w:r>
      <w:r w:rsidR="001750E6">
        <w:t xml:space="preserve"> </w:t>
      </w:r>
      <w:r w:rsidR="00EE5D2F">
        <w:t>tomada por</w:t>
      </w:r>
      <w:r w:rsidR="001750E6">
        <w:t xml:space="preserve"> los soldados a los magistrados y oficiales; el perdón, simbólicamente, sella el acuerdo y restituye el pacto de lealtad de los soldados </w:t>
      </w:r>
      <w:r w:rsidR="00FC4B25">
        <w:t>con el</w:t>
      </w:r>
      <w:r w:rsidR="001750E6">
        <w:t xml:space="preserve"> monarca.</w:t>
      </w:r>
      <w:r w:rsidR="00BA5C8E">
        <w:rPr>
          <w:rStyle w:val="Refdenotaalpie"/>
        </w:rPr>
        <w:footnoteReference w:id="34"/>
      </w:r>
    </w:p>
    <w:p w14:paraId="1151378A" w14:textId="1EA3B17A" w:rsidR="00F202C3" w:rsidRPr="00F202C3" w:rsidRDefault="00F202C3" w:rsidP="00F202C3">
      <w:r>
        <w:t xml:space="preserve">Se trata entonces de una misma autoridad que ofrece la clemencia para diferentes casos de delincuentes. Por un lado los sediciosos o tumultuosos, de quienes era requerido un acto de reconciliación; por otra parte los rebeldes que huían o rehusaban ser acogidos a la legítima y “bondadosa” mano regia; además de los delincuentes comunes, culpables de delitos menores, a quienes la autoridad ofrecía la clemencia para con su potestad liberarlos del justo yugo del castigo, con lo cual se la </w:t>
      </w:r>
      <w:r>
        <w:rPr>
          <w:i/>
        </w:rPr>
        <w:t>auctoritas</w:t>
      </w:r>
      <w:r>
        <w:t xml:space="preserve"> se manifestaba en su forma primigenia de </w:t>
      </w:r>
      <w:r>
        <w:rPr>
          <w:i/>
        </w:rPr>
        <w:t>augeo</w:t>
      </w:r>
      <w:r>
        <w:t>, como el ejercicio virtuoso de la dignidad real que “aumentaba” en calidad el poderío regio.</w:t>
      </w:r>
      <w:r w:rsidR="00780C38">
        <w:rPr>
          <w:rStyle w:val="Refdenotaalpie"/>
        </w:rPr>
        <w:footnoteReference w:id="35"/>
      </w:r>
      <w:r>
        <w:t xml:space="preserve"> </w:t>
      </w:r>
      <w:r w:rsidR="00AB767D">
        <w:t>De modo similar la autoridad eclesiástica contribuía a la majestad del rey, incrementaba su potestad, pero también podía oponerse a esta cuando aquellos requeridos por la vindicta pública se acogían al refugio sagrado y eran protegidos inmediatamente, a veces sólo con tocar las paredes del templo, por la inmunidad eclesiástica.</w:t>
      </w:r>
      <w:r w:rsidR="00780C38">
        <w:rPr>
          <w:rStyle w:val="Refdenotaalpie"/>
        </w:rPr>
        <w:footnoteReference w:id="36"/>
      </w:r>
      <w:r w:rsidR="00AB767D">
        <w:t xml:space="preserve"> Esta disputa de majestades, permanente en todos los ámbitos territoriales de la monarquía hisp</w:t>
      </w:r>
      <w:r w:rsidR="00950970">
        <w:t xml:space="preserve">ánica, pretendería desde la autoridad regia el prevenir que los delincuentes se refugiaran en sagrado, en particular en </w:t>
      </w:r>
      <w:r w:rsidR="00950970">
        <w:lastRenderedPageBreak/>
        <w:t>los dominios de indias donde se consideraba que se estaba abusando de este fuero y con ello erosionando la potestad de los ministros reales en América.</w:t>
      </w:r>
      <w:r w:rsidR="00950970">
        <w:rPr>
          <w:rStyle w:val="Refdenotaalpie"/>
        </w:rPr>
        <w:footnoteReference w:id="37"/>
      </w:r>
    </w:p>
    <w:p w14:paraId="5D487BA2" w14:textId="6DE5BDDD" w:rsidR="00E714CB" w:rsidRDefault="00FC4B25" w:rsidP="00BA5C8E">
      <w:r>
        <w:t xml:space="preserve">Hablamos entonces del reconocimiento de la autoridad y del indulto como acto de sumisión. La dificultad que puede presentar esta interpretación se encuentra en el entendimiento contemporáneo de la soberanía como el ejercicio pleno de la potestad, ya sea de la </w:t>
      </w:r>
      <w:r>
        <w:rPr>
          <w:i/>
        </w:rPr>
        <w:t>civitas</w:t>
      </w:r>
      <w:r>
        <w:t xml:space="preserve"> o de la majestad humana, </w:t>
      </w:r>
      <w:r w:rsidR="00CF05B1">
        <w:t>y del proceso de secularización de las instituciones jurídico políticas actuales que</w:t>
      </w:r>
      <w:r>
        <w:t xml:space="preserve"> ha reducido la autoridad al poder.</w:t>
      </w:r>
      <w:r w:rsidR="00AD59DB">
        <w:rPr>
          <w:rStyle w:val="Refdenotaalpie"/>
        </w:rPr>
        <w:footnoteReference w:id="38"/>
      </w:r>
      <w:r>
        <w:t xml:space="preserve"> </w:t>
      </w:r>
      <w:r w:rsidR="008D68F4">
        <w:t xml:space="preserve">En términos lexicográficos la división entre autoridad y potestad no fue tajante ni siquiera en la Edad Media, pero semánticamente la </w:t>
      </w:r>
      <w:r w:rsidR="008D68F4">
        <w:rPr>
          <w:i/>
        </w:rPr>
        <w:t>iurisdictio</w:t>
      </w:r>
      <w:r w:rsidR="008D68F4">
        <w:t xml:space="preserve"> involucra</w:t>
      </w:r>
      <w:r w:rsidR="00110CC8">
        <w:t>ba</w:t>
      </w:r>
      <w:r w:rsidR="008D68F4">
        <w:t xml:space="preserve"> un</w:t>
      </w:r>
      <w:r w:rsidR="00110CC8">
        <w:t xml:space="preserve"> orden normativo</w:t>
      </w:r>
      <w:r w:rsidR="008D68F4">
        <w:t xml:space="preserve"> que no se </w:t>
      </w:r>
      <w:r w:rsidR="00110CC8">
        <w:t>ejercía</w:t>
      </w:r>
      <w:r w:rsidR="008D68F4">
        <w:t xml:space="preserve"> exclusivamente </w:t>
      </w:r>
      <w:r w:rsidR="00110CC8">
        <w:t xml:space="preserve">con la fuerza sino </w:t>
      </w:r>
      <w:r w:rsidR="008D68F4">
        <w:t>depend</w:t>
      </w:r>
      <w:r w:rsidR="00110CC8">
        <w:t>ía</w:t>
      </w:r>
      <w:r w:rsidR="008D68F4">
        <w:t xml:space="preserve"> en gran medida del acuerdo</w:t>
      </w:r>
      <w:r w:rsidR="00110CC8">
        <w:t xml:space="preserve"> con los cuerpos de la república.</w:t>
      </w:r>
      <w:r w:rsidR="00F17CD6">
        <w:rPr>
          <w:rStyle w:val="Refdenotaalpie"/>
        </w:rPr>
        <w:footnoteReference w:id="39"/>
      </w:r>
      <w:r w:rsidR="00E62B4C">
        <w:t xml:space="preserve"> Se entendía, incluso en el último tercio del siglo XVIII, que la divinidad había delegado su autoridad y potestad al rey para lo temporal y al papa para lo espiritual, pero esta no se había otorgado, a los reyes específicamente, para su propio beneficio sino como </w:t>
      </w:r>
      <w:r w:rsidR="00E62B4C">
        <w:rPr>
          <w:i/>
        </w:rPr>
        <w:t>res publica</w:t>
      </w:r>
      <w:r w:rsidR="00E62B4C">
        <w:t>, es decir, para la búsqueda del bien común de aquellos cuerpos que se acercaron para su protección.</w:t>
      </w:r>
      <w:r w:rsidR="00E62B4C">
        <w:rPr>
          <w:rStyle w:val="Refdenotaalpie"/>
        </w:rPr>
        <w:footnoteReference w:id="40"/>
      </w:r>
      <w:r w:rsidR="00E62B4C">
        <w:t xml:space="preserve"> </w:t>
      </w:r>
      <w:r w:rsidR="0031024E">
        <w:t>La autoridad se consideraba un resultado adquirido por la rectitud, fortaleza, justicia, prudencia, sabiduría, honor y demás demostraciones de la excelencia del rey.</w:t>
      </w:r>
      <w:r w:rsidR="00AD59DB">
        <w:rPr>
          <w:rStyle w:val="Refdenotaalpie"/>
        </w:rPr>
        <w:footnoteReference w:id="41"/>
      </w:r>
    </w:p>
    <w:p w14:paraId="07B05B43" w14:textId="7B5C697F" w:rsidR="005C7A61" w:rsidRDefault="005C7A61" w:rsidP="008C6989">
      <w:r>
        <w:t xml:space="preserve">Aunque en términos </w:t>
      </w:r>
      <w:r w:rsidR="00F17CD6">
        <w:t>ideales</w:t>
      </w:r>
      <w:r>
        <w:t xml:space="preserve"> la potestad no requiere autoridad y viceversa, poco sentido tendría un soberano o magistrados carentes de alguna de estas dos características. Siguiendo el sentido del discurso de antiguo régimen, la mera potestad hace al juez o al gobernador como mero ejecutor, mientras la pura autoridad le deja sin capacidad para hacer justicia. Es entonces común que la autoridad se mencione como dignidad, es decir, el respeto inherente a un empleo; en tanto la potestad puede equipararse a la facultad, las dádivas jurisdiccionales </w:t>
      </w:r>
      <w:r>
        <w:lastRenderedPageBreak/>
        <w:t>que permiten juzgar y gobernar a los vasallos asignados.</w:t>
      </w:r>
      <w:r w:rsidR="00F17CD6">
        <w:rPr>
          <w:rStyle w:val="Refdenotaalpie"/>
        </w:rPr>
        <w:footnoteReference w:id="42"/>
      </w:r>
      <w:r>
        <w:t xml:space="preserve"> Por lo tanto, la </w:t>
      </w:r>
      <w:r w:rsidRPr="00AC23AE">
        <w:rPr>
          <w:i/>
        </w:rPr>
        <w:t>iurisdictio</w:t>
      </w:r>
      <w:r>
        <w:t>, entendida como proceso de poder, refiere a la autoridad y la potestad, entendidas como legitimidad y poder, o en términos weberianos, como “dominio carismático” y poder político. Valga recordar que Weber toma el concepto de carisma desde el sentido del “cristianismo primitivo”, es decir, como donación graciosa (</w:t>
      </w:r>
      <w:r>
        <w:rPr>
          <w:i/>
        </w:rPr>
        <w:t>Gnadegabe</w:t>
      </w:r>
      <w:r>
        <w:t>),</w:t>
      </w:r>
      <w:r>
        <w:rPr>
          <w:rStyle w:val="Refdenotaalpie"/>
        </w:rPr>
        <w:footnoteReference w:id="43"/>
      </w:r>
      <w:r>
        <w:t xml:space="preserve"> el cual derivará hacia el sentido de clemencia (</w:t>
      </w:r>
      <w:r>
        <w:rPr>
          <w:i/>
        </w:rPr>
        <w:t>Gnade</w:t>
      </w:r>
      <w:r>
        <w:t xml:space="preserve">) de manera similar al proceso vivido por el concepto de gracia en las lenguas romances; en particular en el italiano, que conserva el sentido de </w:t>
      </w:r>
      <w:r>
        <w:rPr>
          <w:i/>
        </w:rPr>
        <w:t>grazia</w:t>
      </w:r>
      <w:r>
        <w:t xml:space="preserve"> como perdón.</w:t>
      </w:r>
      <w:r>
        <w:rPr>
          <w:rStyle w:val="Refdenotaalpie"/>
        </w:rPr>
        <w:footnoteReference w:id="44"/>
      </w:r>
    </w:p>
    <w:p w14:paraId="7374AE98" w14:textId="4CBF1F20" w:rsidR="00FB5FC0" w:rsidRDefault="00BB2379" w:rsidP="00D104D8">
      <w:r>
        <w:t>La autoridad por otra parte tenía el sentido de atraer a súbditos y exten</w:t>
      </w:r>
      <w:r w:rsidR="008171B6">
        <w:t>der sobre ellos su dominio</w:t>
      </w:r>
      <w:r>
        <w:t>. Si el rey, por el contrario, asumía un ejercicio irrefrenable de la fuerza podía desembocar en la tiranía,</w:t>
      </w:r>
      <w:r w:rsidR="008171B6">
        <w:rPr>
          <w:rStyle w:val="Refdenotaalpie"/>
        </w:rPr>
        <w:footnoteReference w:id="45"/>
      </w:r>
      <w:r>
        <w:t xml:space="preserve"> ya que al estar desprovisto de virtudes el príncipe caía en la figura del rey no cristiano, el cual podía incluso ser asesinado legítimamente según los “tiranicidas” </w:t>
      </w:r>
      <w:r w:rsidR="00173318">
        <w:t>de los</w:t>
      </w:r>
      <w:r>
        <w:t xml:space="preserve"> siglo</w:t>
      </w:r>
      <w:r w:rsidR="00173318">
        <w:t>s</w:t>
      </w:r>
      <w:r>
        <w:t xml:space="preserve"> XVI y</w:t>
      </w:r>
      <w:r w:rsidR="00173318">
        <w:t xml:space="preserve"> XVII, o por lo menos justificar la revuelta cuando alguno de sus facultados actuaba de manera abusiva sobre los vasallos (Fuenteovejuna</w:t>
      </w:r>
      <w:r w:rsidR="00145F80">
        <w:t xml:space="preserve"> ilustra sin duda este punto).</w:t>
      </w:r>
      <w:r w:rsidR="00145F80">
        <w:rPr>
          <w:rStyle w:val="Refdenotaalpie"/>
        </w:rPr>
        <w:footnoteReference w:id="46"/>
      </w:r>
      <w:r w:rsidR="00145F80">
        <w:t xml:space="preserve">  En este sentido, la clemencia contribuía a atraer a los súbditos, no sólo aquellos que habían delinquido, también aquellos que se habían rehusado a la “protección” del monarca como los grupos indígenas que se resistían a ser reducidos. Es conocida la instrucción dada a los enviados a pacificar a las tribus rebeldes para que utilizaran medios suaves que permitieran atraer a los indígenas y con ello “seducirlos” en lugar de someterlos. Evidentemente</w:t>
      </w:r>
      <w:r w:rsidR="00EE5D2F">
        <w:t>,</w:t>
      </w:r>
      <w:r w:rsidR="00145F80">
        <w:t xml:space="preserve"> la estrategia amorosa no </w:t>
      </w:r>
      <w:r w:rsidR="00EE5D2F">
        <w:t>con</w:t>
      </w:r>
      <w:r w:rsidR="00145F80">
        <w:t xml:space="preserve">llevaba a los efectos inmediatos que requerían </w:t>
      </w:r>
      <w:r w:rsidR="007D2D31">
        <w:t xml:space="preserve">algunos </w:t>
      </w:r>
      <w:r w:rsidR="00145F80">
        <w:t xml:space="preserve">colonos </w:t>
      </w:r>
      <w:r w:rsidR="007D2D31">
        <w:t xml:space="preserve">que prefirieron </w:t>
      </w:r>
      <w:r w:rsidR="00145F80">
        <w:t>las expediciones para “pacificar” las tribus rebeldes ant</w:t>
      </w:r>
      <w:r w:rsidR="007D2D31">
        <w:t xml:space="preserve">es que negociar su sometimiento, sin embargo, como lo indicó Abelardo Levaggi, la norma del gobierno borbónico consistió en buscar los acuerdos entre los indígenas y la república de </w:t>
      </w:r>
      <w:r w:rsidR="007D2D31">
        <w:lastRenderedPageBreak/>
        <w:t>españoles antes que involucrarse en expediciones de pacificación forzosa;</w:t>
      </w:r>
      <w:r w:rsidR="007D2D31">
        <w:rPr>
          <w:rStyle w:val="Refdenotaalpie"/>
        </w:rPr>
        <w:footnoteReference w:id="47"/>
      </w:r>
      <w:r w:rsidR="007D2D31">
        <w:t xml:space="preserve"> estrategia que de cierta manera fue replicada con las comunidades de negros cimarrones.</w:t>
      </w:r>
      <w:r w:rsidR="00EE5D2F">
        <w:rPr>
          <w:rStyle w:val="Refdenotaalpie"/>
        </w:rPr>
        <w:footnoteReference w:id="48"/>
      </w:r>
    </w:p>
    <w:p w14:paraId="7B3100BB" w14:textId="2BAABDCC" w:rsidR="005114AE" w:rsidRDefault="004A4897" w:rsidP="008C6989">
      <w:r>
        <w:t>Aunque en el orden normativo del antiguo régimen se consideraba que la autoridad estaba por encima de la potestad y era siempre preferible convencer a los súbditos que obligarlos al sometimiento por la fuerza, las armas o los suplicios,</w:t>
      </w:r>
      <w:r>
        <w:rPr>
          <w:rStyle w:val="Refdenotaalpie"/>
        </w:rPr>
        <w:footnoteReference w:id="49"/>
      </w:r>
      <w:r>
        <w:t xml:space="preserve"> queda en evidencia que durante la “era de la autoridad”</w:t>
      </w:r>
      <w:r>
        <w:rPr>
          <w:rStyle w:val="Refdenotaalpie"/>
        </w:rPr>
        <w:footnoteReference w:id="50"/>
      </w:r>
      <w:r>
        <w:t xml:space="preserve"> el refuerzo administrativo de la monarquía hispánica en América vino acompasado por una percepción que prefería el ejercicio riguroso de la potestad antes que de los medios moderados y misericordiosos. Aunque la</w:t>
      </w:r>
      <w:r w:rsidR="004112E8">
        <w:t>s</w:t>
      </w:r>
      <w:r>
        <w:t xml:space="preserve"> idea</w:t>
      </w:r>
      <w:r w:rsidR="004112E8">
        <w:t>s</w:t>
      </w:r>
      <w:r>
        <w:t xml:space="preserve"> de un “despotismo ilustrado” </w:t>
      </w:r>
      <w:r w:rsidR="004112E8">
        <w:t xml:space="preserve">o “absolutismo monárquico” comprendan un valor esencialmente negativo que no necesariamente corresponden con </w:t>
      </w:r>
      <w:r w:rsidR="006D50E5">
        <w:t>la política</w:t>
      </w:r>
      <w:r w:rsidR="004112E8">
        <w:t xml:space="preserve"> de la época,</w:t>
      </w:r>
      <w:r w:rsidR="004112E8">
        <w:rPr>
          <w:rStyle w:val="Refdenotaalpie"/>
        </w:rPr>
        <w:footnoteReference w:id="51"/>
      </w:r>
      <w:r w:rsidR="004112E8">
        <w:t xml:space="preserve"> caracterizada</w:t>
      </w:r>
      <w:r w:rsidR="006D50E5">
        <w:t xml:space="preserve"> no por un gobierno tiránico sino</w:t>
      </w:r>
      <w:r w:rsidR="004112E8">
        <w:t xml:space="preserve"> por </w:t>
      </w:r>
      <w:r w:rsidR="006D50E5">
        <w:t>el</w:t>
      </w:r>
      <w:r w:rsidR="004112E8">
        <w:t xml:space="preserve"> intenso proceso de reacomodo administrativo que convivió con la estructura jurídico-política heredada de los Austrias</w:t>
      </w:r>
      <w:r w:rsidR="006D50E5">
        <w:t>; es también evidente que hubo una transformación en la autoridad de los magistrados y oficiales reales en América que bien se puede resumir en el bando pregonado por el virrey de Nueva España, marqués de Croix: “deben saber los súbditos del gran monarca que ocupa el trono de España, que nacieron para callar y obedecer, y no para discurrir ni opinar en los altos asuntos del Gobierno.”</w:t>
      </w:r>
      <w:r w:rsidR="006D50E5">
        <w:rPr>
          <w:rStyle w:val="Refdenotaalpie"/>
        </w:rPr>
        <w:footnoteReference w:id="52"/>
      </w:r>
    </w:p>
    <w:p w14:paraId="64C39DA1" w14:textId="6BEA1FE4" w:rsidR="00C23C84" w:rsidRDefault="00F96CCB" w:rsidP="00584CAC">
      <w:r>
        <w:lastRenderedPageBreak/>
        <w:t xml:space="preserve">Para el caso del Nuevo Reino de Granada, una idea similar fue planteada por el fraile capuchino Joaquín de Finestrad tras la rebelión de los comunes de 1781, aunque de manera menos tajante que el pregón del marqués de Croix. En su obra </w:t>
      </w:r>
      <w:r>
        <w:rPr>
          <w:i/>
        </w:rPr>
        <w:t>El vasallo instruido</w:t>
      </w:r>
      <w:r>
        <w:t xml:space="preserve"> diría que “no hay cosa más perfecta ni más digna de aplauso que obedecer sin resistencia, sin tardanza, sin ficción y opuesta voluntad.”</w:t>
      </w:r>
      <w:r>
        <w:rPr>
          <w:rStyle w:val="Refdenotaalpie"/>
        </w:rPr>
        <w:footnoteReference w:id="53"/>
      </w:r>
      <w:r w:rsidR="00584CAC">
        <w:t xml:space="preserve"> El vasallo, según Finestrad, no debía ser “atraído”, éste debía obedecer y respetar la dignidad de la Real persona porque el poder regio-paternal provenía del derecho divino y por lo tanto, diría el fraile, “lejos, pues, de toda arrogancia contumaz, debemos respetar la Real persona con un respeto proporcionado a la eminencia de su dignidad.</w:t>
      </w:r>
      <w:r w:rsidR="00EE5D2F">
        <w:rPr>
          <w:rStyle w:val="Refdenotaalpie"/>
        </w:rPr>
        <w:footnoteReference w:id="54"/>
      </w:r>
      <w:r w:rsidR="00584CAC">
        <w:t xml:space="preserve">  El Rey es viva imagen de Dios, Ministro suyo, Vicario y Depositario suyo en la tierra; ¿por qué no le ha de ser debida la veneración más profunda?”</w:t>
      </w:r>
      <w:r w:rsidR="00584CAC">
        <w:rPr>
          <w:rStyle w:val="Refdenotaalpie"/>
        </w:rPr>
        <w:footnoteReference w:id="55"/>
      </w:r>
      <w:r w:rsidR="00584CAC">
        <w:t xml:space="preserve"> Se lamentaba además de que el perdón general dado a los rebeldes se hubiese dado sin un arrepentimiento manifiesto de la mayoría y les advertía a los vasallos que el indulto regio no les garantizaba el divino: Sin penitencia no muda Dios de sentencia, ni se le obliga a que suspenda el rigor, pues el arrepentimiento seguramente desarma sus justos enojos.”</w:t>
      </w:r>
      <w:r w:rsidR="00584CAC">
        <w:rPr>
          <w:rStyle w:val="Refdenotaalpie"/>
        </w:rPr>
        <w:footnoteReference w:id="56"/>
      </w:r>
    </w:p>
    <w:p w14:paraId="47520335" w14:textId="36B725DA" w:rsidR="008B51AA" w:rsidRDefault="0092506C" w:rsidP="00584CAC">
      <w:r>
        <w:t>Parece observarse una tendencia entre los “juristas ilustrados” a manifestarse en contra del perdón, aunque lo aceptaron finalmente como un mal necesario, remedio contra las penas excesivas o apaciguamiento ante la ausencia de potestad.</w:t>
      </w:r>
      <w:r>
        <w:rPr>
          <w:rStyle w:val="Refdenotaalpie"/>
        </w:rPr>
        <w:footnoteReference w:id="57"/>
      </w:r>
      <w:r>
        <w:t xml:space="preserve"> De cierto modo puede leerse como una reacción ante la tendencia que había convertido el convertir perdones ya no en efluvio de la autoridad sino en sinónimo del sometimiento de los magistrados y oficiales regios a la potestad de los rebeldes. Gibrán Bautista y Lugo interpretó este fenómeno, específicamente relacionado con el tumulto en México de 1624 y el perdón general de 1627, como una transformación del alzamiento de delito a derecho y del perdón de gracia a obligación.</w:t>
      </w:r>
      <w:r>
        <w:rPr>
          <w:rStyle w:val="Refdenotaalpie"/>
        </w:rPr>
        <w:footnoteReference w:id="58"/>
      </w:r>
      <w:r w:rsidR="00546CA2">
        <w:t xml:space="preserve"> </w:t>
      </w:r>
      <w:r w:rsidR="008B51AA">
        <w:t xml:space="preserve">Aunque en efecto el perdón novohispano de 1627, como el dado a los sublevados de </w:t>
      </w:r>
      <w:r w:rsidR="008B51AA">
        <w:lastRenderedPageBreak/>
        <w:t>Cartagena de 1749 y tantos otros en territorio americano, se otorgó por no encontrar otra salida al conflicto, se podría interpretar como uno de los “usos” del perdón, si se sigue la doctrina de Nieremberg. Este autor diría que uno de los dos usos del indulto sería utilizarlo “quando es necesario perdonar por inconvenientes que se temen, y no se halla mejor salida, que hazer de clemente.”</w:t>
      </w:r>
      <w:r w:rsidR="008B51AA">
        <w:rPr>
          <w:rStyle w:val="Refdenotaalpie"/>
        </w:rPr>
        <w:footnoteReference w:id="59"/>
      </w:r>
      <w:r w:rsidR="008B51AA">
        <w:t xml:space="preserve"> En este sentido, el perdón no nac</w:t>
      </w:r>
      <w:r w:rsidR="00D13A56">
        <w:t>ía</w:t>
      </w:r>
      <w:r w:rsidR="008B51AA">
        <w:t xml:space="preserve"> de la virtud y la autoridad sino de la razón de estado, contrario al </w:t>
      </w:r>
      <w:r w:rsidR="00D13A56">
        <w:t>perdón surgido de la clemencia que se hacía con el propósito de aliviar los rigores de los vasallos.</w:t>
      </w:r>
    </w:p>
    <w:p w14:paraId="3EAA284E" w14:textId="3051F55A" w:rsidR="00584CAC" w:rsidRPr="00546CA2" w:rsidRDefault="00546CA2" w:rsidP="00584CAC">
      <w:r>
        <w:t>Por otra parte, la permanente concesión de perdones “arruinó” su sentido de excepcionalidad y gracia transformándolo en costumbre.</w:t>
      </w:r>
      <w:r>
        <w:rPr>
          <w:rStyle w:val="Refdenotaalpie"/>
        </w:rPr>
        <w:footnoteReference w:id="60"/>
      </w:r>
      <w:r>
        <w:t xml:space="preserve"> De cierta manera quedaba en evidencia el desequilibrio entre temor y amor, por lo cual el </w:t>
      </w:r>
      <w:r>
        <w:rPr>
          <w:i/>
        </w:rPr>
        <w:t>habitus</w:t>
      </w:r>
      <w:r>
        <w:t xml:space="preserve"> de obediencia sustentado en dicha dialéctica se veía descompensado ante una posible esperanza de libertad ya ni siquiera por efectos del perdón como por la impotencia para el castigo. No es extraño entonces que ante esta paradoja en la que se amenazaba con el castigo pero se castigaba poco,</w:t>
      </w:r>
      <w:r>
        <w:rPr>
          <w:rStyle w:val="Refdenotaalpie"/>
        </w:rPr>
        <w:footnoteReference w:id="61"/>
      </w:r>
      <w:r>
        <w:t xml:space="preserve"> ilustrados como Feijoo reaccionaran pidiendo que se considerara</w:t>
      </w:r>
      <w:r w:rsidR="002173DE">
        <w:t xml:space="preserve"> a la clemencia</w:t>
      </w:r>
      <w:r>
        <w:t xml:space="preserve"> “casi privativamente propia de Dios” y en todo caso como facultad exclusiva</w:t>
      </w:r>
      <w:r w:rsidR="00EA3A7D">
        <w:t>, aunque limitada para ciertos delitos,</w:t>
      </w:r>
      <w:r>
        <w:t xml:space="preserve"> de los reyes </w:t>
      </w:r>
      <w:r w:rsidR="00E572D7">
        <w:t>por su cualidad de soberanos (jueces que no pueden ser juzgados sino por Dios)</w:t>
      </w:r>
      <w:r w:rsidR="00E572D7">
        <w:rPr>
          <w:rStyle w:val="Refdenotaalpie"/>
        </w:rPr>
        <w:footnoteReference w:id="62"/>
      </w:r>
      <w:r w:rsidR="002173DE">
        <w:t>,</w:t>
      </w:r>
      <w:r w:rsidR="00EA3A7D">
        <w:t xml:space="preserve"> ausente de los “ministros inferiores” ya que “el que está sujeto á las leyes carece de arbitrio para las piedades.”</w:t>
      </w:r>
      <w:r w:rsidR="00EA3A7D">
        <w:rPr>
          <w:rStyle w:val="Refdenotaalpie"/>
        </w:rPr>
        <w:footnoteReference w:id="63"/>
      </w:r>
      <w:r w:rsidR="002173DE">
        <w:t xml:space="preserve"> </w:t>
      </w:r>
    </w:p>
    <w:p w14:paraId="20D90E0E" w14:textId="77777777" w:rsidR="00584CAC" w:rsidRDefault="00584CAC" w:rsidP="00584CAC"/>
    <w:p w14:paraId="08E0D98D" w14:textId="26633446" w:rsidR="00FF75DB" w:rsidRDefault="00FF75DB" w:rsidP="00F32E78">
      <w:pPr>
        <w:pStyle w:val="Ttulo2"/>
        <w:numPr>
          <w:ilvl w:val="1"/>
          <w:numId w:val="28"/>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11436720" w14:textId="77777777"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xml:space="preserve">, las cuales no se limitaban al fuero interno del soberano en tanto se </w:t>
      </w:r>
      <w:r w:rsidR="00FF75DB" w:rsidRPr="000E0A21">
        <w:rPr>
          <w:highlight w:val="yellow"/>
        </w:rPr>
        <w:lastRenderedPageBreak/>
        <w:t>evidenciaban en la pragmática del poder regio</w:t>
      </w:r>
      <w:r w:rsidR="00F4170E" w:rsidRPr="000E0A21">
        <w:rPr>
          <w:highlight w:val="yellow"/>
        </w:rPr>
        <w:t>.</w:t>
      </w:r>
      <w:r w:rsidR="001E0330">
        <w:t xml:space="preserve"> </w:t>
      </w:r>
      <w:r w:rsidR="003E6DF7">
        <w:t xml:space="preserve">Nieremberg explicó que el príncipe debía ser especialmente virtuoso porque además de individuo era una persona pública y al mismo tiempo era ejemplo de la nobleza y ésta del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Pr>
          <w:rStyle w:val="Refdenotaalpie"/>
        </w:rPr>
        <w:footnoteReference w:id="64"/>
      </w:r>
    </w:p>
    <w:p w14:paraId="76336F6E" w14:textId="77777777" w:rsidR="00D61588" w:rsidRDefault="00D61588" w:rsidP="00D61588"/>
    <w:p w14:paraId="0280E545" w14:textId="15265193" w:rsidR="00BE1540" w:rsidRDefault="00BE1540" w:rsidP="002A3D12">
      <w:r>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Pr>
          <w:rStyle w:val="Refdenotaalpie"/>
        </w:rPr>
        <w:footnoteReference w:id="65"/>
      </w:r>
      <w:r w:rsidR="00057411">
        <w:t xml:space="preserve"> </w:t>
      </w:r>
    </w:p>
    <w:p w14:paraId="01D9F703" w14:textId="33C526CC" w:rsidR="00B75D5F" w:rsidRDefault="001E0330" w:rsidP="002A3D12">
      <w:r>
        <w:t>El príncipe debía recurrir a las virtudes para gobernar en justicia porque su obra no se consideraba exclusivamente terrena, en este sentido vale la premisa</w:t>
      </w:r>
      <w:r w:rsidR="00631397">
        <w:t xml:space="preserve"> de Ribadeneyra</w:t>
      </w:r>
      <w:r w:rsidR="0062417A">
        <w:t>:</w:t>
      </w:r>
      <w:r>
        <w:t xml:space="preserve"> “El ser y poder del Rey, es una participacion del ser y poder divino: y assi re</w:t>
      </w:r>
      <w:r w:rsidR="00EB3385">
        <w:t>q</w:t>
      </w:r>
      <w:r>
        <w:t>uiere favor del Cielo, y divino, para poderle dignamente sustentar.”</w:t>
      </w:r>
      <w:r>
        <w:rPr>
          <w:rStyle w:val="Refdenotaalpie"/>
        </w:rPr>
        <w:footnoteReference w:id="66"/>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67"/>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w:t>
      </w:r>
      <w:r w:rsidR="00593D82">
        <w:lastRenderedPageBreak/>
        <w:t>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68"/>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69"/>
      </w:r>
    </w:p>
    <w:p w14:paraId="7A142C85" w14:textId="2263FE57" w:rsidR="00057411"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70"/>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71"/>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 xml:space="preserve">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w:t>
      </w:r>
      <w:r>
        <w:lastRenderedPageBreak/>
        <w:t>con el temor de Dios, teme el ofender, é injuriar por amor de Dios;</w:t>
      </w:r>
      <w:r>
        <w:rPr>
          <w:rStyle w:val="Refdenotaalpie"/>
        </w:rPr>
        <w:footnoteReference w:id="72"/>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Pr>
          <w:rStyle w:val="Refdenotaalpie"/>
        </w:rPr>
        <w:footnoteReference w:id="73"/>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6E89FC95"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74"/>
      </w:r>
      <w:r w:rsidR="009639EA">
        <w:t xml:space="preserve"> remite a su frase</w:t>
      </w:r>
      <w:r>
        <w:t xml:space="preserve">: “La clemencia es la moderación del ánimo para ejercer la potestad de venganza, o la blandura del superior respecto al inferior </w:t>
      </w:r>
      <w:r w:rsidR="00CC2DB7">
        <w:t>en la determinación de una pena</w:t>
      </w:r>
      <w:r w:rsidR="00D23EB3">
        <w:t>.</w:t>
      </w:r>
      <w:r>
        <w:t>”</w:t>
      </w:r>
      <w:r>
        <w:rPr>
          <w:rStyle w:val="Refdenotaalpie"/>
          <w:lang w:eastAsia="es-ES"/>
        </w:rPr>
        <w:footnoteReference w:id="75"/>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76"/>
      </w:r>
      <w:r w:rsidR="00F96FD3">
        <w:t xml:space="preserve"> </w:t>
      </w:r>
      <w:r w:rsidR="00B81CD1">
        <w:lastRenderedPageBreak/>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77"/>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78"/>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79"/>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80"/>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81"/>
      </w:r>
      <w:r w:rsidR="00FE4247">
        <w:t xml:space="preserve"> </w:t>
      </w:r>
    </w:p>
    <w:p w14:paraId="016B5DF5" w14:textId="55F21200" w:rsidR="00B94D0E" w:rsidRDefault="00D10A0A" w:rsidP="005779E7">
      <w:r>
        <w:lastRenderedPageBreak/>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82"/>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“La misericordia y la verdad custodian al rey, y la clemencia es la fortaleza del trono.”</w:t>
      </w:r>
      <w:r w:rsidR="004A499C" w:rsidRPr="002B6C75">
        <w:rPr>
          <w:rStyle w:val="Refdenotaalpie"/>
        </w:rPr>
        <w:footnoteReference w:id="83"/>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84"/>
      </w:r>
      <w:r w:rsidR="00E342B0">
        <w:t xml:space="preserve"> Lo anterior fue destacado por Garsia Mastrillo en su afamado tratado </w:t>
      </w:r>
      <w:r w:rsidR="00E342B0">
        <w:rPr>
          <w:i/>
        </w:rPr>
        <w:t>Ad indultum generale</w:t>
      </w:r>
      <w:r w:rsidR="00E342B0">
        <w:t xml:space="preserve"> al afirmar que “</w:t>
      </w:r>
      <w:r w:rsidR="00E342B0" w:rsidRPr="00E342B0">
        <w:t>la clemencia es la manera como la divinidad adorna al Príncipe y asegura su excelencia, constituye modelo e imitación del mismo Dios en la observancia de los súbditos, une el amor a la seguridad y es un medio eficacísimo para constreñir a los malvados.</w:t>
      </w:r>
      <w:r w:rsidR="00E342B0">
        <w:t>”</w:t>
      </w:r>
      <w:r w:rsidR="00E342B0">
        <w:rPr>
          <w:rStyle w:val="Refdenotaalpie"/>
        </w:rPr>
        <w:footnoteReference w:id="85"/>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86"/>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87"/>
      </w:r>
      <w:r w:rsidR="004A499C" w:rsidRPr="00B9631D">
        <w:t xml:space="preserve"> La diferencia se enmarca </w:t>
      </w:r>
      <w:r w:rsidR="004A499C" w:rsidRPr="00B9631D">
        <w:lastRenderedPageBreak/>
        <w:t>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88"/>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89"/>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90"/>
      </w:r>
      <w:r>
        <w:t xml:space="preserve"> Se comprendía que la humanidad había sido condenada desde su origen por el pecado de Adán,</w:t>
      </w:r>
      <w:r>
        <w:rPr>
          <w:rStyle w:val="Refdenotaalpie"/>
        </w:rPr>
        <w:footnoteReference w:id="91"/>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92"/>
      </w:r>
      <w:r>
        <w:t xml:space="preserve"> </w:t>
      </w:r>
    </w:p>
    <w:p w14:paraId="3AB56B1F" w14:textId="0025CF02" w:rsidR="000B2B9E" w:rsidRDefault="000B2B9E" w:rsidP="000B2B9E">
      <w:r>
        <w:t xml:space="preserve">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w:t>
      </w:r>
      <w:r>
        <w:lastRenderedPageBreak/>
        <w:t>incluso la legislación, aconsejaban al juez a actuar con misericordia pues se concebía que la benevolencia y la piedad prevalecía sobre la severidad</w:t>
      </w:r>
      <w:r w:rsidR="00A3216A">
        <w:t>.</w:t>
      </w:r>
      <w:r>
        <w:rPr>
          <w:rStyle w:val="Refdenotaalpie"/>
        </w:rPr>
        <w:footnoteReference w:id="93"/>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94"/>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95"/>
      </w:r>
    </w:p>
    <w:p w14:paraId="768667A4" w14:textId="1D9E24A7"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5B6AAC">
        <w:rPr>
          <w:rStyle w:val="Refdenotaalpie"/>
        </w:rPr>
        <w:footnoteReference w:id="96"/>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97"/>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98"/>
      </w:r>
      <w:r w:rsidR="0042190A" w:rsidRPr="00B9631D">
        <w:t xml:space="preserve"> la cual consideraba que caía en crueldad aquel que aplicaba de la manera más estricta las leyes sin atender a ningún </w:t>
      </w:r>
      <w:r w:rsidR="0042190A" w:rsidRPr="00B9631D">
        <w:lastRenderedPageBreak/>
        <w:t xml:space="preserve">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99"/>
      </w:r>
      <w:r w:rsidR="0042190A" w:rsidRPr="00B9631D">
        <w:t>.</w:t>
      </w:r>
      <w:r w:rsidR="008E4E99">
        <w:t xml:space="preserve"> Castillo de Bovadilla advertía que “por causa del mucho rigor pueden los Jueces ser privados de los Oficios;”</w:t>
      </w:r>
      <w:r w:rsidR="008E4E99">
        <w:rPr>
          <w:rStyle w:val="Refdenotaalpie"/>
        </w:rPr>
        <w:footnoteReference w:id="100"/>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101"/>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102"/>
      </w:r>
      <w:r w:rsidR="008E4E99">
        <w:t xml:space="preserve"> </w:t>
      </w:r>
    </w:p>
    <w:p w14:paraId="620693C6" w14:textId="696D3621"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103"/>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104"/>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105"/>
      </w:r>
      <w:r w:rsidRPr="00B9631D">
        <w:t xml:space="preserve"> La justicia penal parte del principio que si los hombres se gobernaran de acuerdo a la ley natural, divina y humana, no sería necesario la </w:t>
      </w:r>
      <w:r w:rsidRPr="00B9631D">
        <w:lastRenderedPageBreak/>
        <w:t xml:space="preserve">imposición de las penas,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2B6C75">
        <w:rPr>
          <w:rStyle w:val="Refdenotaalpie"/>
        </w:rPr>
        <w:footnoteReference w:id="106"/>
      </w:r>
      <w:r w:rsidRPr="00B9631D">
        <w:t xml:space="preserve"> En este sentido, la misericordia excesiva se opondría a la justicia y se equipararía a la crueldad y la tiranía</w:t>
      </w:r>
      <w:r w:rsidR="009971E4">
        <w:t>,</w:t>
      </w:r>
      <w:r w:rsidRPr="002B6C75">
        <w:rPr>
          <w:rStyle w:val="Refdenotaalpie"/>
        </w:rPr>
        <w:footnoteReference w:id="107"/>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108"/>
      </w:r>
      <w:r w:rsidRPr="00B9631D">
        <w:t xml:space="preserve"> lo cual contradeciría un principio básico de la clemencia real que radicaba en surgir de la mera voluntad del monarca</w:t>
      </w:r>
      <w:r w:rsidR="009971E4">
        <w:t>.</w:t>
      </w:r>
      <w:r w:rsidRPr="002B6C75">
        <w:rPr>
          <w:rStyle w:val="Refdenotaalpie"/>
        </w:rPr>
        <w:footnoteReference w:id="109"/>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110"/>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111"/>
      </w:r>
      <w:r w:rsidRPr="00B9631D">
        <w:t>.</w:t>
      </w:r>
      <w:r w:rsidR="003A403C">
        <w:t xml:space="preserve"> </w:t>
      </w:r>
      <w:r w:rsidRPr="00B9631D">
        <w:t xml:space="preserve">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w:t>
      </w:r>
      <w:r w:rsidRPr="00B9631D">
        <w:lastRenderedPageBreak/>
        <w:t>son los menos; y padecen todos, quando no padecen á manos de la justicia algunos”</w:t>
      </w:r>
      <w:r w:rsidRPr="002B6C75">
        <w:rPr>
          <w:rStyle w:val="Refdenotaalpie"/>
        </w:rPr>
        <w:footnoteReference w:id="112"/>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113"/>
      </w:r>
      <w:r w:rsidRPr="00B9631D">
        <w:t>. Además, la severidad no contradeciría la misericordia puesto que la aplicación recta de justicia no implicaba dureza de corazón</w:t>
      </w:r>
      <w:r w:rsidRPr="002B6C75">
        <w:rPr>
          <w:rStyle w:val="Refdenotaalpie"/>
        </w:rPr>
        <w:footnoteReference w:id="114"/>
      </w:r>
      <w:r w:rsidRPr="00B9631D">
        <w:t>.</w:t>
      </w:r>
    </w:p>
    <w:p w14:paraId="285BEE5A" w14:textId="2605AC10" w:rsidR="00926DD1" w:rsidRPr="00926DD1" w:rsidRDefault="00926DD1" w:rsidP="00C54558">
      <w:pPr>
        <w:rPr>
          <w:color w:val="FF0000"/>
        </w:rPr>
      </w:pPr>
      <w:r w:rsidRPr="00D104D8">
        <w:rPr>
          <w:color w:val="FF0000"/>
          <w:highlight w:val="yellow"/>
        </w:rPr>
        <w:t xml:space="preserve">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otorgamiento depende única y exclusivamente de su voluntad regia.”</w:t>
      </w:r>
      <w:r w:rsidR="00803188" w:rsidRPr="00D104D8">
        <w:rPr>
          <w:rStyle w:val="Refdenotaalpie"/>
          <w:color w:val="FF0000"/>
          <w:highlight w:val="yellow"/>
        </w:rPr>
        <w:footnoteReference w:id="115"/>
      </w:r>
      <w:r w:rsidRPr="00D104D8">
        <w:rPr>
          <w:color w:val="FF0000"/>
          <w:highlight w:val="yellow"/>
        </w:rPr>
        <w:t xml:space="preserve"> </w:t>
      </w:r>
      <w:r w:rsidR="00803188" w:rsidRPr="00D104D8">
        <w:rPr>
          <w:color w:val="FF0000"/>
          <w:highlight w:val="yellow"/>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sidRPr="00D104D8">
        <w:rPr>
          <w:color w:val="FF0000"/>
          <w:highlight w:val="yellow"/>
        </w:rPr>
        <w:t>ía cuestionarse si la</w:t>
      </w:r>
      <w:r w:rsidR="00803188" w:rsidRPr="00D104D8">
        <w:rPr>
          <w:color w:val="FF0000"/>
          <w:highlight w:val="yellow"/>
        </w:rPr>
        <w:t xml:space="preserve"> </w:t>
      </w:r>
      <w:r w:rsidR="00912806" w:rsidRPr="00D104D8">
        <w:rPr>
          <w:color w:val="FF0000"/>
          <w:highlight w:val="yellow"/>
        </w:rPr>
        <w:t>clemencia</w:t>
      </w:r>
      <w:r w:rsidR="00803188" w:rsidRPr="00D104D8">
        <w:rPr>
          <w:color w:val="FF0000"/>
          <w:highlight w:val="yellow"/>
        </w:rPr>
        <w:t xml:space="preserve"> podría </w:t>
      </w:r>
      <w:r w:rsidR="00912806" w:rsidRPr="00D104D8">
        <w:rPr>
          <w:color w:val="FF0000"/>
          <w:highlight w:val="yellow"/>
        </w:rPr>
        <w:t xml:space="preserve">exaltar la munificencia </w:t>
      </w:r>
      <w:r w:rsidR="00803188" w:rsidRPr="00D104D8">
        <w:rPr>
          <w:color w:val="FF0000"/>
          <w:highlight w:val="yellow"/>
        </w:rPr>
        <w:t xml:space="preserve">en un </w:t>
      </w:r>
      <w:r w:rsidR="00912806" w:rsidRPr="00D104D8">
        <w:rPr>
          <w:color w:val="FF0000"/>
          <w:highlight w:val="yellow"/>
        </w:rPr>
        <w:t>sistema político-jurídico, 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116"/>
      </w:r>
      <w:r w:rsidR="00302F7B">
        <w:t xml:space="preserve"> </w:t>
      </w:r>
      <w:r w:rsidR="00C54558">
        <w:t>En este sentido, trascendía</w:t>
      </w:r>
      <w:r w:rsidR="00302F7B">
        <w:t xml:space="preserve"> los límites ordinarios de la justicia y el gobierno pero lo hacían con la finalidad de sublimar </w:t>
      </w:r>
      <w:r w:rsidR="00302F7B">
        <w:lastRenderedPageBreak/>
        <w:t>el orden.</w:t>
      </w:r>
      <w:r w:rsidR="00302F7B">
        <w:rPr>
          <w:rStyle w:val="Refdenotaalpie"/>
        </w:rPr>
        <w:footnoteReference w:id="117"/>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118"/>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119"/>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120"/>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121"/>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122"/>
      </w:r>
      <w:r w:rsidR="0022561B">
        <w:t xml:space="preserve"> El exceso de gracia, como lo identificaron los hombres de </w:t>
      </w:r>
      <w:r w:rsidR="0022561B">
        <w:lastRenderedPageBreak/>
        <w:t>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123"/>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124"/>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125"/>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126"/>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 xml:space="preserve">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w:t>
      </w:r>
      <w:r>
        <w:lastRenderedPageBreak/>
        <w:t>conservar el orden de la república. Esta función armonizadora de la gracia representaba una “realización de la justicia” mediante la acción al margen del derecho que redundaba en la utilidad pública.</w:t>
      </w:r>
      <w:r>
        <w:rPr>
          <w:rStyle w:val="Refdenotaalpie"/>
        </w:rPr>
        <w:footnoteReference w:id="127"/>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128"/>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 xml:space="preserve">n general debe el </w:t>
      </w:r>
      <w:bookmarkStart w:id="1" w:name="_GoBack"/>
      <w:bookmarkEnd w:id="1"/>
      <w:r w:rsidR="004956DE">
        <w:t>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129"/>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130"/>
      </w:r>
    </w:p>
    <w:p w14:paraId="75D953E4" w14:textId="77777777" w:rsidR="00E74691" w:rsidRDefault="00E74691" w:rsidP="000A1CF6"/>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164E65FB" w14:textId="77777777" w:rsidR="003329DC" w:rsidRDefault="003329DC" w:rsidP="0064159E">
      <w:pPr>
        <w:ind w:firstLine="0"/>
      </w:pPr>
    </w:p>
    <w:p w14:paraId="18DBA19E" w14:textId="07A8A7CB" w:rsidR="00AF1BA2" w:rsidRPr="009956C8" w:rsidRDefault="004A29CE" w:rsidP="00EC4109">
      <w:r>
        <w:t xml:space="preserve">De modo similar que el uso recurrente de los términos autoridad y potestad terminó entremezclando los sentidos de ambos en una sola idea de poder político, el indulto y el perdón por su mismo uso recurrente, terminaron correspondiendo a una sola idea de remisión de la pena y de cierta manera lo que representaban dos conceptos parece a nuestros ojos una </w:t>
      </w:r>
      <w:r>
        <w:lastRenderedPageBreak/>
        <w:t xml:space="preserve">tautología. A diferencia de la clemencia, enfocada en el plano de la virtud, el perdón y el indulto daban cuenta de una doble acción de concesión; con el último se remitía la pena y con el primero se restituía al delincuente al </w:t>
      </w:r>
      <w:r>
        <w:rPr>
          <w:i/>
        </w:rPr>
        <w:t>pristinum statum</w:t>
      </w:r>
      <w:r>
        <w:t xml:space="preserve"> anterior a la acusación y con ello se olvidaba la falta.</w:t>
      </w:r>
      <w:r w:rsidR="00AF1BA2" w:rsidRPr="009956C8">
        <w:rPr>
          <w:vertAlign w:val="superscript"/>
        </w:rPr>
        <w:footnoteReference w:id="131"/>
      </w:r>
      <w:r w:rsidR="00AF1BA2" w:rsidRPr="009956C8">
        <w:t xml:space="preserve"> </w:t>
      </w:r>
      <w:r w:rsidR="00740ACE">
        <w:t>Ahora bien, esta dicotomía no era tanto lexicográfica como conceptual (muy a tono con el binomio potestad-autoridad), aunque quedaba en evidencia tanto por su uso continuado en las cédulas de perdón general como por algunas obras doctrinales, por ejemplo</w:t>
      </w:r>
      <w:r w:rsidR="00AF1BA2" w:rsidRPr="009956C8">
        <w:t xml:space="preserve"> Murillo Velarde</w:t>
      </w:r>
      <w:r w:rsidR="003B1FDE">
        <w:t>,</w:t>
      </w:r>
      <w:r w:rsidR="00AF1BA2" w:rsidRPr="009956C8">
        <w:rPr>
          <w:vertAlign w:val="superscript"/>
        </w:rPr>
        <w:footnoteReference w:id="132"/>
      </w:r>
      <w:r w:rsidR="00AF1BA2" w:rsidRPr="009956C8">
        <w:t xml:space="preserve"> </w:t>
      </w:r>
      <w:r w:rsidR="00740ACE">
        <w:t>quien señaló que l</w:t>
      </w:r>
      <w:r w:rsidR="00AF1BA2" w:rsidRPr="009956C8">
        <w:t xml:space="preserve">a </w:t>
      </w:r>
      <w:r w:rsidR="00740ACE">
        <w:t>distinción “indulto y perdón”</w:t>
      </w:r>
      <w:r w:rsidR="00AF1BA2" w:rsidRPr="009956C8">
        <w:t xml:space="preserve">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 xml:space="preserve">No obstante, aunque tanto en los indultos públicos y generales, como en los privados y particulares, el Soberano puede perdonar, y perdona al reo la pena impuesta por la ley, le lava de la infamia y absuelve del crímen, no perdona la pena que debe aplicarse </w:t>
      </w:r>
      <w:r w:rsidRPr="009956C8">
        <w:lastRenderedPageBreak/>
        <w:t>á la parte ofendida, ú agraviada, ni priva á esta de sus derechos y acciones particulares y propias[...]</w:t>
      </w:r>
      <w:r w:rsidRPr="009956C8">
        <w:rPr>
          <w:vertAlign w:val="superscript"/>
        </w:rPr>
        <w:footnoteReference w:id="133"/>
      </w:r>
    </w:p>
    <w:p w14:paraId="356ED45F" w14:textId="77777777" w:rsidR="00AF1BA2" w:rsidRPr="009956C8" w:rsidRDefault="00AF1BA2" w:rsidP="00AF1BA2"/>
    <w:p w14:paraId="43046F46" w14:textId="31095C67"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008A2393">
        <w:t>.</w:t>
      </w:r>
      <w:r w:rsidRPr="009956C8">
        <w:rPr>
          <w:vertAlign w:val="superscript"/>
        </w:rPr>
        <w:footnoteReference w:id="134"/>
      </w:r>
    </w:p>
    <w:p w14:paraId="72958DBB" w14:textId="6E6B340B" w:rsidR="002A0AD7" w:rsidRDefault="007D6D66" w:rsidP="002A0AD7">
      <w:r>
        <w:t xml:space="preserve">Esta restitución a un estado previo a la falta implicaba ejecutar un acto de olvido, como afirmó Vicente Vizcaíno en su </w:t>
      </w:r>
      <w:r>
        <w:rPr>
          <w:i/>
        </w:rPr>
        <w:t>Código y práctica criminal</w:t>
      </w:r>
      <w:r>
        <w:t>, “por el indulto quedan los acusados exentos de la pena, se borra en cierto modo la memoria de su acusacion para no volver á tratar de ella en juicio.”</w:t>
      </w:r>
      <w:r>
        <w:rPr>
          <w:rStyle w:val="Refdenotaalpie"/>
        </w:rPr>
        <w:footnoteReference w:id="135"/>
      </w:r>
      <w:r w:rsidR="00122F85">
        <w:t xml:space="preserve"> En este mismo sentido, Juan López de Cu</w:t>
      </w:r>
      <w:r w:rsidR="00C23377">
        <w:t>éllar citó</w:t>
      </w:r>
      <w:r w:rsidR="00122F85">
        <w:t xml:space="preserve"> a Jacobo Godofredo (hijo del afamado anotador del </w:t>
      </w:r>
      <w:r w:rsidR="00122F85">
        <w:rPr>
          <w:i/>
        </w:rPr>
        <w:t>Corpus iuris civilis</w:t>
      </w:r>
      <w:r w:rsidR="00122F85">
        <w:t xml:space="preserve"> del siglo XVI) para señalar que el indulto particular a la vez que exime al acusado de la pena</w:t>
      </w:r>
      <w:r w:rsidR="00BC618D">
        <w:t xml:space="preserve"> elimina</w:t>
      </w:r>
      <w:r w:rsidR="00122F85">
        <w:t xml:space="preserve"> la acusación de la memoria (</w:t>
      </w:r>
      <w:r w:rsidR="00122F85" w:rsidRPr="00BC618D">
        <w:rPr>
          <w:i/>
        </w:rPr>
        <w:t>memoria accusationis deletur</w:t>
      </w:r>
      <w:r w:rsidR="00122F85">
        <w:t>)</w:t>
      </w:r>
      <w:r w:rsidR="00BC618D">
        <w:t>.</w:t>
      </w:r>
      <w:r w:rsidR="00BC618D">
        <w:rPr>
          <w:rStyle w:val="Refdenotaalpie"/>
        </w:rPr>
        <w:footnoteReference w:id="136"/>
      </w:r>
      <w:r w:rsidR="008B51AA">
        <w:t xml:space="preserve"> </w:t>
      </w:r>
      <w:r w:rsidR="007308B5">
        <w:t xml:space="preserve">Claramente este acto de desmemoria de la falta tenía una utilidad práctica como era evitar que el indultado fuese sometido a juicio nuevamente por cualquier ministro de justicia; sin embargo, esto no impedía que en algunas ocasiones </w:t>
      </w:r>
      <w:r w:rsidR="003654CD">
        <w:t>el</w:t>
      </w:r>
      <w:r w:rsidR="007308B5">
        <w:t xml:space="preserve"> otrora reo fuera recapturado y debiera iniciar un proceso </w:t>
      </w:r>
      <w:r w:rsidR="003654CD">
        <w:t>para recuperar el beneficio de la clemencia real.</w:t>
      </w:r>
      <w:r w:rsidR="003654CD">
        <w:rPr>
          <w:rStyle w:val="Refdenotaalpie"/>
        </w:rPr>
        <w:footnoteReference w:id="137"/>
      </w:r>
      <w:r w:rsidR="003654CD">
        <w:t xml:space="preserve"> Por ello, aunque el indulto obligaba al olvido</w:t>
      </w:r>
      <w:r w:rsidR="00AD6DE1">
        <w:rPr>
          <w:rStyle w:val="Refdenotaalpie"/>
        </w:rPr>
        <w:footnoteReference w:id="138"/>
      </w:r>
      <w:r w:rsidR="003654CD">
        <w:t xml:space="preserve"> (todo lo contrario a lo propuesto por la justicia transicional contemporánea donde el perdón está condicionado a la memoria), los indultados, si tenían la oportunidad, solicitaban un vestigio de la restitución a la gracia</w:t>
      </w:r>
      <w:r w:rsidR="00B66AD1">
        <w:t xml:space="preserve"> regia</w:t>
      </w:r>
      <w:r w:rsidR="003654CD">
        <w:t xml:space="preserve">, </w:t>
      </w:r>
      <w:r w:rsidR="00B66AD1">
        <w:t xml:space="preserve">como el papel de iglesia que se les entregó a la tropa </w:t>
      </w:r>
      <w:r w:rsidR="00B66AD1">
        <w:lastRenderedPageBreak/>
        <w:t>sublevada de Panamá en 1766 firmado por el obispo con el cual se certificaba el perdón a los soldados</w:t>
      </w:r>
      <w:r w:rsidR="00EE587C">
        <w:t>,</w:t>
      </w:r>
      <w:r w:rsidR="00B66AD1">
        <w:rPr>
          <w:rStyle w:val="Refdenotaalpie"/>
        </w:rPr>
        <w:footnoteReference w:id="139"/>
      </w:r>
      <w:r w:rsidR="00EE587C">
        <w:t xml:space="preserve"> el cual fue exigido por ellos como condición de la entrega de la plaza: “</w:t>
      </w:r>
      <w:r w:rsidR="00EE587C" w:rsidRPr="00EE587C">
        <w:t>que de este memorial y su proveido se nos den las copias que pidieremos para nuestro resguardo</w:t>
      </w:r>
      <w:r w:rsidR="00EE587C">
        <w:t xml:space="preserve"> </w:t>
      </w:r>
      <w:r w:rsidR="00EE587C" w:rsidRPr="00EE587C">
        <w:t>y que quede uno archibado en la Santa Yglecia Cathedral</w:t>
      </w:r>
      <w:r w:rsidR="00EE587C">
        <w:t>.”</w:t>
      </w:r>
      <w:r w:rsidR="00EE587C">
        <w:rPr>
          <w:rStyle w:val="Refdenotaalpie"/>
        </w:rPr>
        <w:footnoteReference w:id="140"/>
      </w:r>
      <w:r w:rsidR="00EE587C">
        <w:t xml:space="preserve"> Para este caso particular, la garantía del perdón quedaba en manos del memorial resguardado en la catedral, con lo cual estaría acogiendo </w:t>
      </w:r>
      <w:r w:rsidR="00EE587C">
        <w:t xml:space="preserve">simbólicamente </w:t>
      </w:r>
      <w:r w:rsidR="00EE587C">
        <w:t>la misericordia de la autoridad eclesiástica.</w:t>
      </w:r>
    </w:p>
    <w:p w14:paraId="103B0DCA" w14:textId="42C0151A" w:rsidR="001E7647" w:rsidRDefault="001E7647" w:rsidP="002A0AD7">
      <w:r>
        <w:t>André Argouse ha mostrado como una de las paradojas del perdón de antiguo régimen consistía precisamente en su condición de olvido y a la vez de registro del mismo. “</w:t>
      </w:r>
      <w:r w:rsidRPr="001E7647">
        <w:t>En otras palabras, se borra la deuda pero queda su registro</w:t>
      </w:r>
      <w:r>
        <w:t>.”</w:t>
      </w:r>
      <w:r>
        <w:rPr>
          <w:rStyle w:val="Refdenotaalpie"/>
        </w:rPr>
        <w:footnoteReference w:id="141"/>
      </w:r>
      <w:r>
        <w:t xml:space="preserve"> Es una paradoja puesto que si no se recurría a un escribano o no se certificaba ante un juez la acción de perdonar, la parte ofendida no podía hacer válida su misericordia con aquel que la ofendió. De esta manera, el que queda en libertad, se asume, borra la acusación de la memoria, pero deja registro público sujeto a consulta y reproducción en el futuro.</w:t>
      </w:r>
      <w:r>
        <w:rPr>
          <w:rStyle w:val="Refdenotaalpie"/>
        </w:rPr>
        <w:footnoteReference w:id="142"/>
      </w:r>
      <w:r>
        <w:t xml:space="preserve"> Trayendo a la memoria el indulto pecuniario citado en la página 8, el gobernador de Caracas registró </w:t>
      </w:r>
      <w:r w:rsidR="00486DD3">
        <w:t>a</w:t>
      </w:r>
      <w:r>
        <w:t xml:space="preserve"> los indultados siguiendo un método en el cual se encriptaban </w:t>
      </w:r>
      <w:r w:rsidR="00486DD3">
        <w:t>los nombres propios con marcas con las cuales el escribano registraba el indulto, esto con el propósito de “no ofender la reputación”</w:t>
      </w:r>
      <w:r w:rsidR="00896A0C">
        <w:t xml:space="preserve"> de los perdonados y tuvieran la garantía “</w:t>
      </w:r>
      <w:r w:rsidR="00896A0C" w:rsidRPr="00896A0C">
        <w:t>de que sus nombres quedarán siempre sepultados en el silencio.</w:t>
      </w:r>
      <w:r w:rsidR="00896A0C">
        <w:t>” Sin embargo, les entregó a todos ellos un certificado en el cual desencriptaba el símbolo y podía comprobarse el otorgamiento del perdón a su nombre.</w:t>
      </w:r>
      <w:r w:rsidR="00896A0C">
        <w:rPr>
          <w:rStyle w:val="Refdenotaalpie"/>
        </w:rPr>
        <w:footnoteReference w:id="143"/>
      </w:r>
      <w:r w:rsidR="00896A0C">
        <w:t xml:space="preserve"> </w:t>
      </w:r>
    </w:p>
    <w:p w14:paraId="4DD0120A" w14:textId="6D66DB4D" w:rsidR="00EB2B24" w:rsidRDefault="001B5219" w:rsidP="00EB2B24">
      <w:r>
        <w:t xml:space="preserve">No deja llamar la atención que el perdón se conciba como una acción de olvido toda vez que no era ajeno a los tribunales que los reos bien podían aprovechar o ser víctimas de la desmemoria, como reclamaba por ejemplo un oficial del Consejo de indias en 1715 instando a que se ordenar el archivo de la institución “para que los oficiales no dejen en el olvido muchos expedientes graves, que por no encontrar sus antecedentes y conocer que sin ellos no pueden ir al Consejo, se han quedado sin curso, en grave perjuicio del servicio del Rey y </w:t>
      </w:r>
      <w:r>
        <w:lastRenderedPageBreak/>
        <w:t>del bien público.”</w:t>
      </w:r>
      <w:r>
        <w:rPr>
          <w:rStyle w:val="Refdenotaalpie"/>
        </w:rPr>
        <w:footnoteReference w:id="144"/>
      </w:r>
      <w:r>
        <w:t xml:space="preserve"> </w:t>
      </w:r>
      <w:r w:rsidR="00EB2B24">
        <w:t xml:space="preserve">Feijoo también llamó la atención en su discurso </w:t>
      </w:r>
      <w:r w:rsidR="00EB2B24">
        <w:rPr>
          <w:i/>
        </w:rPr>
        <w:t>Balanza de Astrea</w:t>
      </w:r>
      <w:r w:rsidR="00EB2B24">
        <w:t xml:space="preserve"> que descuidar los expedientes equivalía al abandono de los presos, que en este caso quedaban condenados a una especie de sepulcro. Relegar los expedientes también conllevaría, decía Feijoo, a la absolución de los presos sin intermediación del perdón ni del juicio; podrían los presos escapar ante la demora de sus procesos, pero principalmente porque la pasión iracunda que asistía la apertura del proceso se apaciguaría con el tiempo hasta convertirse en benignidad, era por lo tanto el proceso contrario con el cual el olvido conducía al perdón y no el indulto a la amnesia. En sus palabras:</w:t>
      </w:r>
    </w:p>
    <w:p w14:paraId="484D52AA" w14:textId="509BB6EA" w:rsidR="00526429" w:rsidRDefault="00EB2B24" w:rsidP="0091320E">
      <w:pPr>
        <w:pStyle w:val="Cita"/>
      </w:pPr>
      <w:r w:rsidRPr="00EB2B24">
        <w:t>Quanto mas se vá deteniendo la causa, tanto mas se vá evaporando el zelo. Hacese transito del calor á la tibieza, y de la tibieza á la frialdad. La demora de medio año basta para que los ardores de Julio se commuten en las escarchas de Enero. Yá no suena sino piedad. Yá todo está á favor del reo, sino su delito. Si la parte agraviada es pobre, poco basta para acallarla. Las suplicas son muchas, unas por compassion, otras por interés. Y estando en esta disposicion los animos, es facil que salga de la carcel poco menos que con palma, el que antes por voto universal era digno de la horca.</w:t>
      </w:r>
      <w:r>
        <w:rPr>
          <w:rStyle w:val="Refdenotaalpie"/>
        </w:rPr>
        <w:footnoteReference w:id="145"/>
      </w:r>
    </w:p>
    <w:p w14:paraId="00C50328" w14:textId="77777777" w:rsidR="0091320E" w:rsidRDefault="0091320E" w:rsidP="0091320E"/>
    <w:p w14:paraId="2116C856" w14:textId="023C4D9E" w:rsidR="0091320E" w:rsidRDefault="00FA4D61" w:rsidP="0091320E">
      <w:r>
        <w:t xml:space="preserve">Por otra parte, olvidar se relaciona en el caso del perdón con el “silencio perpetuo.” </w:t>
      </w:r>
      <w:r w:rsidR="004F5D4D">
        <w:t xml:space="preserve">En el caso de la tropa levantada en Panamá en 1766 la entrega del papel de iglesia estuvo acompañada de la exigencia de “perpetuo silencio sobre el asunto, </w:t>
      </w:r>
      <w:r w:rsidR="004F5D4D" w:rsidRPr="004F5D4D">
        <w:t>pena de v</w:t>
      </w:r>
      <w:r w:rsidR="004F5D4D">
        <w:t>einte carreras de vaquetas á cad</w:t>
      </w:r>
      <w:r w:rsidR="004F5D4D" w:rsidRPr="004F5D4D">
        <w:t>a soldado, quitada la Alavarda á el Sargento, declarandole ultimo soldado de la Compañia y suspe</w:t>
      </w:r>
      <w:r w:rsidR="004F5D4D">
        <w:t>nsion de su empleo á el oficial.”</w:t>
      </w:r>
      <w:r w:rsidR="004F5D4D">
        <w:rPr>
          <w:rStyle w:val="Refdenotaalpie"/>
        </w:rPr>
        <w:footnoteReference w:id="146"/>
      </w:r>
      <w:r w:rsidR="004F5D4D">
        <w:t xml:space="preserve"> La amenaza de castigo por traer a la memoria los hechos que llevaron al perdón se remiten a una tradición que consideraba que discutir los actos de desobediencia impedía recuperar la armonía entre los vasallos y su rey, con lo cual se hacían a los súbditos rebeldes e irrespetuosos de la autoridad.</w:t>
      </w:r>
      <w:r w:rsidR="004F5D4D">
        <w:rPr>
          <w:rStyle w:val="Refdenotaalpie"/>
        </w:rPr>
        <w:footnoteReference w:id="147"/>
      </w:r>
      <w:r w:rsidR="004D6474">
        <w:t xml:space="preserve"> En términos más amplios se relaciona con la “paz cívica”, como lo señaló </w:t>
      </w:r>
      <w:r w:rsidR="004D6474" w:rsidRPr="00AD6DE1">
        <w:t>Ricœur</w:t>
      </w:r>
      <w:r w:rsidR="004D6474">
        <w:t xml:space="preserve">, en la cual “el decreto, acreditado por el juramento, que ordena ‘no recordar los males’, solo pretende ocultar la </w:t>
      </w:r>
      <w:r w:rsidR="004D6474">
        <w:lastRenderedPageBreak/>
        <w:t xml:space="preserve">realidad de la </w:t>
      </w:r>
      <w:r w:rsidR="004D6474">
        <w:rPr>
          <w:i/>
        </w:rPr>
        <w:t>stasis</w:t>
      </w:r>
      <w:r w:rsidR="004D6474">
        <w:t>, de la guerra interior, civil, pues la ciudad sólo aprueba la guerra exterior.”</w:t>
      </w:r>
      <w:r w:rsidR="004D6474">
        <w:rPr>
          <w:rStyle w:val="Refdenotaalpie"/>
        </w:rPr>
        <w:footnoteReference w:id="148"/>
      </w:r>
      <w:r w:rsidR="004D6474">
        <w:t xml:space="preserve"> </w:t>
      </w:r>
    </w:p>
    <w:p w14:paraId="207F3A05" w14:textId="4C543C1E" w:rsidR="004F5D4D" w:rsidRDefault="00C858BC" w:rsidP="00C858BC">
      <w:r>
        <w:t xml:space="preserve">La amnesia y el silencio pretendían por otra parte evitar la no repetición de los actos criminales o del desorden, </w:t>
      </w:r>
      <w:r w:rsidR="004F5D4D">
        <w:t xml:space="preserve">un ejemplo de lo </w:t>
      </w:r>
      <w:r>
        <w:t xml:space="preserve">anterior </w:t>
      </w:r>
      <w:r w:rsidR="004F5D4D">
        <w:t>se vislumbra en la advertencia del Rey a Eslava tras la aprobación pública del perdón de la tropa que rezaba: “</w:t>
      </w:r>
      <w:r w:rsidR="004F5D4D" w:rsidRPr="004F5D4D">
        <w:t>fiando de su zelo que procurará no suceda otro desorden, y que la tropa proceda en adelante de modo que borrando en la gentes la memoria de tal hecho, recobre el glorioso timbre de verdaderos españoles</w:t>
      </w:r>
      <w:r w:rsidR="004F5D4D">
        <w:t>.”</w:t>
      </w:r>
      <w:r w:rsidR="004F5D4D">
        <w:rPr>
          <w:rStyle w:val="Refdenotaalpie"/>
        </w:rPr>
        <w:footnoteReference w:id="149"/>
      </w:r>
      <w:r>
        <w:t xml:space="preserve"> </w:t>
      </w:r>
      <w:r w:rsidR="00523BE8">
        <w:t>El olvido selectivo que creaba el perdón conllevaba la recuperación de la memoria feliz, que no era otra cosa que la reminiscencia de una monarquía en paz, sin cont</w:t>
      </w:r>
      <w:r w:rsidR="00D441EB">
        <w:t>radicciones entre sus miembros, conseguida (o construida) a partir del ajustarse a la obediencia, lealtad y virtud que se suponía caracterizaban a los “verdaderos españoles”. El olvido del mal pasado no podía eliminarse sólo con el perdón, ni siquiera con el silencio, sería necesario también que toda actuación que hiciera recuperar el pasado negativo fuera borrado, como en un palimpsesto, al escribir sobre éste una nueva memoria gloriosa.</w:t>
      </w:r>
    </w:p>
    <w:p w14:paraId="6A1B5C8E" w14:textId="1AF1200C" w:rsidR="006C43DB" w:rsidRDefault="00813E63" w:rsidP="0091320E">
      <w:r>
        <w:t>Esta idea de una memoria selectiva no era extraña en la ordenación del antiguo régimen.</w:t>
      </w:r>
      <w:r w:rsidR="002B5743">
        <w:rPr>
          <w:rStyle w:val="Refdenotaalpie"/>
        </w:rPr>
        <w:footnoteReference w:id="150"/>
      </w:r>
      <w:r>
        <w:t xml:space="preserve"> Era común la advertencia a no olvidar las virtudes, los mandamientos divinos, las acciones heroicas y santas. La retórica como arma mnemotécnica se encargaba de fijar en la memoria de los hombres cultos, ejemplo particular eran los ministros de justicia, el orden del mundo, del buen vivir y el actuar.</w:t>
      </w:r>
      <w:r>
        <w:rPr>
          <w:rStyle w:val="Refdenotaalpie"/>
        </w:rPr>
        <w:footnoteReference w:id="151"/>
      </w:r>
      <w:r>
        <w:t xml:space="preserve"> </w:t>
      </w:r>
      <w:r w:rsidR="00F309B8">
        <w:t>Incluso en los casos donde se rememora la rebeldía del pueblo se hace con el propósito de exaltar la grandeza del príncipe cristiano, la tiranía del gentil, incluso la gloria de dios, como lo hizo</w:t>
      </w:r>
      <w:r w:rsidR="002B5743">
        <w:t xml:space="preserve"> el obispo </w:t>
      </w:r>
      <w:r w:rsidR="00F309B8">
        <w:t xml:space="preserve">Palafox en </w:t>
      </w:r>
      <w:r w:rsidR="00F309B8">
        <w:rPr>
          <w:i/>
        </w:rPr>
        <w:t>Luz de príncipes</w:t>
      </w:r>
      <w:r w:rsidR="00F309B8">
        <w:t xml:space="preserve"> donde mostró que a pesar del pecado del rey Saul, la divinidad perdonó a los israelitas para salvar a los inocentes y perdonar a los que antes habían actuado heroicamente.</w:t>
      </w:r>
      <w:r w:rsidR="00F309B8">
        <w:rPr>
          <w:rStyle w:val="Refdenotaalpie"/>
        </w:rPr>
        <w:footnoteReference w:id="152"/>
      </w:r>
    </w:p>
    <w:p w14:paraId="11B1AA06" w14:textId="3DD8293E" w:rsidR="005B36CD" w:rsidRPr="002A0AD7" w:rsidRDefault="002B5743" w:rsidP="00DC76AA">
      <w:r>
        <w:lastRenderedPageBreak/>
        <w:t xml:space="preserve">Más allá del plano de la retórica, la memoria “social popular” (como la denomina Le Goff) no parece haber obedecido a la exigencia de olvido y silencio. </w:t>
      </w:r>
      <w:r w:rsidR="00EE587C">
        <w:t>Angela Ballone ha mostrado cómo la orden de silencio establecida tras el perdón novohispano de 1627 fue la primera de las transgresiones al indulto real,</w:t>
      </w:r>
      <w:r w:rsidR="00EE587C">
        <w:rPr>
          <w:rStyle w:val="Refdenotaalpie"/>
        </w:rPr>
        <w:footnoteReference w:id="153"/>
      </w:r>
      <w:r w:rsidR="00EE587C">
        <w:t xml:space="preserve"> en ese caso se evidenció tras la aparición de panfletos anónimos, pero en otros, como </w:t>
      </w:r>
      <w:r w:rsidR="002A0AD7">
        <w:t xml:space="preserve">en </w:t>
      </w:r>
      <w:r w:rsidR="00EE587C">
        <w:t>el</w:t>
      </w:r>
      <w:r w:rsidR="008E11EA">
        <w:t xml:space="preserve"> levantamien</w:t>
      </w:r>
      <w:r w:rsidR="002A0AD7">
        <w:t xml:space="preserve">to de la tropa panameña de 1766, </w:t>
      </w:r>
      <w:r w:rsidR="00EE587C">
        <w:t xml:space="preserve">la remembranza de lo acontecido con Eslava </w:t>
      </w:r>
      <w:r w:rsidR="008E11EA">
        <w:t>17 años antes estaba completamente vigente</w:t>
      </w:r>
      <w:r w:rsidR="002A0AD7">
        <w:t xml:space="preserve"> y se evidenciaba por los mismos sublevados. Así</w:t>
      </w:r>
      <w:r w:rsidR="008E11EA">
        <w:t xml:space="preserve"> lo mencionó el gobernador de Panamá al Secretario de Estado Julián de Arriga: “</w:t>
      </w:r>
      <w:r w:rsidR="008E11EA" w:rsidRPr="008E11EA">
        <w:t>No faltaria entre ellos quien hiziese p[rese]nte el levantamiento de 1745 y á las ordenes de un general de la opinion del señor don Sebastian de Eslava, pues en los mas de los puntos fue identico con aquel y si en algunos se diferencia todos favorezen la precision de mi obligada condescendencia.</w:t>
      </w:r>
      <w:r w:rsidR="008E11EA">
        <w:t>”</w:t>
      </w:r>
      <w:r w:rsidR="008E11EA">
        <w:rPr>
          <w:rStyle w:val="Refdenotaalpie"/>
        </w:rPr>
        <w:footnoteReference w:id="154"/>
      </w:r>
      <w:r w:rsidR="002A0AD7">
        <w:t xml:space="preserve"> </w:t>
      </w:r>
      <w:r w:rsidR="00DC76AA">
        <w:t>De cierta manera, más que un olvido de la rebeldía, quedó plasmada en la memoria de los vasallos del rey la ventaja del perdón como una forma de limpiarse de la ofensa y retornar a la gracia regia. Más que una lectura de los códigos de la élite, parece que los soldados en Cartagena, que sirvieron de excusa para abordar los temas de este capítulo, replicaron los códigos del perdón que se transmitieron por la memoria popular.</w:t>
      </w:r>
    </w:p>
    <w:sectPr w:rsidR="005B36CD" w:rsidRPr="002A0A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05F61" w14:textId="77777777" w:rsidR="009A38DA" w:rsidRDefault="009A38DA" w:rsidP="00B9631D">
      <w:pPr>
        <w:spacing w:line="240" w:lineRule="auto"/>
      </w:pPr>
      <w:r>
        <w:separator/>
      </w:r>
    </w:p>
  </w:endnote>
  <w:endnote w:type="continuationSeparator" w:id="0">
    <w:p w14:paraId="3872EBDF" w14:textId="77777777" w:rsidR="009A38DA" w:rsidRDefault="009A38DA"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1B5219" w:rsidRDefault="001B5219">
        <w:pPr>
          <w:pStyle w:val="Piedepgina"/>
          <w:jc w:val="right"/>
        </w:pPr>
        <w:r>
          <w:fldChar w:fldCharType="begin"/>
        </w:r>
        <w:r>
          <w:instrText>PAGE   \* MERGEFORMAT</w:instrText>
        </w:r>
        <w:r>
          <w:fldChar w:fldCharType="separate"/>
        </w:r>
        <w:r w:rsidR="00FE1E12" w:rsidRPr="00FE1E12">
          <w:rPr>
            <w:noProof/>
            <w:lang w:val="es-ES"/>
          </w:rPr>
          <w:t>1</w:t>
        </w:r>
        <w:r>
          <w:fldChar w:fldCharType="end"/>
        </w:r>
      </w:p>
    </w:sdtContent>
  </w:sdt>
  <w:p w14:paraId="2E48E8B0" w14:textId="77777777" w:rsidR="001B5219" w:rsidRDefault="001B52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A48F7" w14:textId="77777777" w:rsidR="009A38DA" w:rsidRDefault="009A38DA" w:rsidP="00B9631D">
      <w:pPr>
        <w:spacing w:line="240" w:lineRule="auto"/>
      </w:pPr>
      <w:r>
        <w:separator/>
      </w:r>
    </w:p>
  </w:footnote>
  <w:footnote w:type="continuationSeparator" w:id="0">
    <w:p w14:paraId="0BEBB474" w14:textId="77777777" w:rsidR="009A38DA" w:rsidRDefault="009A38DA" w:rsidP="00B9631D">
      <w:pPr>
        <w:spacing w:line="240" w:lineRule="auto"/>
      </w:pPr>
      <w:r>
        <w:continuationSeparator/>
      </w:r>
    </w:p>
  </w:footnote>
  <w:footnote w:id="1">
    <w:p w14:paraId="5A49ACA1" w14:textId="0756B097" w:rsidR="001B5219" w:rsidRDefault="001B5219"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411DD3">
        <w:rPr>
          <w:rFonts w:cs="Times New Roman"/>
          <w:szCs w:val="24"/>
        </w:rPr>
        <w:t xml:space="preserve">Juan Marchena Fernández, “Sin temor de rey ni de dios. Violencia, corrupción y crisis de autoridad en la Cartagena colonial”, en </w:t>
      </w:r>
      <w:r w:rsidRPr="00411DD3">
        <w:rPr>
          <w:rFonts w:cs="Times New Roman"/>
          <w:i/>
          <w:iCs/>
          <w:szCs w:val="24"/>
        </w:rPr>
        <w:t>Soldados del Rey. El ejército borbónico en América colonial en vísperas de la independencia</w:t>
      </w:r>
      <w:r w:rsidRPr="00411DD3">
        <w:rPr>
          <w:rFonts w:cs="Times New Roman"/>
          <w:szCs w:val="24"/>
        </w:rPr>
        <w:t xml:space="preserve">, ed. Allan J. Kuethe y Juan Marchena Fernández (Castelló de la Plana: Universitat Jaume I, 2015), 72 y ss; José Manuel Serrano Álvarez, </w:t>
      </w:r>
      <w:r w:rsidRPr="00411DD3">
        <w:rPr>
          <w:rFonts w:cs="Times New Roman"/>
          <w:i/>
          <w:iCs/>
          <w:szCs w:val="24"/>
        </w:rPr>
        <w:t>Fortificaciones y tropas: el gasto militar en tierra firme, 1700-1788</w:t>
      </w:r>
      <w:r w:rsidRPr="00411DD3">
        <w:rPr>
          <w:rFonts w:cs="Times New Roman"/>
          <w:szCs w:val="24"/>
        </w:rPr>
        <w:t xml:space="preserve"> (Sevilla: Universidad de Sevilla, 2004), 133.</w:t>
      </w:r>
      <w:r>
        <w:fldChar w:fldCharType="end"/>
      </w:r>
    </w:p>
  </w:footnote>
  <w:footnote w:id="2">
    <w:p w14:paraId="07548474" w14:textId="6B90884E" w:rsidR="001B5219" w:rsidRDefault="001B5219"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411DD3">
        <w:rPr>
          <w:rFonts w:cs="Times New Roman"/>
          <w:szCs w:val="24"/>
        </w:rPr>
        <w:t>Marchena Fernández, “Sin temor de rey ni de dios”, 83–93.</w:t>
      </w:r>
      <w:r>
        <w:fldChar w:fldCharType="end"/>
      </w:r>
    </w:p>
  </w:footnote>
  <w:footnote w:id="3">
    <w:p w14:paraId="1910BADC" w14:textId="17B7506A" w:rsidR="001B5219" w:rsidRDefault="001B5219">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1B5219" w:rsidRDefault="001B5219"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28432BAD" w:rsidR="001B5219" w:rsidRDefault="001B5219">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411DD3">
        <w:rPr>
          <w:rFonts w:cs="Times New Roman"/>
          <w:szCs w:val="24"/>
        </w:rPr>
        <w:t>Marchena Fernández, “Sin temor de rey ni de dios”, 96.</w:t>
      </w:r>
      <w:r>
        <w:fldChar w:fldCharType="end"/>
      </w:r>
    </w:p>
  </w:footnote>
  <w:footnote w:id="6">
    <w:p w14:paraId="41EA07DD" w14:textId="54841C5F" w:rsidR="001B5219" w:rsidRDefault="001B5219">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240AD766" w:rsidR="001B5219" w:rsidRDefault="001B5219">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411DD3">
        <w:rPr>
          <w:rFonts w:cs="Times New Roman"/>
          <w:szCs w:val="24"/>
        </w:rPr>
        <w:t>Marchena Fernández, “Sin temor de rey ni de dios”, 99.</w:t>
      </w:r>
      <w:r>
        <w:fldChar w:fldCharType="end"/>
      </w:r>
    </w:p>
  </w:footnote>
  <w:footnote w:id="8">
    <w:p w14:paraId="5BE44F66" w14:textId="763538F4" w:rsidR="001B5219" w:rsidRDefault="001B5219">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411DD3">
        <w:rPr>
          <w:rFonts w:cs="Times New Roman"/>
          <w:szCs w:val="24"/>
        </w:rPr>
        <w:t xml:space="preserve">Fernando Martínez Gil y Alfredo Rodríguez González, “Del Barroco a la Ilustración en una fiesta del Antiguo Régimen: el Corpus Christi”, </w:t>
      </w:r>
      <w:r w:rsidRPr="00411DD3">
        <w:rPr>
          <w:rFonts w:cs="Times New Roman"/>
          <w:i/>
          <w:iCs/>
          <w:szCs w:val="24"/>
        </w:rPr>
        <w:t>Cuadernos de Historia Moderna</w:t>
      </w:r>
      <w:r w:rsidRPr="00411DD3">
        <w:rPr>
          <w:rFonts w:cs="Times New Roman"/>
          <w:szCs w:val="24"/>
        </w:rPr>
        <w:t xml:space="preserve"> Anejo I (2002): 151–75, https://doi.org/10.5209/CHMO.23806; Miguel Zugasti, </w:t>
      </w:r>
      <w:r w:rsidRPr="00411DD3">
        <w:rPr>
          <w:rFonts w:cs="Times New Roman"/>
          <w:i/>
          <w:iCs/>
          <w:szCs w:val="24"/>
        </w:rPr>
        <w:t>La alegoría de América en el barroco hispánico: del arte efímero al teatro</w:t>
      </w:r>
      <w:r w:rsidRPr="00411DD3">
        <w:rPr>
          <w:rFonts w:cs="Times New Roman"/>
          <w:szCs w:val="24"/>
        </w:rPr>
        <w:t xml:space="preserve"> (Valencia: Pre-Textos, 2005), 70 y ss.</w:t>
      </w:r>
      <w:r>
        <w:fldChar w:fldCharType="end"/>
      </w:r>
    </w:p>
  </w:footnote>
  <w:footnote w:id="9">
    <w:p w14:paraId="7DD04C24" w14:textId="5AD6DB91" w:rsidR="001B5219" w:rsidRDefault="001B5219">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11DD3">
        <w:rPr>
          <w:rFonts w:cs="Times New Roman"/>
          <w:szCs w:val="24"/>
        </w:rPr>
        <w:t xml:space="preserve">Pedro Calderón de la Barca, </w:t>
      </w:r>
      <w:r w:rsidRPr="00411DD3">
        <w:rPr>
          <w:rFonts w:cs="Times New Roman"/>
          <w:i/>
          <w:iCs/>
          <w:szCs w:val="24"/>
        </w:rPr>
        <w:t>El indulto general. Edición crítica</w:t>
      </w:r>
      <w:r w:rsidRPr="00411DD3">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216290C3" w:rsidR="001B5219" w:rsidRDefault="001B5219">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411DD3">
        <w:rPr>
          <w:rFonts w:cs="Times New Roman"/>
          <w:szCs w:val="24"/>
        </w:rPr>
        <w:t>Calderón de la Barca, 107.</w:t>
      </w:r>
      <w:r>
        <w:fldChar w:fldCharType="end"/>
      </w:r>
    </w:p>
  </w:footnote>
  <w:footnote w:id="11">
    <w:p w14:paraId="29205008" w14:textId="713FE0FD" w:rsidR="001B5219" w:rsidRDefault="001B5219">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411DD3">
        <w:rPr>
          <w:rFonts w:cs="Times New Roman"/>
          <w:szCs w:val="24"/>
        </w:rPr>
        <w:t xml:space="preserve">Julio Rodríguez-Puértolas, “La transposición de la realidad en los autos sacramentales de Lope de Vega”, </w:t>
      </w:r>
      <w:r w:rsidRPr="00411DD3">
        <w:rPr>
          <w:rFonts w:cs="Times New Roman"/>
          <w:i/>
          <w:iCs/>
          <w:szCs w:val="24"/>
        </w:rPr>
        <w:t>Bulletin hispanique</w:t>
      </w:r>
      <w:r w:rsidRPr="00411DD3">
        <w:rPr>
          <w:rFonts w:cs="Times New Roman"/>
          <w:szCs w:val="24"/>
        </w:rPr>
        <w:t xml:space="preserve"> 72, núm. 1 (1970): 96–97, https://doi.org/10.3406/hispa.1970.4008.</w:t>
      </w:r>
      <w:r>
        <w:fldChar w:fldCharType="end"/>
      </w:r>
    </w:p>
  </w:footnote>
  <w:footnote w:id="12">
    <w:p w14:paraId="424D66FD" w14:textId="77830773" w:rsidR="001B5219" w:rsidRPr="00201290" w:rsidRDefault="001B5219">
      <w:pPr>
        <w:pStyle w:val="Textonotapie"/>
      </w:pPr>
      <w:r>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44FD86A1" w:rsidR="001B5219" w:rsidRDefault="001B5219">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411DD3">
        <w:rPr>
          <w:rFonts w:cs="Times New Roman"/>
          <w:szCs w:val="24"/>
        </w:rPr>
        <w:t xml:space="preserve">António Manuel Hespanha, </w:t>
      </w:r>
      <w:r w:rsidRPr="00411DD3">
        <w:rPr>
          <w:rFonts w:cs="Times New Roman"/>
          <w:i/>
          <w:iCs/>
          <w:szCs w:val="24"/>
        </w:rPr>
        <w:t>Cultura jurídica europea: síntesis de un milenio</w:t>
      </w:r>
      <w:r w:rsidRPr="00411DD3">
        <w:rPr>
          <w:rFonts w:cs="Times New Roman"/>
          <w:szCs w:val="24"/>
        </w:rPr>
        <w:t>, trad. Isabel Soler y Concepción Valera (Madrid: Tecnos, 2002), 42.</w:t>
      </w:r>
      <w:r>
        <w:fldChar w:fldCharType="end"/>
      </w:r>
    </w:p>
  </w:footnote>
  <w:footnote w:id="14">
    <w:p w14:paraId="4876BA75" w14:textId="3C3703FC" w:rsidR="001B5219" w:rsidRDefault="001B5219">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411DD3">
        <w:rPr>
          <w:rFonts w:cs="Times New Roman"/>
          <w:szCs w:val="24"/>
        </w:rPr>
        <w:t xml:space="preserve">Pedro Ruiz Torres, </w:t>
      </w:r>
      <w:r w:rsidRPr="00411DD3">
        <w:rPr>
          <w:rFonts w:cs="Times New Roman"/>
          <w:i/>
          <w:iCs/>
          <w:szCs w:val="24"/>
        </w:rPr>
        <w:t>Reformismo e Ilustración</w:t>
      </w:r>
      <w:r w:rsidRPr="00411DD3">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1B5219" w:rsidRDefault="001B5219">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6D5B09E7" w14:textId="240B054D" w:rsidR="001B5219" w:rsidRPr="005C4226" w:rsidRDefault="001B5219">
      <w:pPr>
        <w:pStyle w:val="Textonotapie"/>
      </w:pPr>
      <w:r>
        <w:rPr>
          <w:rStyle w:val="Refdenotaalpie"/>
        </w:rPr>
        <w:footnoteRef/>
      </w:r>
      <w:r w:rsidRPr="00721094">
        <w:t xml:space="preserve"> </w:t>
      </w:r>
      <w:r>
        <w:fldChar w:fldCharType="begin"/>
      </w:r>
      <w:r>
        <w:instrText xml:space="preserve"> ADDIN ZOTERO_ITEM CSL_CITATION {"citationID":"7XXYuLUq","properties":{"formattedCitation":"Mar\\uc0\\u237{}a Inmaculada Rodr\\uc0\\u237{}guez Flores, {\\i{}El perd\\uc0\\u243{}n real en Castilla (siglos XIII-XVIII)} (Salamanca: Universidad de Salamanca, 1971), 12\\uc0\\u8211{}14; Michel Foucault, {\\i{}Vigilar y castigar: nacimiento de la prisi\\uc0\\u243{}n}, trad. Aurelio Garz\\uc0\\u243{}n del Camino, 2a edici\\uc0\\u243{}n revisada (M\\uc0\\u233{}xico: Siglo Veintiuno, 2015), 64; Mar\\uc0\\u237{}a Paz Alonso Romero y Ant\\uc0\\u243{}nio Manuel Hespanha, \\uc0\\u8220{}Les peines dans les pays ib\\uc0\\u233{}riques (XVIIe-XIXe si\\uc0\\u232{}cles)\\uc0\\u8221{}, en {\\i{}La peine - Punishment. Europe depuis le XVIIIe si\\uc0\\u232{}cle}, vol. 3, Recueils de la Soci\\uc0\\u233{}t\\uc0\\u233{} Jean Bodin pour l\\uc0\\u8217{}Histoire Comparative des Institutions 57 (Bruxelles: De Boeck Universit\\uc0\\u233{}, 1989), 201\\uc0\\u8211{}2; Ant\\uc0\\u243{}nio Manuel Hespanha, \\uc0\\u8220{}De iustitia a disciplina\\uc0\\u8221{}, en {\\i{}La gracia del derecho: econom\\uc0\\u237{}a de la cultura en la edad moderna}, trad. Ana Ca\\uc0\\u241{}ellas Haurie (Madrid: Centro de estudios constitucionales, 1993), 232.","plainCitation":"María Inmaculada Rodríguez Flores, El perdón real en Castilla (siglos XIII-XVIII) (Salamanca: Universidad de Salamanca, 1971), 12–14; Michel Foucault, Vigilar y castigar: nacimiento de la prisión, trad. Aurelio Garzón del Camino, 2a edición revisada (México: Siglo Veintiuno, 2015), 64; María Paz Alonso Romero y António Manuel Hespanha, “Les peines dans les pays ibériques (XVIIe-XIXe siècles)”, en La peine - Punishment. Europe depuis le XVIIIe siècle, vol. 3, Recueils de la Société Jean Bodin pour l’Histoire Comparative des Institutions 57 (Bruxelles: De Boeck Université, 1989), 201–2; António Manuel Hespanha, “De iustitia a disciplina”, en La gracia del derecho: economía de la cultura en la edad moderna, trad. Ana Cañellas Haurie (Madrid: Centro de estudios constitucionales, 1993), 232.","noteIndex":16},"citationItems":[{"id":2654,"uris":["http://zotero.org/users/163570/items/APZE9XAC"],"uri":["http://zotero.org/users/163570/items/APZE9XAC"],"itemData":{"id":2654,"type":"book","title":"El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Inmaculada"}],"issued":{"date-parts":[["1971"]]}},"locator":"12-14","label":"page"},{"id":8219,"uris":["http://zotero.org/users/163570/items/FSB4WV2J"],"uri":["http://zotero.org/users/163570/items/FSB4WV2J"],"itemData":{"id":8219,"type":"book","title":"Vigilar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Manuel"}],"issued":{"date-parts":[["1989"]]}},"locator":"201-202","label":"page"},{"id":8287,"uris":["http://zotero.org/users/163570/items/XEIM5I84"],"uri":["http://zotero.org/users/163570/items/XEIM5I84"],"itemData":{"id":8287,"type":"chapter","title":"De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411DD3">
        <w:rPr>
          <w:rFonts w:cs="Times New Roman"/>
          <w:szCs w:val="24"/>
        </w:rPr>
        <w:t xml:space="preserve">María Inmaculada Rodríguez Flores, </w:t>
      </w:r>
      <w:r w:rsidRPr="00411DD3">
        <w:rPr>
          <w:rFonts w:cs="Times New Roman"/>
          <w:i/>
          <w:iCs/>
          <w:szCs w:val="24"/>
        </w:rPr>
        <w:t>El perdón real en Castilla (siglos XIII-XVIII)</w:t>
      </w:r>
      <w:r w:rsidRPr="00411DD3">
        <w:rPr>
          <w:rFonts w:cs="Times New Roman"/>
          <w:szCs w:val="24"/>
        </w:rPr>
        <w:t xml:space="preserve"> (Salamanca: Universidad de Salamanca, 1971), 12–14; Michel Foucault, </w:t>
      </w:r>
      <w:r w:rsidRPr="00411DD3">
        <w:rPr>
          <w:rFonts w:cs="Times New Roman"/>
          <w:i/>
          <w:iCs/>
          <w:szCs w:val="24"/>
        </w:rPr>
        <w:t>Vigilar y castigar: nacimiento de la prisión</w:t>
      </w:r>
      <w:r w:rsidRPr="00411DD3">
        <w:rPr>
          <w:rFonts w:cs="Times New Roman"/>
          <w:szCs w:val="24"/>
        </w:rPr>
        <w:t xml:space="preserve">, trad. Aurelio Garzón del Camino, 2a edición revisada (México: Siglo Veintiuno, 2015), 64; María Paz Alonso Romero y António Manuel Hespanha, “Les peines dans les pays ibériques (XVIIe-XIXe siècles)”, en </w:t>
      </w:r>
      <w:r w:rsidRPr="00411DD3">
        <w:rPr>
          <w:rFonts w:cs="Times New Roman"/>
          <w:i/>
          <w:iCs/>
          <w:szCs w:val="24"/>
        </w:rPr>
        <w:t xml:space="preserve">La peine - Punishment. </w:t>
      </w:r>
      <w:r w:rsidRPr="00411DD3">
        <w:rPr>
          <w:rFonts w:cs="Times New Roman"/>
          <w:i/>
          <w:iCs/>
          <w:szCs w:val="24"/>
          <w:lang w:val="fr-FR"/>
        </w:rPr>
        <w:t>Europe depuis le XVIIIe siècle</w:t>
      </w:r>
      <w:r w:rsidRPr="00411DD3">
        <w:rPr>
          <w:rFonts w:cs="Times New Roman"/>
          <w:szCs w:val="24"/>
          <w:lang w:val="fr-FR"/>
        </w:rPr>
        <w:t xml:space="preserve">, vol. 3, Recueils de la Société Jean Bodin pour l’Histoire Comparative des Institutions 57 (Bruxelles: De Boeck Université, 1989), 201–2; António Manuel Hespanha, “De iustitia a disciplina”, en </w:t>
      </w:r>
      <w:r w:rsidRPr="00411DD3">
        <w:rPr>
          <w:rFonts w:cs="Times New Roman"/>
          <w:i/>
          <w:iCs/>
          <w:szCs w:val="24"/>
          <w:lang w:val="fr-FR"/>
        </w:rPr>
        <w:t>La gracia del derecho: economía de la cultura en la edad moderna</w:t>
      </w:r>
      <w:r w:rsidRPr="00411DD3">
        <w:rPr>
          <w:rFonts w:cs="Times New Roman"/>
          <w:szCs w:val="24"/>
          <w:lang w:val="fr-FR"/>
        </w:rPr>
        <w:t xml:space="preserve">, trad. </w:t>
      </w:r>
      <w:r w:rsidRPr="00411DD3">
        <w:rPr>
          <w:rFonts w:cs="Times New Roman"/>
          <w:szCs w:val="24"/>
        </w:rPr>
        <w:t>Ana Cañellas Haurie (Madrid: Centro de estudios constitucionales, 1993), 232.</w:t>
      </w:r>
      <w:r>
        <w:fldChar w:fldCharType="end"/>
      </w:r>
    </w:p>
  </w:footnote>
  <w:footnote w:id="17">
    <w:p w14:paraId="165E1BD0" w14:textId="569F43CA" w:rsidR="001B5219" w:rsidRPr="00411DD3" w:rsidRDefault="001B5219">
      <w:pPr>
        <w:pStyle w:val="Textonotapie"/>
      </w:pPr>
      <w:r>
        <w:rPr>
          <w:rStyle w:val="Refdenotaalpie"/>
        </w:rPr>
        <w:footnoteRef/>
      </w:r>
      <w:r w:rsidRPr="00411DD3">
        <w:t xml:space="preserve"> </w:t>
      </w:r>
      <w:r>
        <w:fldChar w:fldCharType="begin"/>
      </w:r>
      <w:r w:rsidRPr="00411DD3">
        <w:instrText xml:space="preserve"> ADDIN ZOTERO_ITEM CSL_CITATION {"citationID":"xi4Zwyf4","properties":{"formattedCitation":"Hespanha, \\uc0\\u8220{}De iustitia a disciplina\\uc0\\u8221{}, 233.","plainCitation":"Hespanha, “De iustitia a disciplina”, 233.","noteIndex":17},"citationItems":[{"id":8287,"uris":["http://zotero.org/users/163570/items/XEIM5I84"],"uri":["http://zotero.org/users/163570/items/XEIM5I84"],"itemData":{"id":8287,"type":"chapter","title":"De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Haurie","given":"Ana"}],"issued":{"date-parts":[["1993"]]}},"locator":"233","label":"page"}],"schema":"https://github.com/citation-style-language/schema/raw/master/csl-citation.json"} </w:instrText>
      </w:r>
      <w:r>
        <w:fldChar w:fldCharType="separate"/>
      </w:r>
      <w:r w:rsidRPr="00411DD3">
        <w:rPr>
          <w:rFonts w:cs="Times New Roman"/>
          <w:szCs w:val="24"/>
        </w:rPr>
        <w:t>Hespanha, “De iustitia a disciplina”, 233.</w:t>
      </w:r>
      <w:r>
        <w:fldChar w:fldCharType="end"/>
      </w:r>
    </w:p>
  </w:footnote>
  <w:footnote w:id="18">
    <w:p w14:paraId="55D18CBA" w14:textId="5980DFAF" w:rsidR="001B5219" w:rsidRDefault="001B5219">
      <w:pPr>
        <w:pStyle w:val="Textonotapie"/>
      </w:pPr>
      <w:r>
        <w:rPr>
          <w:rStyle w:val="Refdenotaalpie"/>
        </w:rPr>
        <w:footnoteRef/>
      </w:r>
      <w:r>
        <w:t xml:space="preserve"> </w:t>
      </w:r>
      <w:r>
        <w:fldChar w:fldCharType="begin"/>
      </w:r>
      <w:r>
        <w:instrText xml:space="preserve"> ADDIN ZOTERO_ITEM CSL_CITATION {"citationID":"YSuFNdbX","properties":{"formattedCitation":"Ant\\uc0\\u243{}nio Manuel Hespanha, \\uc0\\u8220{}La senda amorosa del derecho. Amor y iustitia en el discurso jur\\uc0\\u237{}dico moderno\\uc0\\u8221{}, en {\\i{}Pasiones del jurista. Amor, memoria, melancol\\uc0\\u237{}a, imaginaci\\uc0\\u243{}n}, ed. Carlos Petit, Historia de la sociedad pol\\uc0\\u237{}tica (Madrid: Centro de Estudios Constitucionales, 1997), 37; Alejandro Ag\\uc0\\u252{}ero Nazar, {\\i{}Castigar y perdonar cuando conviene a la Rep\\uc0\\u250{}blica: la justicia penal de C\\uc0\\u243{}rdoba del Tucum\\uc0\\u225{}n, siglos XVII y XVIII} (Madrid: Centro de Estudios Pol\\uc0\\u237{}ticos y Constitucionales, 2008), 145.","plainCitation":"António Manuel Hespanha, “La senda amorosa del derecho. Amor y iustitia en el discurso jurídico moderno”, en Pasiones del jurista. Amor, memoria, melancolía, imaginación, ed. Carlos Petit, Historia de la sociedad política (Madrid: Centro de Estudios Constitucionales, 1997), 37; Alejandro Agüero Nazar, Castigar y perdonar cuando conviene a la República: la justicia penal de Córdoba del Tucumán, siglos XVII y XVIII (Madrid: Centro de Estudios Políticos y Constitucionales, 2008), 145.","noteIndex":18},"citationItems":[{"id":8288,"uris":["http://zotero.org/users/163570/items/NSE92RRB"],"uri":["http://zotero.org/users/163570/items/NSE92RRB"],"itemData":{"id":8288,"type":"chapter","title":"La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37","label":"page"},{"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Nazar","given":"Alejandro"}],"issued":{"date-parts":[["2008"]]}},"locator":"145","label":"page"}],"schema":"https://github.com/citation-style-language/schema/raw/master/csl-citation.json"} </w:instrText>
      </w:r>
      <w:r>
        <w:fldChar w:fldCharType="separate"/>
      </w:r>
      <w:r w:rsidRPr="00411DD3">
        <w:rPr>
          <w:rFonts w:cs="Times New Roman"/>
          <w:szCs w:val="24"/>
        </w:rPr>
        <w:t xml:space="preserve">António Manuel Hespanha, “La senda amorosa del derecho. Amor y iustitia en el discurso jurídico moderno”, en </w:t>
      </w:r>
      <w:r w:rsidRPr="00411DD3">
        <w:rPr>
          <w:rFonts w:cs="Times New Roman"/>
          <w:i/>
          <w:iCs/>
          <w:szCs w:val="24"/>
        </w:rPr>
        <w:t>Pasiones del jurista. Amor, memoria, melancolía, imaginación</w:t>
      </w:r>
      <w:r w:rsidRPr="00411DD3">
        <w:rPr>
          <w:rFonts w:cs="Times New Roman"/>
          <w:szCs w:val="24"/>
        </w:rPr>
        <w:t xml:space="preserve">, ed. Carlos Petit, Historia de la sociedad política (Madrid: Centro de Estudios Constitucionales, 1997), 37; Alejandro Agüero Nazar, </w:t>
      </w:r>
      <w:r w:rsidRPr="00411DD3">
        <w:rPr>
          <w:rFonts w:cs="Times New Roman"/>
          <w:i/>
          <w:iCs/>
          <w:szCs w:val="24"/>
        </w:rPr>
        <w:t>Castigar y perdonar cuando conviene a la República: la justicia penal de Córdoba del Tucumán, siglos XVII y XVIII</w:t>
      </w:r>
      <w:r w:rsidRPr="00411DD3">
        <w:rPr>
          <w:rFonts w:cs="Times New Roman"/>
          <w:szCs w:val="24"/>
        </w:rPr>
        <w:t xml:space="preserve"> (Madrid: Centro de Estudios Políticos y Constitucionales, 2008), 145.</w:t>
      </w:r>
      <w:r>
        <w:fldChar w:fldCharType="end"/>
      </w:r>
    </w:p>
  </w:footnote>
  <w:footnote w:id="19">
    <w:p w14:paraId="113CE3CD" w14:textId="79746876" w:rsidR="001B5219" w:rsidRDefault="001B5219">
      <w:pPr>
        <w:pStyle w:val="Textonotapie"/>
      </w:pPr>
      <w:r>
        <w:rPr>
          <w:rStyle w:val="Refdenotaalpie"/>
        </w:rPr>
        <w:footnoteRef/>
      </w:r>
      <w:r>
        <w:t xml:space="preserve"> </w:t>
      </w:r>
      <w:r>
        <w:fldChar w:fldCharType="begin"/>
      </w:r>
      <w:r>
        <w:instrText xml:space="preserve"> ADDIN ZOTERO_ITEM CSL_CITATION {"citationID":"6Tu0Z2Lo","properties":{"formattedCitation":"Francisco Tom\\uc0\\u225{}s y Valiente, \\uc0\\u8220{}\\uc0\\u171{}In dubio pro reo\\uc0\\u187{}, libre apreciaci\\uc0\\u243{}n de la prueba y presunci\\uc0\\u243{}n de inocencia\\uc0\\u8221{}, {\\i{}Revista Espa\\uc0\\u241{}ola de Derecho Constitucional}, n\\uc0\\u250{}m. 20 (1987): 12.","plainCitation":"Francisco Tomás y Valiente, “«In dubio pro reo», libre apreciación de la prueba y presunción de inocencia”, Revista Española de Derecho Constitucional, núm. 20 (1987): 12.","noteIndex":19},"citationItems":[{"id":8214,"uris":["http://zotero.org/users/163570/items/6KAVYLUY"],"uri":["http://zotero.org/users/163570/items/6KAVYLUY"],"itemData":{"id":8214,"type":"article-journal","title":"«In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 xml:space="preserve">Francisco Tomás y Valiente, “«In dubio pro reo», libre apreciación de la prueba y presunción de inocencia”, </w:t>
      </w:r>
      <w:r w:rsidRPr="00411DD3">
        <w:rPr>
          <w:rFonts w:cs="Times New Roman"/>
          <w:i/>
          <w:iCs/>
          <w:szCs w:val="24"/>
        </w:rPr>
        <w:t>Revista Española de Derecho Constitucional</w:t>
      </w:r>
      <w:r w:rsidRPr="00411DD3">
        <w:rPr>
          <w:rFonts w:cs="Times New Roman"/>
          <w:szCs w:val="24"/>
        </w:rPr>
        <w:t>, núm. 20 (1987): 12.</w:t>
      </w:r>
      <w:r>
        <w:fldChar w:fldCharType="end"/>
      </w:r>
    </w:p>
  </w:footnote>
  <w:footnote w:id="20">
    <w:p w14:paraId="2346F6FD" w14:textId="212E4381" w:rsidR="001B5219" w:rsidRDefault="001B5219">
      <w:pPr>
        <w:pStyle w:val="Textonotapie"/>
      </w:pPr>
      <w:r>
        <w:rPr>
          <w:rStyle w:val="Refdenotaalpie"/>
        </w:rPr>
        <w:footnoteRef/>
      </w:r>
      <w:r>
        <w:t xml:space="preserve"> </w:t>
      </w:r>
      <w:r w:rsidRPr="00732D81">
        <w:rPr>
          <w:highlight w:val="yellow"/>
        </w:rPr>
        <w:t xml:space="preserve">Juan de Mariana, </w:t>
      </w:r>
      <w:r w:rsidRPr="00732D81">
        <w:rPr>
          <w:i/>
          <w:iCs/>
          <w:highlight w:val="yellow"/>
        </w:rPr>
        <w:t>La dignidad real y la educación del rey (De rege et regis institutione)</w:t>
      </w:r>
      <w:r w:rsidRPr="00C3030E">
        <w:t>, ed. Luis Sánchez Agesta, Colección Clásicos políticos (Madrid: Centro de E</w:t>
      </w:r>
      <w:r>
        <w:t>studios Constitucionales, 1981), lib. I, cap. I.</w:t>
      </w:r>
    </w:p>
  </w:footnote>
  <w:footnote w:id="21">
    <w:p w14:paraId="4F0D3CDE" w14:textId="77777777" w:rsidR="001B5219" w:rsidRDefault="001B5219" w:rsidP="00A903F1">
      <w:pPr>
        <w:pStyle w:val="Textonotapie"/>
      </w:pPr>
      <w:r>
        <w:rPr>
          <w:rStyle w:val="Refdenotaalpie"/>
        </w:rPr>
        <w:footnoteRef/>
      </w:r>
      <w:r>
        <w:t xml:space="preserve"> “Perdonar es no castigar a quien consideras digno de castigo; el perdón es la absolución de un castigo merecido.” </w:t>
      </w:r>
      <w:r>
        <w:rPr>
          <w:lang w:val="it-IT"/>
        </w:rPr>
        <w:t>(</w:t>
      </w:r>
      <w:r>
        <w:rPr>
          <w:i/>
          <w:lang w:val="it-IT"/>
        </w:rPr>
        <w:t>Ignoscere autem est, quem iudices puniendum, non punire; venia debitae poenae remissio est.</w:t>
      </w:r>
      <w:r>
        <w:rPr>
          <w:lang w:val="it-IT"/>
        </w:rPr>
        <w:t xml:space="preserve">) </w:t>
      </w:r>
      <w:r>
        <w:t xml:space="preserve">Seneca, </w:t>
      </w:r>
      <w:r>
        <w:rPr>
          <w:lang w:eastAsia="es-MX"/>
        </w:rPr>
        <w:t>“De Clementia”</w:t>
      </w:r>
      <w:r>
        <w:t xml:space="preserve">, Liber II, párr. 7. Tomás de Aquino, </w:t>
      </w:r>
      <w:r>
        <w:rPr>
          <w:lang w:eastAsia="es-MX"/>
        </w:rPr>
        <w:t>“Summa Theologiae”,</w:t>
      </w:r>
      <w:r>
        <w:t xml:space="preserve"> IIª-IIae, q. 157 a. 2 ad 2.</w:t>
      </w:r>
    </w:p>
  </w:footnote>
  <w:footnote w:id="22">
    <w:p w14:paraId="2558BE4C" w14:textId="77777777" w:rsidR="001B5219" w:rsidRDefault="001B5219" w:rsidP="00732D81">
      <w:pPr>
        <w:pStyle w:val="Textonotapie"/>
      </w:pPr>
      <w:r>
        <w:rPr>
          <w:rStyle w:val="Refdenotaalpie"/>
        </w:rPr>
        <w:footnoteRef/>
      </w:r>
      <w:r>
        <w:t xml:space="preserve"> </w:t>
      </w:r>
      <w:r>
        <w:rPr>
          <w:i/>
        </w:rPr>
        <w:t>Las Siete Partidas</w:t>
      </w:r>
      <w:r>
        <w:t>, P. II, tít. II, l. III</w:t>
      </w:r>
    </w:p>
  </w:footnote>
  <w:footnote w:id="23">
    <w:p w14:paraId="395A255E" w14:textId="1BD21D7A" w:rsidR="001B5219" w:rsidRDefault="001B5219">
      <w:pPr>
        <w:pStyle w:val="Textonotapie"/>
      </w:pPr>
      <w:r>
        <w:rPr>
          <w:rStyle w:val="Refdenotaalpie"/>
        </w:rPr>
        <w:footnoteRef/>
      </w:r>
      <w:r>
        <w:t xml:space="preserve"> </w:t>
      </w:r>
      <w:r>
        <w:fldChar w:fldCharType="begin"/>
      </w:r>
      <w:r>
        <w:instrText xml:space="preserve"> ADDIN ZOTERO_ITEM CSL_CITATION {"citationID":"erhVvxVz","properties":{"formattedCitation":"Hespanha, \\uc0\\u8220{}La senda amorosa del derecho\\uc0\\u8221{}, 39.","plainCitation":"Hespanha, “La senda amorosa del derecho”, 39.","noteIndex":23},"citationItems":[{"id":8288,"uris":["http://zotero.org/users/163570/items/NSE92RRB"],"uri":["http://zotero.org/users/163570/items/NSE92RRB"],"itemData":{"id":8288,"type":"chapter","title":"La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Manuel"}],"editor":[{"family":"Petit","given":"Carlos"}],"issued":{"date-parts":[["1997"]]}},"locator":"39","label":"page"}],"schema":"https://github.com/citation-style-language/schema/raw/master/csl-citation.json"} </w:instrText>
      </w:r>
      <w:r>
        <w:fldChar w:fldCharType="separate"/>
      </w:r>
      <w:r w:rsidRPr="00411DD3">
        <w:rPr>
          <w:rFonts w:cs="Times New Roman"/>
          <w:szCs w:val="24"/>
        </w:rPr>
        <w:t>Hespanha, “La senda amorosa del derecho”, 39.</w:t>
      </w:r>
      <w:r>
        <w:fldChar w:fldCharType="end"/>
      </w:r>
    </w:p>
  </w:footnote>
  <w:footnote w:id="24">
    <w:p w14:paraId="5A06E80A" w14:textId="471D21F0" w:rsidR="001B5219" w:rsidRPr="00F35A64" w:rsidRDefault="001B5219" w:rsidP="006B18D9">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75–78.","noteIndex":24},"citationItems":[{"id":8255,"uris":["http://zotero.org/users/163570/items/Q4PKIA5Z"],"uri":["http://zotero.org/users/163570/items/Q4PKIA5Z"],"itemData":{"id":8255,"type":"book","title":"The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411DD3">
        <w:rPr>
          <w:rFonts w:cs="Times New Roman"/>
          <w:szCs w:val="24"/>
          <w:lang w:val="en-US"/>
        </w:rPr>
        <w:t xml:space="preserve">Keith David Howard, </w:t>
      </w:r>
      <w:r w:rsidRPr="00411DD3">
        <w:rPr>
          <w:rFonts w:cs="Times New Roman"/>
          <w:i/>
          <w:iCs/>
          <w:szCs w:val="24"/>
          <w:lang w:val="en-US"/>
        </w:rPr>
        <w:t>The Reception of Machiavelli in Early Modern Spain</w:t>
      </w:r>
      <w:r w:rsidRPr="00411DD3">
        <w:rPr>
          <w:rFonts w:cs="Times New Roman"/>
          <w:szCs w:val="24"/>
          <w:lang w:val="en-US"/>
        </w:rPr>
        <w:t>, Colección Tamesis Serie A: Monografías 338 (Woodbridge: Tamesis, 2014), 35–40, 75–78.</w:t>
      </w:r>
      <w:r>
        <w:fldChar w:fldCharType="end"/>
      </w:r>
    </w:p>
  </w:footnote>
  <w:footnote w:id="25">
    <w:p w14:paraId="222BF0BB" w14:textId="60B0B22A" w:rsidR="001B5219" w:rsidRDefault="001B5219">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lib. II, cap. XXXV.</w:t>
      </w:r>
    </w:p>
  </w:footnote>
  <w:footnote w:id="26">
    <w:p w14:paraId="28A7CD9E" w14:textId="7C05FA0E" w:rsidR="001B5219" w:rsidRDefault="001B5219">
      <w:pPr>
        <w:pStyle w:val="Textonotapie"/>
      </w:pPr>
      <w:r>
        <w:rPr>
          <w:rStyle w:val="Refdenotaalpie"/>
        </w:rPr>
        <w:footnoteRef/>
      </w:r>
      <w:r>
        <w:t xml:space="preserve"> Mt 5:44.</w:t>
      </w:r>
    </w:p>
  </w:footnote>
  <w:footnote w:id="27">
    <w:p w14:paraId="4A5A103B" w14:textId="3392283D" w:rsidR="001B5219" w:rsidRDefault="001B5219">
      <w:pPr>
        <w:pStyle w:val="Textonotapie"/>
      </w:pPr>
      <w:r>
        <w:rPr>
          <w:rStyle w:val="Refdenotaalpie"/>
        </w:rPr>
        <w:footnoteRef/>
      </w:r>
      <w:r>
        <w:t xml:space="preserve"> Lc 6:35.</w:t>
      </w:r>
    </w:p>
  </w:footnote>
  <w:footnote w:id="28">
    <w:p w14:paraId="68E9B7B9" w14:textId="4C3113AB" w:rsidR="001B5219" w:rsidRPr="00130D3D" w:rsidRDefault="001B5219">
      <w:pPr>
        <w:pStyle w:val="Textonotapie"/>
      </w:pPr>
      <w:r>
        <w:rPr>
          <w:rStyle w:val="Refdenotaalpie"/>
        </w:rPr>
        <w:footnoteRef/>
      </w:r>
      <w:r>
        <w:t xml:space="preserve"> Juan López de Cuéllar, </w:t>
      </w:r>
      <w:r>
        <w:rPr>
          <w:i/>
        </w:rPr>
        <w:t>Tratado iuridico-politico: practica de indultos</w:t>
      </w:r>
      <w:r>
        <w:t xml:space="preserve"> (Pamplona: por Martín Gregorio de Zabala, 1690), núm. 9.</w:t>
      </w:r>
    </w:p>
  </w:footnote>
  <w:footnote w:id="29">
    <w:p w14:paraId="54F1F3B3" w14:textId="38D8F792" w:rsidR="001B5219" w:rsidRDefault="001B5219">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t xml:space="preserve">, emp. 22, </w:t>
      </w:r>
      <w:r w:rsidRPr="00F7244B">
        <w:t>lema “præsidia maiestatis”</w:t>
      </w:r>
      <w:r>
        <w:t>.</w:t>
      </w:r>
    </w:p>
  </w:footnote>
  <w:footnote w:id="30">
    <w:p w14:paraId="2B1C4307" w14:textId="3179C235" w:rsidR="001B5219" w:rsidRDefault="001B5219">
      <w:pPr>
        <w:pStyle w:val="Textonotapie"/>
      </w:pPr>
      <w:r>
        <w:rPr>
          <w:rStyle w:val="Refdenotaalpie"/>
        </w:rPr>
        <w:footnoteRef/>
      </w:r>
      <w:r>
        <w:t xml:space="preserve"> “</w:t>
      </w:r>
      <w:r w:rsidRPr="00D25EF1">
        <w:t>El gobernador de Caracas da cuenta del excesivo contrabando que se hacía, medidas que tomó, feliz resultado e indulto general pecuniario que se vio obligado a dar en favor de estos delincuentes</w:t>
      </w:r>
      <w:r>
        <w:t xml:space="preserve">”, Caracas, 5 de agosto de 1771, </w:t>
      </w:r>
      <w:r w:rsidRPr="00D25EF1">
        <w:t>AGI, Caracas, 81</w:t>
      </w:r>
      <w:r>
        <w:t>.</w:t>
      </w:r>
    </w:p>
  </w:footnote>
  <w:footnote w:id="31">
    <w:p w14:paraId="75CD194E" w14:textId="7D002F23" w:rsidR="001B5219" w:rsidRPr="00AD59DB" w:rsidRDefault="001B5219">
      <w:pPr>
        <w:pStyle w:val="Textonotapie"/>
        <w:rPr>
          <w:lang w:val="fr-FR"/>
        </w:rPr>
      </w:pPr>
      <w:r>
        <w:rPr>
          <w:rStyle w:val="Refdenotaalpie"/>
        </w:rPr>
        <w:footnoteRef/>
      </w:r>
      <w:r w:rsidRPr="00AD59DB">
        <w:rPr>
          <w:lang w:val="fr-FR"/>
        </w:rPr>
        <w:t xml:space="preserve"> </w:t>
      </w:r>
      <w:r>
        <w:fldChar w:fldCharType="begin"/>
      </w:r>
      <w:r w:rsidRPr="00AD59DB">
        <w:rPr>
          <w:lang w:val="fr-FR"/>
        </w:rPr>
        <w:instrText xml:space="preserve"> ADDIN ZOTERO_ITEM CSL_CITATION {"citationID":"W7QATD85","properties":{"formattedCitation":"Jean Delumeau, {\\i{}L\\uc0\\u8217{}aveu et le pardon: les difficult\\uc0\\u233{}s de la confession, XIIIe-XVIIIe si\\uc0\\u232{}cle}, Nouvelles \\uc0\\u233{}tudes historiques (Paris: Fayard, 1990).","plainCitation":"Jean Delumeau, L’aveu et le pardon: les difficultés de la confession, XIIIe-XVIIIe siècle, Nouvelles études historiques (Paris: Fayard, 1990).","noteIndex":31},"citationItems":[{"id":5424,"uris":["http://zotero.org/users/163570/items/Q38995K3"],"uri":["http://zotero.org/users/163570/items/Q38995K3"],"itemData":{"id":5424,"type":"book","title":"L'aveu et le pardon: les difficultés de la confession, XIIIe-XVIIIe siècle","collection-title":"Nouvelles études historiques","publisher":"Fayard","publisher-place":"Paris","number-of-pages":"194","source":"Library of Congress ISBN","event-place":"Paris","ISBN":"978-2-213-02465-3","call-number":"BX2262 .D45 1990","shortTitle":"L'aveu et le pardon","author":[{"family":"Delumeau","given":"Jean"}],"issued":{"date-parts":[["1990"]]}}}],"schema":"https://github.com/citation-style-language/schema/raw/master/csl-citation.json"} </w:instrText>
      </w:r>
      <w:r>
        <w:fldChar w:fldCharType="separate"/>
      </w:r>
      <w:r w:rsidRPr="00AD59DB">
        <w:rPr>
          <w:rFonts w:cs="Times New Roman"/>
          <w:szCs w:val="24"/>
          <w:lang w:val="fr-FR"/>
        </w:rPr>
        <w:t xml:space="preserve">Jean Delumeau, </w:t>
      </w:r>
      <w:r w:rsidRPr="00AD59DB">
        <w:rPr>
          <w:rFonts w:cs="Times New Roman"/>
          <w:i/>
          <w:iCs/>
          <w:szCs w:val="24"/>
          <w:lang w:val="fr-FR"/>
        </w:rPr>
        <w:t>L’aveu et le pardon: les difficultés de la confession, XIIIe-XVIIIe siècle</w:t>
      </w:r>
      <w:r w:rsidRPr="00AD59DB">
        <w:rPr>
          <w:rFonts w:cs="Times New Roman"/>
          <w:szCs w:val="24"/>
          <w:lang w:val="fr-FR"/>
        </w:rPr>
        <w:t>, Nouvelles études historiques (Paris: Fayard, 1990).</w:t>
      </w:r>
      <w:r>
        <w:fldChar w:fldCharType="end"/>
      </w:r>
    </w:p>
  </w:footnote>
  <w:footnote w:id="32">
    <w:p w14:paraId="597C96A3" w14:textId="4CC6E719" w:rsidR="001B5219" w:rsidRPr="00BA5C8E" w:rsidRDefault="001B5219">
      <w:pPr>
        <w:pStyle w:val="Textonotapie"/>
        <w:rPr>
          <w:lang w:val="en-US"/>
        </w:rPr>
      </w:pPr>
      <w:r>
        <w:rPr>
          <w:rStyle w:val="Refdenotaalpie"/>
        </w:rPr>
        <w:footnoteRef/>
      </w:r>
      <w:r w:rsidRPr="00BA5C8E">
        <w:rPr>
          <w:lang w:val="en-US"/>
        </w:rPr>
        <w:t xml:space="preserve"> </w:t>
      </w:r>
      <w:r>
        <w:fldChar w:fldCharType="begin"/>
      </w:r>
      <w:r w:rsidRPr="00BA5C8E">
        <w:rPr>
          <w:lang w:val="en-US"/>
        </w:rPr>
        <w:instrText xml:space="preserve"> ADDIN ZOTERO_ITEM CSL_CITATION {"citationID":"He6mumhN","properties":{"formattedCitation":"Allan J. Kuethe y Kenneth J. Andrien, {\\i{}The Spanish Atlantic World in the Eighteenth Century: War and the Bourbon Reforms, 1713\\uc0\\u8211{}1796} (Cambridge University Press, 2014), 91.","plainCitation":"Allan J. Kuethe y Kenneth J. Andrien, The Spanish Atlantic World in the Eighteenth Century: War and the Bourbon Reforms, 1713–1796 (Cambridge University Press, 2014), 91.","noteIndex":32},"citationItems":[{"id":4721,"uris":["http://zotero.org/users/163570/items/G7H79CBJ"],"uri":["http://zotero.org/users/163570/items/G7H79CBJ"],"itemData":{"id":4721,"type":"book","title":"The Spanish Atlantic World in the Eighteenth Century: War and the Bourbon Reforms, 1713–1796","publisher":"Cambridge University Press","number-of-pages":"407","source":"Google Books","abstract":"This volume elucidates Bourbon colonial policy with emphasis on Madrid's efforts to reform and modernize its American holdings. Set in an Atlantic world context, the book highlights the interplay between Spain and America as the Spanish empire struggled for survival amid the fierce international competition that dominated the eighteenth century. The authors use extensive research in the repositories of Spain and America, as well as innovative consultation of the French Foreign Affairs archive, to bring into focus the poorly understood reformist efforts of the early Bourbons, which laid the foundation for the better-known agenda of Charles III. As the book unfolds, the narrative puts flesh on the men and women who, for better or worse, influenced colonial governance. It is the story of power, ambition, and idealism at the highest levels.","ISBN":"978-1-107-04357-2","shortTitle":"The Spanish Atlantic World in the Eighteenth Century","language":"en","author":[{"family":"Kuethe","given":"Allan J."},{"family":"Andrien","given":"Kenneth J."}],"issued":{"date-parts":[["2014",5,12]]}},"locator":"91","label":"page"}],"schema":"https://github.com/citation-style-language/schema/raw/master/csl-citation.json"} </w:instrText>
      </w:r>
      <w:r>
        <w:fldChar w:fldCharType="separate"/>
      </w:r>
      <w:r w:rsidRPr="00BA5C8E">
        <w:rPr>
          <w:rFonts w:cs="Times New Roman"/>
          <w:szCs w:val="24"/>
          <w:lang w:val="en-US"/>
        </w:rPr>
        <w:t xml:space="preserve">Allan J. Kuethe y Kenneth J. Andrien, </w:t>
      </w:r>
      <w:r w:rsidRPr="00BA5C8E">
        <w:rPr>
          <w:rFonts w:cs="Times New Roman"/>
          <w:i/>
          <w:iCs/>
          <w:szCs w:val="24"/>
          <w:lang w:val="en-US"/>
        </w:rPr>
        <w:t>The Spanish Atlantic World in the Eighteenth Century: War and the Bourbon Reforms, 1713–1796</w:t>
      </w:r>
      <w:r w:rsidRPr="00BA5C8E">
        <w:rPr>
          <w:rFonts w:cs="Times New Roman"/>
          <w:szCs w:val="24"/>
          <w:lang w:val="en-US"/>
        </w:rPr>
        <w:t xml:space="preserve"> (Cambridge University Press, 2014), 91.</w:t>
      </w:r>
      <w:r>
        <w:fldChar w:fldCharType="end"/>
      </w:r>
    </w:p>
  </w:footnote>
  <w:footnote w:id="33">
    <w:p w14:paraId="7B19BED3" w14:textId="53822BC7" w:rsidR="001B5219" w:rsidRDefault="001B5219">
      <w:pPr>
        <w:pStyle w:val="Textonotapie"/>
      </w:pPr>
      <w:r>
        <w:rPr>
          <w:rStyle w:val="Refdenotaalpie"/>
        </w:rPr>
        <w:footnoteRef/>
      </w:r>
      <w:r>
        <w:t xml:space="preserve"> Juan Eusebio Nieremberg, </w:t>
      </w:r>
      <w:r>
        <w:rPr>
          <w:i/>
        </w:rPr>
        <w:t>Aforismos o dictámenes</w:t>
      </w:r>
      <w:r>
        <w:t>, nueva edición (Bruselas: en casa de Juan Mommarte, 1664), Cent. VII, Dec. IV.</w:t>
      </w:r>
    </w:p>
  </w:footnote>
  <w:footnote w:id="34">
    <w:p w14:paraId="3A57AFC4" w14:textId="2362C722" w:rsidR="001B5219" w:rsidRPr="00F17CD6" w:rsidRDefault="001B5219">
      <w:pPr>
        <w:pStyle w:val="Textonotapie"/>
      </w:pPr>
      <w:r>
        <w:rPr>
          <w:rStyle w:val="Refdenotaalpie"/>
        </w:rPr>
        <w:footnoteRef/>
      </w:r>
      <w:r w:rsidRPr="00BA5C8E">
        <w:t xml:space="preserve"> Un ejemplo de este tipo de restauraci</w:t>
      </w:r>
      <w:r>
        <w:t xml:space="preserve">ón de las majestades fue mostrado en </w:t>
      </w:r>
      <w:r>
        <w:fldChar w:fldCharType="begin"/>
      </w:r>
      <w:r w:rsidR="004F5D4D">
        <w:instrText xml:space="preserve"> ADDIN ZOTERO_ITEM CSL_CITATION {"citationID":"ZQ0GV7Wc","properties":{"formattedCitation":"Angela Ballone, {\\i{}The 1624 Tumult of Mexico in perspective (c. 1620-1650). Authority and conflict resolution in the Iberian Atlantic}, European expansion and indigenous response, volume 24 (Leiden\\uc0\\u8239{}; Boston: Brill, 2018), 246.","plainCitation":"Angela Ballone, The 1624 Tumult of Mexico in perspective (c. 1620-1650). Authority and conflict resolution in the Iberian Atlantic, European expansion and indigenous response, volume 24 (Leiden ; Boston: Brill, 2018), 246.","noteIndex":34},"citationItems":[{"id":8292,"uris":["http://zotero.org/users/163570/items/SUTHXTRY"],"uri":["http://zotero.org/users/163570/items/SUTHXTRY"],"itemData":{"id":8292,"type":"book","title":"The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Mexico","author":[{"family":"Ballone","given":"Angela"}],"issued":{"date-parts":[["2018"]]}},"locator":"246","label":"page"}],"schema":"https://github.com/citation-style-language/schema/raw/master/csl-citation.json"} </w:instrText>
      </w:r>
      <w:r>
        <w:fldChar w:fldCharType="separate"/>
      </w:r>
      <w:r w:rsidRPr="00F17CD6">
        <w:rPr>
          <w:rFonts w:cs="Times New Roman"/>
          <w:szCs w:val="24"/>
        </w:rPr>
        <w:t xml:space="preserve">Angela Ballone, </w:t>
      </w:r>
      <w:r w:rsidRPr="00F17CD6">
        <w:rPr>
          <w:rFonts w:cs="Times New Roman"/>
          <w:i/>
          <w:iCs/>
          <w:szCs w:val="24"/>
        </w:rPr>
        <w:t xml:space="preserve">The 1624 Tumult of Mexico in perspective (c. 1620-1650). </w:t>
      </w:r>
      <w:r w:rsidRPr="00F17CD6">
        <w:rPr>
          <w:rFonts w:cs="Times New Roman"/>
          <w:i/>
          <w:iCs/>
          <w:szCs w:val="24"/>
          <w:lang w:val="en-US"/>
        </w:rPr>
        <w:t>Authority and conflict resolution in the Iberian Atlantic</w:t>
      </w:r>
      <w:r w:rsidRPr="00F17CD6">
        <w:rPr>
          <w:rFonts w:cs="Times New Roman"/>
          <w:szCs w:val="24"/>
          <w:lang w:val="en-US"/>
        </w:rPr>
        <w:t>, European expansion and indigenous response, volume 24 (Leiden ; Boston: Brill, 2018), 246.</w:t>
      </w:r>
      <w:r>
        <w:fldChar w:fldCharType="end"/>
      </w:r>
      <w:r w:rsidRPr="00F17CD6">
        <w:rPr>
          <w:lang w:val="en-US"/>
        </w:rPr>
        <w:t xml:space="preserve"> </w:t>
      </w:r>
      <w:r w:rsidRPr="00F17CD6">
        <w:t>Sobre el sentido de la restitución de la autoridad y el indulto real v</w:t>
      </w:r>
      <w:r>
        <w:t xml:space="preserve">éase </w:t>
      </w:r>
      <w:r>
        <w:fldChar w:fldCharType="begin"/>
      </w:r>
      <w:r>
        <w:instrText xml:space="preserve"> ADDIN ZOTERO_ITEM CSL_CITATION {"citationID":"tuWgS6RI","properties":{"formattedCitation":"Rodr\\uc0\\u237{}guez Flores, {\\i{}El perd\\uc0\\u243{}n real}, 197.","plainCitation":"Rodríguez Flores, El perdón real, 197.","noteIndex":33},"citationItems":[{"id":2654,"uris":["http://zotero.org/users/163570/items/APZE9XAC"],"uri":["http://zotero.org/users/163570/items/APZE9XAC"],"itemData":{"id":2654,"type":"book","title":"El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Inmaculada"}],"issued":{"date-parts":[["1971"]]}},"locator":"197","label":"page"}],"schema":"https://github.com/citation-style-language/schema/raw/master/csl-citation.json"} </w:instrText>
      </w:r>
      <w:r>
        <w:fldChar w:fldCharType="separate"/>
      </w:r>
      <w:r w:rsidRPr="00F17CD6">
        <w:rPr>
          <w:rFonts w:cs="Times New Roman"/>
          <w:szCs w:val="24"/>
        </w:rPr>
        <w:t xml:space="preserve">Rodríguez Flores, </w:t>
      </w:r>
      <w:r w:rsidRPr="00F17CD6">
        <w:rPr>
          <w:rFonts w:cs="Times New Roman"/>
          <w:i/>
          <w:iCs/>
          <w:szCs w:val="24"/>
        </w:rPr>
        <w:t>El perdón real</w:t>
      </w:r>
      <w:r w:rsidRPr="00F17CD6">
        <w:rPr>
          <w:rFonts w:cs="Times New Roman"/>
          <w:szCs w:val="24"/>
        </w:rPr>
        <w:t>, 197.</w:t>
      </w:r>
      <w:r>
        <w:fldChar w:fldCharType="end"/>
      </w:r>
      <w:r w:rsidRPr="00F17CD6">
        <w:t xml:space="preserve"> </w:t>
      </w:r>
    </w:p>
  </w:footnote>
  <w:footnote w:id="35">
    <w:p w14:paraId="08DC4E32" w14:textId="01C07865" w:rsidR="001B5219" w:rsidRPr="00780C38" w:rsidRDefault="001B5219">
      <w:pPr>
        <w:pStyle w:val="Textonotapie"/>
        <w:rPr>
          <w:lang w:val="en-US"/>
        </w:rPr>
      </w:pPr>
      <w:r>
        <w:rPr>
          <w:rStyle w:val="Refdenotaalpie"/>
        </w:rPr>
        <w:footnoteRef/>
      </w:r>
      <w:r w:rsidRPr="00780C38">
        <w:rPr>
          <w:lang w:val="en-US"/>
        </w:rPr>
        <w:t xml:space="preserve"> </w:t>
      </w:r>
      <w:r>
        <w:fldChar w:fldCharType="begin"/>
      </w:r>
      <w:r>
        <w:rPr>
          <w:lang w:val="en-US"/>
        </w:rPr>
        <w:instrText xml:space="preserve"> ADDIN ZOTERO_ITEM CSL_CITATION {"citationID":"PKKMIDwI","properties":{"formattedCitation":"Francesco Maiolo, {\\i{}Medieval Sovereignty: Marsilius of Padua and Bartolus of Saxoferrato} (Delft: Eburon Academic, 2007), 72.","plainCitation":"Francesco Maiolo, Medieval Sovereignty: Marsilius of Padua and Bartolus of Saxoferrato (Delft: Eburon Academic, 2007), 72.","noteIndex":35},"citationItems":[{"id":8285,"uris":["http://zotero.org/users/163570/items/GSHXVYC2"],"uri":["http://zotero.org/users/163570/items/GSHXVYC2"],"itemData":{"id":8285,"type":"book","title":"Medieval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sovereignty","language":"En","author":[{"family":"Maiolo","given":"Francesco"}],"issued":{"date-parts":[["2007"]]}},"locator":"72","label":"page"}],"schema":"https://github.com/citation-style-language/schema/raw/master/csl-citation.json"} </w:instrText>
      </w:r>
      <w:r>
        <w:fldChar w:fldCharType="separate"/>
      </w:r>
      <w:r w:rsidRPr="00780C38">
        <w:rPr>
          <w:rFonts w:cs="Times New Roman"/>
          <w:szCs w:val="24"/>
          <w:lang w:val="en-US"/>
        </w:rPr>
        <w:t xml:space="preserve">Francesco Maiolo, </w:t>
      </w:r>
      <w:r w:rsidRPr="00780C38">
        <w:rPr>
          <w:rFonts w:cs="Times New Roman"/>
          <w:i/>
          <w:iCs/>
          <w:szCs w:val="24"/>
          <w:lang w:val="en-US"/>
        </w:rPr>
        <w:t>Medieval Sovereignty: Marsilius of Padua and Bartolus of Saxoferrato</w:t>
      </w:r>
      <w:r w:rsidRPr="00780C38">
        <w:rPr>
          <w:rFonts w:cs="Times New Roman"/>
          <w:szCs w:val="24"/>
          <w:lang w:val="en-US"/>
        </w:rPr>
        <w:t xml:space="preserve"> (Delft: Eburon Academic, 2007), 72.</w:t>
      </w:r>
      <w:r>
        <w:fldChar w:fldCharType="end"/>
      </w:r>
    </w:p>
  </w:footnote>
  <w:footnote w:id="36">
    <w:p w14:paraId="1DF5C4B0" w14:textId="25C988FE" w:rsidR="001B5219" w:rsidRPr="00780C38" w:rsidRDefault="001B5219">
      <w:pPr>
        <w:pStyle w:val="Textonotapie"/>
        <w:rPr>
          <w:lang w:val="en-US"/>
        </w:rPr>
      </w:pPr>
      <w:r>
        <w:rPr>
          <w:rStyle w:val="Refdenotaalpie"/>
        </w:rPr>
        <w:footnoteRef/>
      </w:r>
      <w:r w:rsidRPr="00780C38">
        <w:rPr>
          <w:lang w:val="en-US"/>
        </w:rPr>
        <w:t xml:space="preserve"> </w:t>
      </w:r>
      <w:r>
        <w:fldChar w:fldCharType="begin"/>
      </w:r>
      <w:r>
        <w:rPr>
          <w:lang w:val="en-US"/>
        </w:rPr>
        <w:instrText xml:space="preserve"> ADDIN ZOTERO_ITEM CSL_CITATION {"citationID":"atgWkW7q","properties":{"formattedCitation":"V\\uc0\\u237{}ctor Manuel Uribe-Ur\\uc0\\u225{}n, \\uc0\\u8220{}\\uc0\\u8216{}Iglesia me llamo\\uc0\\u8217{}: Church Asylum and the Law in Spain and Colonial Spanish America\\uc0\\u8221{}, {\\i{}Comparative Studies in Society and History} 49, n\\uc0\\u250{}m. 02 (2007): 446\\uc0\\u8211{}472, https://doi.org/10.1017/S0010417507000552.","plainCitation":"Víctor Manuel Uribe-Urán, “‘Iglesia me llamo’: Church Asylum and the Law in Spain and Colonial Spanish America”, Comparative Studies in Society and History 49, núm. 02 (2007): 446–472, https://doi.org/10.1017/S0010417507000552.","noteIndex":36},"citationItems":[{"id":4693,"uris":["http://zotero.org/users/163570/items/M27SAQ6A"],"uri":["http://zotero.org/users/163570/items/M27SAQ6A"],"itemData":{"id":4693,"type":"article-journal","title":"\"Iglesia me llamo\": Church Asylum and the Law in Spain and Colonial Spanish America","container-title":"Comparative Studies in Society and History","page":"446–472","volume":"49","issue":"02","source":"Cambridge Journals Online","abstract":"“Iglesia me llamo” (“church is my name”) was the only phrase uttered over and over by numerous criminals during judicial interrogations that took place at various times throughout the Iberian kingdoms that ultimately became Spain, and their American colonies. This expression meant that even after committing heinous crimes, those outlaws received shelter at local churches and thereby felt entitled not to disclose any information to justice officials about their conduct. Such criminals were confident that it would not be easy to remove them from the church for punishment. Indeed, groups of wrongdoers turned churchyards, churches, their cloisters, and their adjoining cemeteries into permanent residences. They were alleged to move freely in and out of church buildings under cover of night and to bring friends, lovers, and liquor in for enjoyment. Their presence terrorized neighbors and passersby, and inconvenienced priests and parishioners alike.","DOI":"10.1017/S0010417507000552","ISSN":"1475-2999","author":[{"family":"Uribe-Urán","given":"Víctor Manuel"}],"issued":{"date-parts":[["2007"]]}}}],"schema":"https://github.com/citation-style-language/schema/raw/master/csl-citation.json"} </w:instrText>
      </w:r>
      <w:r>
        <w:fldChar w:fldCharType="separate"/>
      </w:r>
      <w:r w:rsidRPr="00780C38">
        <w:rPr>
          <w:rFonts w:cs="Times New Roman"/>
          <w:szCs w:val="24"/>
          <w:lang w:val="en-US"/>
        </w:rPr>
        <w:t xml:space="preserve">Víctor Manuel Uribe-Urán, “‘Iglesia me llamo’: Church Asylum and the Law in Spain and Colonial Spanish America”, </w:t>
      </w:r>
      <w:r w:rsidRPr="00780C38">
        <w:rPr>
          <w:rFonts w:cs="Times New Roman"/>
          <w:i/>
          <w:iCs/>
          <w:szCs w:val="24"/>
          <w:lang w:val="en-US"/>
        </w:rPr>
        <w:t>Comparative Studies in Society and History</w:t>
      </w:r>
      <w:r w:rsidRPr="00780C38">
        <w:rPr>
          <w:rFonts w:cs="Times New Roman"/>
          <w:szCs w:val="24"/>
          <w:lang w:val="en-US"/>
        </w:rPr>
        <w:t xml:space="preserve"> 49, núm. 02 (2007): 446–472, https://doi.org/10.1017/S0010417507000552.</w:t>
      </w:r>
      <w:r>
        <w:fldChar w:fldCharType="end"/>
      </w:r>
    </w:p>
  </w:footnote>
  <w:footnote w:id="37">
    <w:p w14:paraId="67C6C699" w14:textId="4D8853A9" w:rsidR="001B5219" w:rsidRPr="00950970" w:rsidRDefault="001B5219">
      <w:pPr>
        <w:pStyle w:val="Textonotapie"/>
      </w:pPr>
      <w:r>
        <w:rPr>
          <w:rStyle w:val="Refdenotaalpie"/>
        </w:rPr>
        <w:footnoteRef/>
      </w:r>
      <w:r w:rsidRPr="00950970">
        <w:t xml:space="preserve"> Son evidencia de esta preocupación e intento por resolver el conflict</w:t>
      </w:r>
      <w:r>
        <w:t>o las cédulas de Fernando VI de 18 de octubre de 1750 y de Carlos III de 5 de mayo de 1764, así como el Decreto de 2 de octubre de 1766 que previene que en caso de tumultos cesara el fuero eclesiástico. Esta documentación será analizada con detalle en capítulos posteriores.</w:t>
      </w:r>
    </w:p>
  </w:footnote>
  <w:footnote w:id="38">
    <w:p w14:paraId="23C42160" w14:textId="35B84A5B" w:rsidR="001B5219" w:rsidRPr="00780C38" w:rsidRDefault="001B5219">
      <w:pPr>
        <w:pStyle w:val="Textonotapie"/>
      </w:pPr>
      <w:r>
        <w:rPr>
          <w:rStyle w:val="Refdenotaalpie"/>
        </w:rPr>
        <w:footnoteRef/>
      </w:r>
      <w:r w:rsidRPr="00780C38">
        <w:t xml:space="preserve"> </w:t>
      </w:r>
      <w:r>
        <w:fldChar w:fldCharType="begin"/>
      </w:r>
      <w:r w:rsidRPr="00780C38">
        <w:instrText xml:space="preserve"> ADDIN ZOTERO_ITEM CSL_CITATION {"citationID":"wgUqmyk1","properties":{"formattedCitation":"Maiolo, {\\i{}Medieval Sovereignty}, 70.","plainCitation":"Maiolo, Medieval Sovereignty, 70.","noteIndex":38},"citationItems":[{"id":8285,"uris":["http://zotero.org/users/163570/items/GSHXVYC2"],"uri":["http://zotero.org/users/163570/items/GSHXVYC2"],"itemData":{"id":8285,"type":"book","title":"Medieval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sovereignty","language":"En","author":[{"family":"Maiolo","given":"Francesco"}],"issued":{"date-parts":[["2007"]]}},"locator":"70","label":"page"}],"schema":"https://github.com/citation-style-language/schema/raw/master/csl-citation.json"} </w:instrText>
      </w:r>
      <w:r>
        <w:fldChar w:fldCharType="separate"/>
      </w:r>
      <w:r w:rsidRPr="00780C38">
        <w:rPr>
          <w:rFonts w:cs="Times New Roman"/>
          <w:szCs w:val="24"/>
        </w:rPr>
        <w:t xml:space="preserve">Maiolo, </w:t>
      </w:r>
      <w:r w:rsidRPr="00780C38">
        <w:rPr>
          <w:rFonts w:cs="Times New Roman"/>
          <w:i/>
          <w:iCs/>
          <w:szCs w:val="24"/>
        </w:rPr>
        <w:t>Medieval Sovereignty</w:t>
      </w:r>
      <w:r w:rsidRPr="00780C38">
        <w:rPr>
          <w:rFonts w:cs="Times New Roman"/>
          <w:szCs w:val="24"/>
        </w:rPr>
        <w:t>, 70.</w:t>
      </w:r>
      <w:r>
        <w:fldChar w:fldCharType="end"/>
      </w:r>
    </w:p>
  </w:footnote>
  <w:footnote w:id="39">
    <w:p w14:paraId="490D98EA" w14:textId="79738300" w:rsidR="001B5219" w:rsidRDefault="001B5219">
      <w:pPr>
        <w:pStyle w:val="Textonotapie"/>
      </w:pPr>
      <w:r>
        <w:rPr>
          <w:rStyle w:val="Refdenotaalpie"/>
        </w:rPr>
        <w:footnoteRef/>
      </w:r>
      <w:r>
        <w:t xml:space="preserve"> </w:t>
      </w:r>
      <w:r>
        <w:fldChar w:fldCharType="begin"/>
      </w:r>
      <w:r>
        <w:instrText xml:space="preserve"> ADDIN ZOTERO_ITEM CSL_CITATION {"citationID":"Io4lE8MG","properties":{"formattedCitation":"Pietro Costa, \\uc0\\u8220{}La soberan\\uc0\\u237{}a en la cultura pol\\uc0\\u237{}tico-jur\\uc0\\u237{}dica medieval: im\\uc0\\u225{}genes y teor\\uc0\\u237{}as\\uc0\\u8221{}, {\\i{}Res Publica} 17, n\\uc0\\u250{}m. 0 (2007): 47, http://revistas.um.es/respublica/article/view/60591.","plainCitation":"Pietro Costa, “La soberanía en la cultura político-jurídica medieval: imágenes y teorías”, Res Publica 17, núm. 0 (2007): 47, http://revistas.um.es/respublica/article/view/60591.","noteIndex":39},"citationItems":[{"id":6125,"uris":["http://zotero.org/users/163570/items/VW3CC6ER"],"uri":["http://zotero.org/users/163570/items/VW3CC6ER"],"itemData":{"id":6125,"type":"article-journal","title":"La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medieval","language":"es","author":[{"family":"Costa","given":"Pietro"}],"issued":{"date-parts":[["2007"]]},"accessed":{"date-parts":[["2017",7,6]]}},"locator":"47","label":"page"}],"schema":"https://github.com/citation-style-language/schema/raw/master/csl-citation.json"} </w:instrText>
      </w:r>
      <w:r>
        <w:fldChar w:fldCharType="separate"/>
      </w:r>
      <w:r w:rsidRPr="00F17CD6">
        <w:rPr>
          <w:rFonts w:cs="Times New Roman"/>
          <w:szCs w:val="24"/>
        </w:rPr>
        <w:t xml:space="preserve">Pietro Costa, “La soberanía en la cultura político-jurídica medieval: imágenes y teorías”, </w:t>
      </w:r>
      <w:r w:rsidRPr="00F17CD6">
        <w:rPr>
          <w:rFonts w:cs="Times New Roman"/>
          <w:i/>
          <w:iCs/>
          <w:szCs w:val="24"/>
        </w:rPr>
        <w:t>Res Publica</w:t>
      </w:r>
      <w:r w:rsidRPr="00F17CD6">
        <w:rPr>
          <w:rFonts w:cs="Times New Roman"/>
          <w:szCs w:val="24"/>
        </w:rPr>
        <w:t xml:space="preserve"> 17, núm. 0 (2007): 47, http://revistas.um.es/respublica/article/view/60591.</w:t>
      </w:r>
      <w:r>
        <w:fldChar w:fldCharType="end"/>
      </w:r>
    </w:p>
  </w:footnote>
  <w:footnote w:id="40">
    <w:p w14:paraId="69AAA632" w14:textId="1586C939" w:rsidR="001B5219" w:rsidRDefault="001B5219">
      <w:pPr>
        <w:pStyle w:val="Textonotapie"/>
      </w:pPr>
      <w:r>
        <w:rPr>
          <w:rStyle w:val="Refdenotaalpie"/>
        </w:rPr>
        <w:footnoteRef/>
      </w:r>
      <w:r>
        <w:t xml:space="preserve"> </w:t>
      </w:r>
      <w:r>
        <w:fldChar w:fldCharType="begin"/>
      </w:r>
      <w:r>
        <w:instrText xml:space="preserve"> ADDIN ZOTERO_ITEM CSL_CITATION {"citationID":"3WZLP2bZ","properties":{"formattedCitation":"Alejandro Guzm\\uc0\\u225{}n Brito, \\uc0\\u8220{}Autoridad y potestad en la organizaci\\uc0\\u243{}n pol\\uc0\\u237{}tica\\uc0\\u8221{}, {\\i{}Revista de Derecho de la Pontificia Universidad Cat\\uc0\\u243{}lica de Valpara\\uc0\\u237{}so}, n\\uc0\\u250{}m. 4 (el 7 de octubre de 2010): 107\\uc0\\u8211{}8, https://doi.org/10.4151/ISSN.07186851-Vol.0-Num.4-Fulltext.48; Fran\\uc0\\u231{}ois-Xavier Guerra, {\\i{}Modernidad e independencias: ensayos sobre las revoluciones hisp\\uc0\\u225{}nicas}, 3a. ed, 3a. reimp (M\\uc0\\u233{}xico: Fondo de Cultura Econ\\uc0\\u243{}mica, MAPFRE, 2014), 169\\uc0\\u8211{}70.","plainCitation":"Alejandro Guzmán Brito, “Autoridad y potestad en la organización política”, Revista de Derecho de la Pontificia Universidad Católica de Valparaíso, núm. 4 (el 7 de octubre de 2010): 107–8, https://doi.org/10.4151/ISSN.07186851-Vol.0-Num.4-Fulltext.48; François-Xavier Guerra, Modernidad e independencias: ensayos sobre las revoluciones hispánicas, 3a. ed, 3a. reimp (México: Fondo de Cultura Económica, MAPFRE, 2014), 169–70.","noteIndex":40},"citationItems":[{"id":8273,"uris":["http://zotero.org/users/163570/items/F4HP9E7I"],"uri":["http://zotero.org/users/163570/items/F4HP9E7I"],"itemData":{"id":8273,"type":"article-journal","title":"Autoridad y potestad en la organización política","container-title":"Revista de Derecho de la Pontificia Universidad Católica de Valparaíso","issue":"4","source":"www.rdpucv.cl","abstract":"Autoridad y potestad en la organizacion política","URL":"http://www.rdpucv.cl/index.php/rderecho/article/view/48","DOI":"10.4151/ISSN.07186851-Vol.0-Num.4-Fulltext.48","ISSN":"0718-6851","shortTitle":"Autoridad y potestad","language":"es","author":[{"family":"Guzmán Brito","given":"Alejandro"}],"issued":{"date-parts":[["2010",10,7]]},"accessed":{"date-parts":[["2018",6,7]]}},"locator":"107-108","label":"page"},{"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independencias","language":"spa","author":[{"family":"Guerra","given":"François-Xavier"}],"issued":{"date-parts":[["2014"]]}},"locator":"169-170","label":"page"}],"schema":"https://github.com/citation-style-language/schema/raw/master/csl-citation.json"} </w:instrText>
      </w:r>
      <w:r>
        <w:fldChar w:fldCharType="separate"/>
      </w:r>
      <w:r w:rsidRPr="00E62B4C">
        <w:rPr>
          <w:rFonts w:cs="Times New Roman"/>
          <w:szCs w:val="24"/>
        </w:rPr>
        <w:t xml:space="preserve">Alejandro Guzmán Brito, “Autoridad y potestad en la organización política”, </w:t>
      </w:r>
      <w:r w:rsidRPr="00E62B4C">
        <w:rPr>
          <w:rFonts w:cs="Times New Roman"/>
          <w:i/>
          <w:iCs/>
          <w:szCs w:val="24"/>
        </w:rPr>
        <w:t>Revista de Derecho de la Pontificia Universidad Católica de Valparaíso</w:t>
      </w:r>
      <w:r w:rsidRPr="00E62B4C">
        <w:rPr>
          <w:rFonts w:cs="Times New Roman"/>
          <w:szCs w:val="24"/>
        </w:rPr>
        <w:t xml:space="preserve">, núm. 4 (el 7 de octubre de 2010): 107–8, https://doi.org/10.4151/ISSN.07186851-Vol.0-Num.4-Fulltext.48; François-Xavier Guerra, </w:t>
      </w:r>
      <w:r w:rsidRPr="00E62B4C">
        <w:rPr>
          <w:rFonts w:cs="Times New Roman"/>
          <w:i/>
          <w:iCs/>
          <w:szCs w:val="24"/>
        </w:rPr>
        <w:t>Modernidad e independencias: ensayos sobre las revoluciones hispánicas</w:t>
      </w:r>
      <w:r w:rsidRPr="00E62B4C">
        <w:rPr>
          <w:rFonts w:cs="Times New Roman"/>
          <w:szCs w:val="24"/>
        </w:rPr>
        <w:t>, 3a. ed, 3a. reimp (México: Fondo de Cultura Económica, MAPFRE, 2014), 169–70.</w:t>
      </w:r>
      <w:r>
        <w:fldChar w:fldCharType="end"/>
      </w:r>
    </w:p>
  </w:footnote>
  <w:footnote w:id="41">
    <w:p w14:paraId="05FA4628" w14:textId="4C5BBE15" w:rsidR="001B5219" w:rsidRDefault="001B5219">
      <w:pPr>
        <w:pStyle w:val="Textonotapie"/>
      </w:pPr>
      <w:r>
        <w:rPr>
          <w:rStyle w:val="Refdenotaalpie"/>
        </w:rPr>
        <w:footnoteRef/>
      </w:r>
      <w:r>
        <w:t xml:space="preserve"> Autoridad es, según el </w:t>
      </w:r>
      <w:r>
        <w:rPr>
          <w:i/>
        </w:rPr>
        <w:t>Diccionario de autoridades</w:t>
      </w:r>
      <w:r>
        <w:t>, “</w:t>
      </w:r>
      <w:r w:rsidRPr="00AD59DB">
        <w:t>Exceléncia, representación, estimación adquirida, ò por la rectitúd de la vida y eminéncia de la virtúd, ò por lo respetable de la nobléza y de la edad, ò por lo grande de la sabiduría, poderío, honór y otros títulos que hacen à uno digno de singular atención</w:t>
      </w:r>
      <w:r>
        <w:t>”</w:t>
      </w:r>
    </w:p>
  </w:footnote>
  <w:footnote w:id="42">
    <w:p w14:paraId="58DA2363" w14:textId="6A03A826" w:rsidR="001B5219" w:rsidRDefault="001B5219" w:rsidP="00F17CD6">
      <w:pPr>
        <w:pStyle w:val="Textonotapie"/>
      </w:pPr>
      <w:r>
        <w:rPr>
          <w:rStyle w:val="Refdenotaalpie"/>
        </w:rPr>
        <w:footnoteRef/>
      </w:r>
      <w:r>
        <w:t xml:space="preserve"> </w:t>
      </w:r>
      <w:r>
        <w:fldChar w:fldCharType="begin"/>
      </w:r>
      <w:r>
        <w:instrText xml:space="preserve"> ADDIN ZOTERO_ITEM CSL_CITATION {"citationID":"0jXfW7yf","properties":{"formattedCitation":"Maiolo, {\\i{}Medieval Sovereignty}, 72\\uc0\\u8211{}73.","plainCitation":"Maiolo, Medieval Sovereignty, 72–73.","noteIndex":42},"citationItems":[{"id":8285,"uris":["http://zotero.org/users/163570/items/GSHXVYC2"],"uri":["http://zotero.org/users/163570/items/GSHXVYC2"],"itemData":{"id":8285,"type":"book","title":"Medieval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sovereignty","language":"En","author":[{"family":"Maiolo","given":"Francesco"}],"issued":{"date-parts":[["2007"]]}},"locator":"72-73","label":"page"}],"schema":"https://github.com/citation-style-language/schema/raw/master/csl-citation.json"} </w:instrText>
      </w:r>
      <w:r>
        <w:fldChar w:fldCharType="separate"/>
      </w:r>
      <w:r w:rsidRPr="00F17CD6">
        <w:rPr>
          <w:rFonts w:cs="Times New Roman"/>
          <w:szCs w:val="24"/>
        </w:rPr>
        <w:t xml:space="preserve">Maiolo, </w:t>
      </w:r>
      <w:r w:rsidRPr="00F17CD6">
        <w:rPr>
          <w:rFonts w:cs="Times New Roman"/>
          <w:i/>
          <w:iCs/>
          <w:szCs w:val="24"/>
        </w:rPr>
        <w:t>Medieval Sovereignty</w:t>
      </w:r>
      <w:r w:rsidRPr="00F17CD6">
        <w:rPr>
          <w:rFonts w:cs="Times New Roman"/>
          <w:szCs w:val="24"/>
        </w:rPr>
        <w:t>, 72–73.</w:t>
      </w:r>
      <w:r>
        <w:fldChar w:fldCharType="end"/>
      </w:r>
    </w:p>
  </w:footnote>
  <w:footnote w:id="43">
    <w:p w14:paraId="7487DB11" w14:textId="7E5127C8" w:rsidR="001B5219" w:rsidRDefault="001B5219" w:rsidP="005C7A61">
      <w:pPr>
        <w:pStyle w:val="Textonotapie"/>
      </w:pPr>
      <w:r>
        <w:rPr>
          <w:rStyle w:val="Refdenotaalpie"/>
        </w:rPr>
        <w:footnoteRef/>
      </w:r>
      <w:r w:rsidRPr="005C4226">
        <w:t xml:space="preserve"> </w:t>
      </w:r>
      <w:r>
        <w:t>Voz “Gher-</w:t>
      </w:r>
      <w:r w:rsidRPr="00AC23AE">
        <w:rPr>
          <w:vertAlign w:val="superscript"/>
        </w:rPr>
        <w:t>4</w:t>
      </w:r>
      <w:r>
        <w:t xml:space="preserve">” en Edward A. Roberts y Bárbara Pastor, </w:t>
      </w:r>
      <w:r>
        <w:rPr>
          <w:i/>
          <w:iCs/>
        </w:rPr>
        <w:t>Diccionario etimológico indoeuropeo de la lengua española</w:t>
      </w:r>
      <w:r>
        <w:t>, Alianza diccionarios (Madrid: Alianza, 1996).</w:t>
      </w:r>
    </w:p>
  </w:footnote>
  <w:footnote w:id="44">
    <w:p w14:paraId="1AEC2426" w14:textId="2D64786E" w:rsidR="001B5219" w:rsidRPr="00EE7AF4" w:rsidRDefault="001B5219" w:rsidP="005C7A61">
      <w:pPr>
        <w:pStyle w:val="Textonotapie"/>
      </w:pPr>
      <w:r>
        <w:rPr>
          <w:rStyle w:val="Refdenotaalpie"/>
        </w:rPr>
        <w:footnoteRef/>
      </w:r>
      <w:r>
        <w:t xml:space="preserve"> El </w:t>
      </w:r>
      <w:r>
        <w:rPr>
          <w:i/>
        </w:rPr>
        <w:t>Vocobolario</w:t>
      </w:r>
      <w:r>
        <w:t xml:space="preserve"> italiano de 1731 enuncia el sentido de </w:t>
      </w:r>
      <w:r>
        <w:rPr>
          <w:i/>
        </w:rPr>
        <w:t>grazia</w:t>
      </w:r>
      <w:r>
        <w:t xml:space="preserve"> como perdón. Por su parte, el </w:t>
      </w:r>
      <w:r>
        <w:rPr>
          <w:i/>
        </w:rPr>
        <w:t>Diccionario de autoridades</w:t>
      </w:r>
      <w:r>
        <w:t xml:space="preserve"> sólo menciona que la “gracia” refiere también a la idea de benevolencia o amistad. Sin embargo, el uso común y jurídico de la gracia se mantuvo durante buena parte del siglo y por lo que muestran los análisis léxicos, sólo pierde vigencia en las últimas décadas del siglo XVIII.</w:t>
      </w:r>
    </w:p>
  </w:footnote>
  <w:footnote w:id="45">
    <w:p w14:paraId="6F84A598" w14:textId="235C250C" w:rsidR="001B5219" w:rsidRDefault="001B5219">
      <w:pPr>
        <w:pStyle w:val="Textonotapie"/>
      </w:pPr>
      <w:r>
        <w:rPr>
          <w:rStyle w:val="Refdenotaalpie"/>
        </w:rPr>
        <w:footnoteRef/>
      </w:r>
      <w:r>
        <w:t xml:space="preserve"> La tiranía se asociaba con “el predominio de la voluntad caprichosa y privada del soberano por encima del respeto de un orden ya dado e inderogable.” </w:t>
      </w:r>
      <w:r>
        <w:fldChar w:fldCharType="begin"/>
      </w:r>
      <w:r>
        <w:instrText xml:space="preserve"> ADDIN ZOTERO_ITEM CSL_CITATION {"citationID":"1Of8gv55","properties":{"formattedCitation":"Costa, \\uc0\\u8220{}La soberan\\uc0\\u237{}a en la cultura pol\\uc0\\u237{}tico-jur\\uc0\\u237{}dica medieval\\uc0\\u8221{}, 57.","plainCitation":"Costa, “La soberanía en la cultura político-jurídica medieval”, 57.","noteIndex":45},"citationItems":[{"id":6125,"uris":["http://zotero.org/users/163570/items/VW3CC6ER"],"uri":["http://zotero.org/users/163570/items/VW3CC6ER"],"itemData":{"id":6125,"type":"article-journal","title":"La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medieval","language":"es","author":[{"family":"Costa","given":"Pietro"}],"issued":{"date-parts":[["2007"]]},"accessed":{"date-parts":[["2017",7,6]]}},"locator":"57","label":"page"}],"schema":"https://github.com/citation-style-language/schema/raw/master/csl-citation.json"} </w:instrText>
      </w:r>
      <w:r>
        <w:fldChar w:fldCharType="separate"/>
      </w:r>
      <w:r w:rsidRPr="007A032C">
        <w:rPr>
          <w:rFonts w:cs="Times New Roman"/>
          <w:szCs w:val="24"/>
        </w:rPr>
        <w:t>Costa, “La soberanía en la cultura político-jurídica medieval”, 57.</w:t>
      </w:r>
      <w:r>
        <w:fldChar w:fldCharType="end"/>
      </w:r>
    </w:p>
  </w:footnote>
  <w:footnote w:id="46">
    <w:p w14:paraId="4F634334" w14:textId="12E9A2B0" w:rsidR="001B5219" w:rsidRDefault="001B5219">
      <w:pPr>
        <w:pStyle w:val="Textonotapie"/>
      </w:pPr>
      <w:r>
        <w:rPr>
          <w:rStyle w:val="Refdenotaalpie"/>
        </w:rPr>
        <w:footnoteRef/>
      </w:r>
      <w:r>
        <w:t xml:space="preserve"> </w:t>
      </w:r>
      <w:r>
        <w:fldChar w:fldCharType="begin"/>
      </w:r>
      <w:r>
        <w:instrText xml:space="preserve"> ADDIN ZOTERO_ITEM CSL_CITATION {"citationID":"Lf2yHH7U","properties":{"formattedCitation":"Guerra, {\\i{}Modernidad e independencias}, 170.","plainCitation":"Guerra, Modernidad e independencias, 170.","noteIndex":46},"citationItems":[{"id":3374,"uris":["http://zotero.org/users/163570/items/KVR5UKFK"],"uri":["http://zotero.org/users/163570/items/KVR5UKFK"],"itemData":{"id":3374,"type":"book","title":"Modernidad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independencias","language":"spa","author":[{"family":"Guerra","given":"François-Xavier"}],"issued":{"date-parts":[["2014"]]}},"locator":"170","label":"page"}],"schema":"https://github.com/citation-style-language/schema/raw/master/csl-citation.json"} </w:instrText>
      </w:r>
      <w:r>
        <w:fldChar w:fldCharType="separate"/>
      </w:r>
      <w:r w:rsidRPr="00145F80">
        <w:rPr>
          <w:rFonts w:cs="Times New Roman"/>
          <w:szCs w:val="24"/>
        </w:rPr>
        <w:t xml:space="preserve">Guerra, </w:t>
      </w:r>
      <w:r w:rsidRPr="00145F80">
        <w:rPr>
          <w:rFonts w:cs="Times New Roman"/>
          <w:i/>
          <w:iCs/>
          <w:szCs w:val="24"/>
        </w:rPr>
        <w:t>Modernidad e independencias</w:t>
      </w:r>
      <w:r w:rsidRPr="00145F80">
        <w:rPr>
          <w:rFonts w:cs="Times New Roman"/>
          <w:szCs w:val="24"/>
        </w:rPr>
        <w:t>, 170.</w:t>
      </w:r>
      <w:r>
        <w:fldChar w:fldCharType="end"/>
      </w:r>
    </w:p>
  </w:footnote>
  <w:footnote w:id="47">
    <w:p w14:paraId="77FC2BF2" w14:textId="46F55C69" w:rsidR="001B5219" w:rsidRDefault="001B5219">
      <w:pPr>
        <w:pStyle w:val="Textonotapie"/>
      </w:pPr>
      <w:r>
        <w:rPr>
          <w:rStyle w:val="Refdenotaalpie"/>
        </w:rPr>
        <w:footnoteRef/>
      </w:r>
      <w:r>
        <w:t xml:space="preserve"> </w:t>
      </w:r>
      <w:r>
        <w:fldChar w:fldCharType="begin"/>
      </w:r>
      <w:r>
        <w:instrText xml:space="preserve"> ADDIN ZOTERO_ITEM CSL_CITATION {"citationID":"opbfdniW","properties":{"formattedCitation":"Abelardo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2 vols. (Buenos Aires: Instituto de Investigaciones de Historia del Derecho, 1997), 103\\uc0\\u8211{}18.","plainCitation":"Abelardo Levaggi, “Los tratados con los indios en la época borbónica. Reafirmación de la política de conquista pacífica”, en XI Congreso del Instituto Internacional de Historia del Derecho Indiano. Buenos Aires, 4 al 9 de septiembre de 1995: actas y estudios, vol. 2, 2 vols. (Buenos Aires: Instituto de Investigaciones de Historia del Derecho, 1997), 103–18.","noteIndex":47},"citationItems":[{"id":7842,"uris":["http://zotero.org/users/163570/items/2KEL7H68"],"uri":["http://zotero.org/users/163570/items/2KEL7H68"],"itemData":{"id":7842,"type":"chapter","title":"Los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252865808","language":"spa","author":[{"family":"Levaggi","given":"Abelardo"}],"issued":{"date-parts":[["1997"]]}}}],"schema":"https://github.com/citation-style-language/schema/raw/master/csl-citation.json"} </w:instrText>
      </w:r>
      <w:r>
        <w:fldChar w:fldCharType="separate"/>
      </w:r>
      <w:r w:rsidRPr="007D2D31">
        <w:rPr>
          <w:rFonts w:cs="Times New Roman"/>
          <w:szCs w:val="24"/>
        </w:rPr>
        <w:t xml:space="preserve">Abelardo Levaggi, “Los tratados con los indios en la época borbónica. Reafirmación de la política de conquista pacífica”, en </w:t>
      </w:r>
      <w:r w:rsidRPr="007D2D31">
        <w:rPr>
          <w:rFonts w:cs="Times New Roman"/>
          <w:i/>
          <w:iCs/>
          <w:szCs w:val="24"/>
        </w:rPr>
        <w:t>XI Congreso del Instituto Internacional de Historia del Derecho Indiano. Buenos Aires, 4 al 9 de septiembre de 1995: actas y estudios</w:t>
      </w:r>
      <w:r w:rsidRPr="007D2D31">
        <w:rPr>
          <w:rFonts w:cs="Times New Roman"/>
          <w:szCs w:val="24"/>
        </w:rPr>
        <w:t>, vol. 2, 2 vols. (Buenos Aires: Instituto de Investigaciones de Historia del Derecho, 1997), 103–18.</w:t>
      </w:r>
      <w:r>
        <w:fldChar w:fldCharType="end"/>
      </w:r>
      <w:r>
        <w:t xml:space="preserve"> Para el caso del Nuevo Reino de Granada, coinciden en buena medida con la perspectiva de Levaggi, </w:t>
      </w:r>
      <w:r>
        <w:fldChar w:fldCharType="begin"/>
      </w:r>
      <w:r>
        <w:instrText xml:space="preserve"> ADDIN ZOTERO_ITEM CSL_CITATION {"citationID":"6k61GO2R","properties":{"formattedCitation":"Juan David Montoya Guzm\\uc0\\u225{}n, \\uc0\\u8220{}Un teatro de guerra y hostilidad: reformismo borb\\uc0\\u243{}nico en las fronteras del Dari\\uc0\\u233{}n, 1761-1791\\uc0\\u8221{}, en {\\i{}El siglo XVIII americano: estudios de historia colonial}, ed. Catalina Reyes C\\uc0\\u225{}rdenas, Juan David Montoya Guzm\\uc0\\u225{}n, y Sebasti\\uc0\\u225{}n G\\uc0\\u243{}mez Gonz\\uc0\\u225{}lez, Kindle ed. (Medell\\uc0\\u237{}n: Universidad Nacional de Colombia, Sede Medell\\uc0\\u237{}n, Facultad de Ciencias Humanas y Econ\\uc0\\u243{}micas, 2013); Diego Ram\\uc0\\u237{}rez Giraldo, \\uc0\\u8220{}Intersticios coloniales: el \\uc0\\u8216{}l\\uc0\\u237{}der\\uc0\\u8217{} y el poder nativo entre los way\\uc0\\u250{}u. La pen\\uc0\\u237{}nsula de la Guajira durante el siglo XVIII\\uc0\\u8221{}, en {\\i{}El siglo XVIII americano: estudios de historia colonial}, ed. Ana Catalina Reyes C\\uc0\\u225{}rdenas, Juan David Montoya Guzm\\uc0\\u225{}n, y Sebasti\\uc0\\u225{}n G\\uc0\\u243{}mez Gonz\\uc0\\u225{}lez, Kindle (Medell\\uc0\\u237{}n: Universidad Nacional de Colombia, 2013).","plainCitation":"Juan David Montoya Guzmán, “Un teatro de guerra y hostilidad: reformismo borbónico en las fronteras del Darién, 1761-1791”, en El siglo XVIII americano: estudios de historia colonial,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El siglo XVIII americano: estudios de historia colonial, ed. Ana Catalina Reyes Cárdenas, Juan David Montoya Guzmán, y Sebastián Gómez González, Kindle (Medellín: Universidad Nacional de Colombia, 2013).","noteIndex":47},"citationItems":[{"id":7480,"uris":["http://zotero.org/users/163570/items/JDQS7YXT"],"uri":["http://zotero.org/users/163570/items/JDQS7YXT"],"itemData":{"id":7480,"type":"chapter","title":"Un teatro de guerra y hostilidad: reformismo borbónico en las fronteras del Darién, 1761-1791","container-title":"El siglo XVIII americano: estudios de historia colonial","publisher":"Universidad Nacional de Colombia, Sede Medellín, Facultad de Ciencias Humanas y Económicas","publisher-place":"Medellín","edition":"Kindle ed.","source":"Library of Congress ISBN","event-place":"Medellín","ISBN":"978-958-761-469-5","call-number":"E18.82 .S55 2013","note":"OCLC: ocn864054054","editor":[{"family":"Reyes Cárdenas","given":"Catalina"},{"family":"Montoya Guzmán","given":"Juan David"},{"family":"Gómez González","given":"Sebastián"}],"author":[{"family":"Montoya Guzmán","given":"Juan David"}],"issued":{"date-parts":[["2013"]]}},"label":"page"},{"id":8295,"uris":["http://zotero.org/users/163570/items/2GA5B2EN"],"uri":["http://zotero.org/users/163570/items/2GA5B2EN"],"itemData":{"id":8295,"type":"chapter","title":"Intersticios coloniales: el \"líder\" y el poder nativo entre los wayúu. La península de la Guajira durante el siglo XVIII","container-title":"El siglo XVIII americano: estudios de historia colonial","publisher":"Universidad Nacional de Colombia","publisher-place":"Medellín","edition":"Kindle","source":"Library of Congress ISBN","event-place":"Medellín","ISBN":"978-958-761-469-5","call-number":"E18.82 .S55 2013","note":"OCLC: ocn864054054","shortTitle":"Intersticios coloniales","language":"es","editor":[{"family":"Reyes Cárdenas","given":"Ana Catalina"},{"family":"Montoya Guzmán","given":"Juan David"},{"family":"Gómez González","given":"Sebastián"}],"author":[{"family":"Ramírez Giraldo","given":"Diego"}],"issued":{"date-parts":[["2013"]]}},"label":"page"}],"schema":"https://github.com/citation-style-language/schema/raw/master/csl-citation.json"} </w:instrText>
      </w:r>
      <w:r>
        <w:fldChar w:fldCharType="separate"/>
      </w:r>
      <w:r w:rsidRPr="007D2D31">
        <w:rPr>
          <w:rFonts w:cs="Times New Roman"/>
          <w:szCs w:val="24"/>
        </w:rPr>
        <w:t xml:space="preserve">Juan David Montoya Guzmán, “Un teatro de guerra y hostilidad: reformismo borbónico en las fronteras del Darién, 1761-1791”, en </w:t>
      </w:r>
      <w:r w:rsidRPr="007D2D31">
        <w:rPr>
          <w:rFonts w:cs="Times New Roman"/>
          <w:i/>
          <w:iCs/>
          <w:szCs w:val="24"/>
        </w:rPr>
        <w:t>El siglo XVIII americano: estudios de historia colonial</w:t>
      </w:r>
      <w:r w:rsidRPr="007D2D31">
        <w:rPr>
          <w:rFonts w:cs="Times New Roman"/>
          <w:szCs w:val="24"/>
        </w:rPr>
        <w:t xml:space="preserve">,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w:t>
      </w:r>
      <w:r w:rsidRPr="007D2D31">
        <w:rPr>
          <w:rFonts w:cs="Times New Roman"/>
          <w:i/>
          <w:iCs/>
          <w:szCs w:val="24"/>
        </w:rPr>
        <w:t>El siglo XVIII americano: estudios de historia colonial</w:t>
      </w:r>
      <w:r w:rsidRPr="007D2D31">
        <w:rPr>
          <w:rFonts w:cs="Times New Roman"/>
          <w:szCs w:val="24"/>
        </w:rPr>
        <w:t>, ed. Ana Catalina Reyes Cárdenas, Juan David Montoya Guzmán, y Sebastián Gómez González, Kindle (Medellín: Universidad Nacional de Colombia, 2013).</w:t>
      </w:r>
      <w:r>
        <w:fldChar w:fldCharType="end"/>
      </w:r>
    </w:p>
  </w:footnote>
  <w:footnote w:id="48">
    <w:p w14:paraId="5B19E850" w14:textId="767B7B16" w:rsidR="001B5219" w:rsidRDefault="001B5219">
      <w:pPr>
        <w:pStyle w:val="Textonotapie"/>
      </w:pPr>
      <w:r>
        <w:rPr>
          <w:rStyle w:val="Refdenotaalpie"/>
        </w:rPr>
        <w:footnoteRef/>
      </w:r>
      <w:r>
        <w:t xml:space="preserve"> </w:t>
      </w:r>
      <w:r>
        <w:fldChar w:fldCharType="begin"/>
      </w:r>
      <w:r>
        <w:instrText xml:space="preserve"> ADDIN ZOTERO_ITEM CSL_CITATION {"citationID":"nC9QMqnh","properties":{"formattedCitation":"Mar\\uc0\\u237{}a Cristina Navarrete, \\uc0\\u8220{}El tratado de paz que legitim\\uc0\\u243{} a San Miguel Arc\\uc0\\u225{}ngel por Mar\\uc0\\u237{}a Cristina Navarrete\\uc0\\u8221{}, Blog, {\\i{}Los Reinos de las Indias} (blog), el 29 de septiembre de 2016, https://losreinosdelasindias.hypotheses.org/1148.","plainCitation":"María Cristina Navarrete, “El tratado de paz que legitimó a San Miguel Arcángel por María Cristina Navarrete”, Blog, Los Reinos de las Indias (blog), el 29 de septiembre de 2016, https://losreinosdelasindias.hypotheses.org/1148.","noteIndex":48},"citationItems":[{"id":5411,"uris":["http://zotero.org/users/163570/items/NUZCIFIX"],"uri":["http://zotero.org/users/163570/items/NUZCIFIX"],"itemData":{"id":5411,"type":"post-weblog","title":"El tratado de paz que legitimó a San Miguel Arcángel por María Cristina Navarrete","container-title":"Los Reinos de las Indias","genre":"Blog","abstract":"Esta semana los invitamos a leer un texto escrito por la Dra. María Cristina Navarrete, profesora de la Universidad del Valle y quien anteriormente ya había colaborado con el blog. Su participación en esta ocasion resulta ad hoc pues en estos días la población de Colombia se encuentra en un momento crucial del proceso de … Sigue leyendo El tratado de paz que legitimó a San Miguel Arcángel por María Cristina Navarrete →","URL":"https://losreinosdelasindias.hypotheses.org/1148","author":[{"family":"Navarrete","given":"María Cristina"}],"issued":{"date-parts":[["2016",9,29]]},"accessed":{"date-parts":[["2016",10,4]]}}}],"schema":"https://github.com/citation-style-language/schema/raw/master/csl-citation.json"} </w:instrText>
      </w:r>
      <w:r>
        <w:fldChar w:fldCharType="separate"/>
      </w:r>
      <w:r w:rsidRPr="00EE5D2F">
        <w:rPr>
          <w:rFonts w:cs="Times New Roman"/>
          <w:szCs w:val="24"/>
        </w:rPr>
        <w:t xml:space="preserve">María Cristina Navarrete, “El tratado de paz que legitimó a San Miguel Arcángel por María Cristina Navarrete”, Blog, </w:t>
      </w:r>
      <w:r w:rsidRPr="00EE5D2F">
        <w:rPr>
          <w:rFonts w:cs="Times New Roman"/>
          <w:i/>
          <w:iCs/>
          <w:szCs w:val="24"/>
        </w:rPr>
        <w:t>Los Reinos de las Indias</w:t>
      </w:r>
      <w:r w:rsidRPr="00EE5D2F">
        <w:rPr>
          <w:rFonts w:cs="Times New Roman"/>
          <w:szCs w:val="24"/>
        </w:rPr>
        <w:t xml:space="preserve"> (blog), el 29 de septiembre de 2016, https://losreinosdelasindias.hypotheses.org/1148.</w:t>
      </w:r>
      <w:r>
        <w:fldChar w:fldCharType="end"/>
      </w:r>
    </w:p>
  </w:footnote>
  <w:footnote w:id="49">
    <w:p w14:paraId="7F3318A8" w14:textId="7039E59F" w:rsidR="001B5219" w:rsidRPr="00EE5D2F" w:rsidRDefault="001B5219">
      <w:pPr>
        <w:pStyle w:val="Textonotapie"/>
      </w:pPr>
      <w:r>
        <w:rPr>
          <w:rStyle w:val="Refdenotaalpie"/>
        </w:rPr>
        <w:footnoteRef/>
      </w:r>
      <w:r>
        <w:t xml:space="preserve"> Decía </w:t>
      </w:r>
      <w:r w:rsidRPr="00AD59DB">
        <w:rPr>
          <w:highlight w:val="yellow"/>
        </w:rPr>
        <w:t>Nierembe</w:t>
      </w:r>
      <w:r>
        <w:rPr>
          <w:highlight w:val="yellow"/>
        </w:rPr>
        <w:t>rg</w:t>
      </w:r>
      <w:r>
        <w:t xml:space="preserve"> que “con ella haze mas en sus subditos, que con el poder, armas y suplicios.” </w:t>
      </w:r>
      <w:r>
        <w:rPr>
          <w:i/>
        </w:rPr>
        <w:t>Aforismos o dictámenes</w:t>
      </w:r>
      <w:r>
        <w:t>, cent. VII, dec. IX, núm. 86.</w:t>
      </w:r>
    </w:p>
  </w:footnote>
  <w:footnote w:id="50">
    <w:p w14:paraId="33B5AFCA" w14:textId="4E6856B5" w:rsidR="001B5219" w:rsidRPr="004A4897" w:rsidRDefault="001B5219">
      <w:pPr>
        <w:pStyle w:val="Textonotapie"/>
        <w:rPr>
          <w:lang w:val="en-US"/>
        </w:rPr>
      </w:pPr>
      <w:r>
        <w:rPr>
          <w:rStyle w:val="Refdenotaalpie"/>
        </w:rPr>
        <w:footnoteRef/>
      </w:r>
      <w:r w:rsidRPr="00EE5D2F">
        <w:rPr>
          <w:lang w:val="en-US"/>
        </w:rPr>
        <w:t xml:space="preserve"> </w:t>
      </w:r>
      <w:r>
        <w:fldChar w:fldCharType="begin"/>
      </w:r>
      <w:r w:rsidRPr="00EE5D2F">
        <w:rPr>
          <w:lang w:val="en-US"/>
        </w:rPr>
        <w:instrText xml:space="preserve"> ADDIN ZOTERO_ITEM CSL_CITATION {"citationID":"Ozv1nEx5","properties":{"formattedCitation":"Mark A. Burkholder y D. S. Chandler, {\\i{}From impotence to authority: the Spanish Crown and the American audiencias, 1687-1808} (Columbia: University of Missouri Press, 1977).","plainCitation":"Mark A. Burkholder y D. S. Chandler, From impotence to authority: the Spanish Crown and the American audiencias, 1687-1808 (Columbia: University of Missouri Press, 1977).","noteIndex":50},"citationItems":[{"id":4664,"uris":["http://zotero.org/users/163570/items/TMWAU6JD"],"uri":["http://zotero.org/users/163570/items/TMWAU6JD"],"itemData":{"id":4664,"type":"book","title":"From impotence to authority: the Spanish Crown and the American audiencias, 1687-1808","publisher":"University of Missouri Press","publisher-place":"Columbia","number-of-pages":"253","source":"Library of Congress ISBN","event-place":"Columbia","ISBN":"978-0-8262-0219-2","call-number":"KKT1610 .B875 1977","shortTitle":"From impotence to authority","author":[{"family":"Burkholder","given":"Mark A."},{"family":"Chandler","given":"D. S."}],"issued":{"date-parts":[["1977"]]}}}],"schema":"https://github.com/citation-style-language/schema/raw/master/csl-citation.json"} </w:instrText>
      </w:r>
      <w:r>
        <w:fldChar w:fldCharType="separate"/>
      </w:r>
      <w:r w:rsidRPr="004A4897">
        <w:rPr>
          <w:rFonts w:cs="Times New Roman"/>
          <w:szCs w:val="24"/>
          <w:lang w:val="en-US"/>
        </w:rPr>
        <w:t xml:space="preserve">Mark A. Burkholder y D. S. Chandler, </w:t>
      </w:r>
      <w:r w:rsidRPr="004A4897">
        <w:rPr>
          <w:rFonts w:cs="Times New Roman"/>
          <w:i/>
          <w:iCs/>
          <w:szCs w:val="24"/>
          <w:lang w:val="en-US"/>
        </w:rPr>
        <w:t>From impotence to authority: the Spanish Crown and the American audiencias, 1687-1808</w:t>
      </w:r>
      <w:r w:rsidRPr="004A4897">
        <w:rPr>
          <w:rFonts w:cs="Times New Roman"/>
          <w:szCs w:val="24"/>
          <w:lang w:val="en-US"/>
        </w:rPr>
        <w:t xml:space="preserve"> (Columbia: University of Missouri Press, 1977).</w:t>
      </w:r>
      <w:r>
        <w:fldChar w:fldCharType="end"/>
      </w:r>
    </w:p>
  </w:footnote>
  <w:footnote w:id="51">
    <w:p w14:paraId="1C30ECB3" w14:textId="461AAFF3" w:rsidR="001B5219" w:rsidRDefault="001B5219">
      <w:pPr>
        <w:pStyle w:val="Textonotapie"/>
      </w:pPr>
      <w:r>
        <w:rPr>
          <w:rStyle w:val="Refdenotaalpie"/>
        </w:rPr>
        <w:footnoteRef/>
      </w:r>
      <w:r>
        <w:t xml:space="preserve"> </w:t>
      </w:r>
      <w:r>
        <w:fldChar w:fldCharType="begin"/>
      </w:r>
      <w:r>
        <w:instrText xml:space="preserve"> ADDIN ZOTERO_ITEM CSL_CITATION {"citationID":"humskuqY","properties":{"formattedCitation":"Costa, \\uc0\\u8220{}La soberan\\uc0\\u237{}a en la cultura pol\\uc0\\u237{}tico-jur\\uc0\\u237{}dica medieval\\uc0\\u8221{}, 54.","plainCitation":"Costa, “La soberanía en la cultura político-jurídica medieval”, 54.","noteIndex":51},"citationItems":[{"id":6125,"uris":["http://zotero.org/users/163570/items/VW3CC6ER"],"uri":["http://zotero.org/users/163570/items/VW3CC6ER"],"itemData":{"id":6125,"type":"article-journal","title":"La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6D50E5">
        <w:rPr>
          <w:rFonts w:cs="Times New Roman"/>
          <w:szCs w:val="24"/>
        </w:rPr>
        <w:t>Costa, “La soberanía en la cultura político-jurídica medieval”, 54.</w:t>
      </w:r>
      <w:r>
        <w:fldChar w:fldCharType="end"/>
      </w:r>
    </w:p>
  </w:footnote>
  <w:footnote w:id="52">
    <w:p w14:paraId="44810357" w14:textId="35CA4B0E" w:rsidR="001B5219" w:rsidRDefault="001B5219">
      <w:pPr>
        <w:pStyle w:val="Textonotapie"/>
      </w:pPr>
      <w:r>
        <w:rPr>
          <w:rStyle w:val="Refdenotaalpie"/>
        </w:rPr>
        <w:footnoteRef/>
      </w:r>
      <w:r>
        <w:t xml:space="preserve"> </w:t>
      </w:r>
      <w:r>
        <w:fldChar w:fldCharType="begin"/>
      </w:r>
      <w:r>
        <w:instrText xml:space="preserve"> ADDIN ZOTERO_ITEM CSL_CITATION {"citationID":"greUAAk6","properties":{"formattedCitation":"Horst Pietschmann, \\uc0\\u8220{}Justicia, discurso pol\\uc0\\u237{}tico y reformismo borb\\uc0\\u243{}nico en la Nueva Espa\\uc0\\u241{}a del siglo XVIII\\uc0\\u8221{}, en {\\i{}Acomodos pol\\uc0\\u237{}ticos, mentalidades y v\\uc0\\u237{}as de cambio: M\\uc0\\u233{}xico en el marco de la monarqu\\uc0\\u237{}a hispana}, de Horst Pietschmann, ed. Jos\\uc0\\u233{} Enrique Covarrubias y Josefina Zoraida V\\uc0\\u225{}zquez, Antolog\\uc0\\u237{}as (M\\uc0\\u233{}xico: El Colegio de M\\uc0\\u233{}xico, 2016), 158.","plainCitation":"Horst Pietschmann, “Justicia, discurso político y reformismo borbónico en la Nueva España del siglo XVIII”, en Acomodos políticos, mentalidades y vías de cambio: México en el marco de la monarquía hispana, de Horst Pietschmann, ed. José Enrique Covarrubias y Josefina Zoraida Vázquez, Antologías (México: El Colegio de México, 2016), 158.","noteIndex":52},"citationItems":[{"id":8141,"uris":["http://zotero.org/users/163570/items/MHR2MHNL"],"uri":["http://zotero.org/users/163570/items/MHR2MHNL"],"itemData":{"id":8141,"type":"chapter","title":"Justicia, discurso político y reformismo borbónico en la Nueva España del siglo XVIII","container-title":"Acomodos políticos, mentalidades y vías de cambio: México en el marco de la monarquía hispana","collection-title":"Antologías","publisher":"El Colegio de México","publisher-place":"México","page":"157-193","source":"Library of Congress ISBN","event-place":"México","ISBN":"978-607-462-918-7","call-number":"F1231 .P53918 2016","shortTitle":"Justicia, discurso político y reformismo borbónico","language":"spa","container-author":[{"family":"Pietschmann","given":"Horst"}],"editor":[{"family":"Covarrubias","given":"José Enrique"},{"family":"Vázquez","given":"Josefina Zoraida"}],"author":[{"family":"Pietschmann","given":"Horst"}],"issued":{"date-parts":[["2016"]]}},"locator":"158","label":"page"}],"schema":"https://github.com/citation-style-language/schema/raw/master/csl-citation.json"} </w:instrText>
      </w:r>
      <w:r>
        <w:fldChar w:fldCharType="separate"/>
      </w:r>
      <w:r w:rsidRPr="006D50E5">
        <w:rPr>
          <w:rFonts w:cs="Times New Roman"/>
          <w:szCs w:val="24"/>
        </w:rPr>
        <w:t xml:space="preserve">Horst Pietschmann, “Justicia, discurso político y reformismo borbónico en la Nueva España del siglo XVIII”, en </w:t>
      </w:r>
      <w:r w:rsidRPr="006D50E5">
        <w:rPr>
          <w:rFonts w:cs="Times New Roman"/>
          <w:i/>
          <w:iCs/>
          <w:szCs w:val="24"/>
        </w:rPr>
        <w:t>Acomodos políticos, mentalidades y vías de cambio: México en el marco de la monarquía hispana</w:t>
      </w:r>
      <w:r w:rsidRPr="006D50E5">
        <w:rPr>
          <w:rFonts w:cs="Times New Roman"/>
          <w:szCs w:val="24"/>
        </w:rPr>
        <w:t>, de Horst Pietschmann, ed. José Enrique Covarrubias y Josefina Zoraida Vázquez, Antologías (México: El Colegio de México, 2016), 158.</w:t>
      </w:r>
      <w:r>
        <w:fldChar w:fldCharType="end"/>
      </w:r>
    </w:p>
  </w:footnote>
  <w:footnote w:id="53">
    <w:p w14:paraId="7B099C16" w14:textId="450ED901" w:rsidR="001B5219" w:rsidRPr="00F96CCB" w:rsidRDefault="001B5219">
      <w:pPr>
        <w:pStyle w:val="Textonotapie"/>
      </w:pPr>
      <w:r>
        <w:rPr>
          <w:rStyle w:val="Refdenotaalpie"/>
        </w:rPr>
        <w:footnoteRef/>
      </w:r>
      <w:r>
        <w:t xml:space="preserve"> </w:t>
      </w:r>
      <w:r w:rsidRPr="00F96CCB">
        <w:rPr>
          <w:highlight w:val="yellow"/>
        </w:rPr>
        <w:t xml:space="preserve">Joaquín de Finestrad, </w:t>
      </w:r>
      <w:r w:rsidRPr="00F96CCB">
        <w:rPr>
          <w:i/>
          <w:highlight w:val="yellow"/>
        </w:rPr>
        <w:t xml:space="preserve">El vasallo instruido en el Nuevo Reino de Granada y sus respectivas obligaciones </w:t>
      </w:r>
      <w:r w:rsidRPr="00F96CCB">
        <w:rPr>
          <w:highlight w:val="yellow"/>
        </w:rPr>
        <w:t>[ca. 1789], transcripción y estudio introductorio por Margarita González (Bogotá: Universidad Nacional de Colombia, 2001), 309.</w:t>
      </w:r>
    </w:p>
  </w:footnote>
  <w:footnote w:id="54">
    <w:p w14:paraId="0FD662B8" w14:textId="13D4057C" w:rsidR="001B5219" w:rsidRPr="00EE5D2F" w:rsidRDefault="001B5219">
      <w:pPr>
        <w:pStyle w:val="Textonotapie"/>
      </w:pPr>
      <w:r>
        <w:rPr>
          <w:rStyle w:val="Refdenotaalpie"/>
        </w:rPr>
        <w:footnoteRef/>
      </w:r>
      <w:r>
        <w:t xml:space="preserve"> En este mismo sentido, Nieremberg había dicho en el siglo XVII que la autoridad “no la puede adquirir el Principe por su industria humana, porque es don divino”, además, dios habría puesto en el corazón de los vasallos la inclinación de los ánimos, en tanto el rey debía ayudar con la virtud y evitar la crueldad. En esta ecuación ética, el papel del príncipe es activo en tanto requiere su acción virtuosa con el fin de mover los ánimos de los súbditos; en Finestrad, el papel del rey es pasivo, puesto que por la donación divina ya se hacía digno de autoridad. Véase Nieremberg, </w:t>
      </w:r>
      <w:r>
        <w:rPr>
          <w:i/>
        </w:rPr>
        <w:t>Aforismos y dictámentes</w:t>
      </w:r>
      <w:r>
        <w:t>, cent. VII, dec. IX, núms. 86-88.</w:t>
      </w:r>
    </w:p>
  </w:footnote>
  <w:footnote w:id="55">
    <w:p w14:paraId="53B9A201" w14:textId="082C8F8C" w:rsidR="001B5219" w:rsidRDefault="001B5219">
      <w:pPr>
        <w:pStyle w:val="Textonotapie"/>
      </w:pPr>
      <w:r>
        <w:rPr>
          <w:rStyle w:val="Refdenotaalpie"/>
        </w:rPr>
        <w:footnoteRef/>
      </w:r>
      <w:r>
        <w:t xml:space="preserve"> Finestrad, 306.</w:t>
      </w:r>
    </w:p>
  </w:footnote>
  <w:footnote w:id="56">
    <w:p w14:paraId="5FD37AC8" w14:textId="4A4F212D" w:rsidR="001B5219" w:rsidRDefault="001B5219">
      <w:pPr>
        <w:pStyle w:val="Textonotapie"/>
      </w:pPr>
      <w:r>
        <w:rPr>
          <w:rStyle w:val="Refdenotaalpie"/>
        </w:rPr>
        <w:footnoteRef/>
      </w:r>
      <w:r>
        <w:t xml:space="preserve"> Finestrad, 295.</w:t>
      </w:r>
    </w:p>
  </w:footnote>
  <w:footnote w:id="57">
    <w:p w14:paraId="1DE88A5C" w14:textId="71871AD0" w:rsidR="001B5219" w:rsidRPr="0092506C" w:rsidRDefault="001B5219">
      <w:pPr>
        <w:pStyle w:val="Textonotapie"/>
        <w:rPr>
          <w:lang w:val="fr-FR"/>
        </w:rPr>
      </w:pPr>
      <w:r>
        <w:rPr>
          <w:rStyle w:val="Refdenotaalpie"/>
        </w:rPr>
        <w:footnoteRef/>
      </w:r>
      <w:r w:rsidRPr="00EE5D2F">
        <w:t xml:space="preserve"> </w:t>
      </w:r>
      <w:r>
        <w:fldChar w:fldCharType="begin"/>
      </w:r>
      <w:r w:rsidRPr="00EE5D2F">
        <w:instrText xml:space="preserve"> ADDIN ZOTERO_ITEM CSL_CITATION {"citationID":"VZkZ1VbG","properties":{"formattedCi</w:instrText>
      </w:r>
      <w:r>
        <w:rPr>
          <w:lang w:val="fr-FR"/>
        </w:rPr>
        <w:instrText xml:space="preserve">tation":"Alonso Romero y Hespanha, \\uc0\\u8220{}Les peines dans les pays ib\\uc0\\u233{}riques\\uc0\\u8221{}, 221.","plainCitation":"Alonso Romero y Hespanha, “Les peines dans les pays ibériques”, 221.","noteIndex":56},"citationItems":[{"id":8134,"uris":["http://zotero.org/users/163570/items/K4N9M6GT"],"uri":["http://zotero.org/users/163570/items/K4N9M6GT"],"itemData":{"id":8134,"type":"chapter","title":"Les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Manuel"}],"issued":{"date-parts":[["1989"]]}},"locator":"221","label":"page"}],"schema":"https://github.com/citation-style-language/schema/raw/master/csl-citation.json"} </w:instrText>
      </w:r>
      <w:r>
        <w:fldChar w:fldCharType="separate"/>
      </w:r>
      <w:r w:rsidRPr="0092506C">
        <w:rPr>
          <w:rFonts w:cs="Times New Roman"/>
          <w:szCs w:val="24"/>
          <w:lang w:val="fr-FR"/>
        </w:rPr>
        <w:t>Alonso Romero y Hespanha, “Les peines dans les pays ibériques”, 221.</w:t>
      </w:r>
      <w:r>
        <w:fldChar w:fldCharType="end"/>
      </w:r>
    </w:p>
  </w:footnote>
  <w:footnote w:id="58">
    <w:p w14:paraId="24FF7658" w14:textId="4A2BDB63" w:rsidR="001B5219" w:rsidRDefault="001B5219">
      <w:pPr>
        <w:pStyle w:val="Textonotapie"/>
      </w:pPr>
      <w:r>
        <w:rPr>
          <w:rStyle w:val="Refdenotaalpie"/>
        </w:rPr>
        <w:footnoteRef/>
      </w:r>
      <w:r>
        <w:t xml:space="preserve"> </w:t>
      </w:r>
      <w:r w:rsidRPr="0092506C">
        <w:rPr>
          <w:color w:val="FF0000"/>
          <w:highlight w:val="yellow"/>
        </w:rPr>
        <w:t>Bautista y Lugo, 405</w:t>
      </w:r>
    </w:p>
  </w:footnote>
  <w:footnote w:id="59">
    <w:p w14:paraId="0C761EC9" w14:textId="55FC9261" w:rsidR="001B5219" w:rsidRDefault="001B5219">
      <w:pPr>
        <w:pStyle w:val="Textonotapie"/>
      </w:pPr>
      <w:r>
        <w:rPr>
          <w:rStyle w:val="Refdenotaalpie"/>
        </w:rPr>
        <w:footnoteRef/>
      </w:r>
      <w:r>
        <w:t xml:space="preserve"> </w:t>
      </w:r>
      <w:r w:rsidRPr="006B38EA">
        <w:t xml:space="preserve">Juan Eusebio Nieremberg, </w:t>
      </w:r>
      <w:r w:rsidRPr="006B38EA">
        <w:rPr>
          <w:i/>
          <w:highlight w:val="yellow"/>
        </w:rPr>
        <w:t xml:space="preserve">Obras y días. </w:t>
      </w:r>
      <w:r w:rsidRPr="00F96FD3">
        <w:rPr>
          <w:i/>
          <w:highlight w:val="yellow"/>
        </w:rPr>
        <w:t>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XVI, 122.</w:t>
      </w:r>
    </w:p>
  </w:footnote>
  <w:footnote w:id="60">
    <w:p w14:paraId="1E51D23B" w14:textId="651F0C48" w:rsidR="001B5219" w:rsidRPr="007308B5" w:rsidRDefault="001B5219">
      <w:pPr>
        <w:pStyle w:val="Textonotapie"/>
      </w:pPr>
      <w:r>
        <w:rPr>
          <w:rStyle w:val="Refdenotaalpie"/>
        </w:rPr>
        <w:footnoteRef/>
      </w:r>
      <w:r w:rsidRPr="007308B5">
        <w:rPr>
          <w:lang w:val="it-IT"/>
        </w:rPr>
        <w:t xml:space="preserve"> </w:t>
      </w:r>
      <w:r>
        <w:fldChar w:fldCharType="begin"/>
      </w:r>
      <w:r w:rsidRPr="007308B5">
        <w:rPr>
          <w:lang w:val="it-IT"/>
        </w:rPr>
        <w:instrText xml:space="preserve"> ADDIN ZOTERO_ITEM CSL_CITATION {"citationID":"tBf4Yhs2","properties":{"formattedCitation":"Hespanha, \\uc0\\u8220{}De iustitia a disciplina\\uc0\\u8221{}, 229.","plainCitation":"Hespanha, “De iustitia a disciplina”, 229.","noteIndex":52},"citationItems":[{"id":8287,"uris":["http://zotero.org/users/163570/items/XEIM5I84"],"uri":["http://zotero.org/users/163570/items/XEIM5I84"],"itemData":{"id":8287,"type":"chapter","title":"De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Haurie","given":"Ana"}],"issued":{"date-parts":[["1993"]]}},"locator":"229","label":"page"}],"schema":"https://github.com/citation-style-language/schema/raw/master/csl-citation.json"} </w:instrText>
      </w:r>
      <w:r>
        <w:fldChar w:fldCharType="separate"/>
      </w:r>
      <w:r w:rsidRPr="007308B5">
        <w:rPr>
          <w:rFonts w:cs="Times New Roman"/>
          <w:szCs w:val="24"/>
          <w:lang w:val="it-IT"/>
        </w:rPr>
        <w:t>Hespanha, “De iustitia a disciplina”, 229.</w:t>
      </w:r>
      <w:r>
        <w:fldChar w:fldCharType="end"/>
      </w:r>
      <w:r w:rsidRPr="007308B5">
        <w:rPr>
          <w:lang w:val="it-IT"/>
        </w:rPr>
        <w:t xml:space="preserve"> </w:t>
      </w:r>
      <w:r w:rsidRPr="007308B5">
        <w:t>Decía en este sentido Murillo Velarde que el perdón, para que se hiciera “l</w:t>
      </w:r>
      <w:r>
        <w:t xml:space="preserve">ícitamente”, requería que se ejerciera pocas veces y con discreción y prudencia, para que no resultara de su uso continuado el daño a la república al incentivar los delitos. </w:t>
      </w:r>
      <w:r w:rsidRPr="00766A7E">
        <w:rPr>
          <w:i/>
        </w:rPr>
        <w:t>Cursus iuris canonici</w:t>
      </w:r>
      <w:r w:rsidRPr="00766A7E">
        <w:t xml:space="preserve">, L. V, tít. </w:t>
      </w:r>
      <w:r>
        <w:t xml:space="preserve">XXXVII, </w:t>
      </w:r>
      <w:r w:rsidRPr="00F47F3C">
        <w:t>“De pœnis”</w:t>
      </w:r>
      <w:r>
        <w:t>, No. 322.</w:t>
      </w:r>
    </w:p>
  </w:footnote>
  <w:footnote w:id="61">
    <w:p w14:paraId="29C07C2A" w14:textId="4AB927E5" w:rsidR="001B5219" w:rsidRDefault="001B5219">
      <w:pPr>
        <w:pStyle w:val="Textonotapie"/>
      </w:pPr>
      <w:r>
        <w:rPr>
          <w:rStyle w:val="Refdenotaalpie"/>
        </w:rPr>
        <w:footnoteRef/>
      </w:r>
      <w:r>
        <w:t xml:space="preserve"> </w:t>
      </w:r>
      <w:r>
        <w:fldChar w:fldCharType="begin"/>
      </w:r>
      <w:r>
        <w:instrText xml:space="preserve"> ADDIN ZOTERO_ITEM CSL_CITATION {"citationID":"mHv9lehg","properties":{"formattedCitation":"Hespanha, 232.","plainCitation":"Hespanha, 232.","noteIndex":53},"citationItems":[{"id":8287,"uris":["http://zotero.org/users/163570/items/XEIM5I84"],"uri":["http://zotero.org/users/163570/items/XEIM5I84"],"itemData":{"id":8287,"type":"chapter","title":"De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546CA2">
        <w:rPr>
          <w:rFonts w:cs="Times New Roman"/>
        </w:rPr>
        <w:t>Hespanha, 232.</w:t>
      </w:r>
      <w:r>
        <w:fldChar w:fldCharType="end"/>
      </w:r>
    </w:p>
  </w:footnote>
  <w:footnote w:id="62">
    <w:p w14:paraId="49C1466F" w14:textId="593A2D0E" w:rsidR="001B5219" w:rsidRDefault="001B5219">
      <w:pPr>
        <w:pStyle w:val="Textonotapie"/>
      </w:pPr>
      <w:r>
        <w:rPr>
          <w:rStyle w:val="Refdenotaalpie"/>
        </w:rPr>
        <w:footnoteRef/>
      </w:r>
      <w:r>
        <w:t xml:space="preserve"> </w:t>
      </w:r>
      <w:r>
        <w:fldChar w:fldCharType="begin"/>
      </w:r>
      <w:r>
        <w:instrText xml:space="preserve"> ADDIN ZOTERO_ITEM CSL_CITATION {"citationID":"3BRVPO9Z","properties":{"formattedCitation":"Costa, \\uc0\\u8220{}La soberan\\uc0\\u237{}a en la cultura pol\\uc0\\u237{}tico-jur\\uc0\\u237{}dica medieval\\uc0\\u8221{}, 54.","plainCitation":"Costa, “La soberanía en la cultura político-jurídica medieval”, 54.","noteIndex":58},"citationItems":[{"id":6125,"uris":["http://zotero.org/users/163570/items/VW3CC6ER"],"uri":["http://zotero.org/users/163570/items/VW3CC6ER"],"itemData":{"id":6125,"type":"article-journal","title":"La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E572D7">
        <w:rPr>
          <w:rFonts w:cs="Times New Roman"/>
          <w:szCs w:val="24"/>
        </w:rPr>
        <w:t>Costa, “La soberanía en la cultura político-jurídica medieval”, 54.</w:t>
      </w:r>
      <w:r>
        <w:fldChar w:fldCharType="end"/>
      </w:r>
    </w:p>
  </w:footnote>
  <w:footnote w:id="63">
    <w:p w14:paraId="081D691E" w14:textId="76739EAA" w:rsidR="001B5219" w:rsidRDefault="001B5219">
      <w:pPr>
        <w:pStyle w:val="Textonotapie"/>
      </w:pPr>
      <w:r>
        <w:rPr>
          <w:rStyle w:val="Refdenotaalpie"/>
        </w:rPr>
        <w:footnoteRef/>
      </w:r>
      <w:r w:rsidRPr="00EA3A7D">
        <w:t xml:space="preserve"> </w:t>
      </w:r>
      <w:r w:rsidRPr="00EA3A7D">
        <w:rPr>
          <w:highlight w:val="yellow"/>
        </w:rPr>
        <w:t>Benito Jerónimo Feijoo, </w:t>
      </w:r>
      <w:r w:rsidRPr="00EA3A7D">
        <w:rPr>
          <w:i/>
          <w:iCs/>
          <w:highlight w:val="yellow"/>
        </w:rPr>
        <w:t>Theatro crítico universal, o discursos varios en todo genero de materias para desengaño de errores comunes</w:t>
      </w:r>
      <w:r w:rsidRPr="00EA3A7D">
        <w:rPr>
          <w:highlight w:val="yellow"/>
        </w:rPr>
        <w:t>, tercera impresión (Madrid: imprenta de la viuda de Francisco del Hierro, 1732), discurso XI "Balanza de Astrea o recta administración de justicia", núm. 51.</w:t>
      </w:r>
    </w:p>
  </w:footnote>
  <w:footnote w:id="64">
    <w:p w14:paraId="6AC8EF8F" w14:textId="0F5F4FF0" w:rsidR="001B5219" w:rsidRDefault="001B5219">
      <w:pPr>
        <w:pStyle w:val="Textonotapie"/>
      </w:pPr>
      <w:r>
        <w:rPr>
          <w:rStyle w:val="Refdenotaalpie"/>
        </w:rPr>
        <w:footnoteRef/>
      </w:r>
      <w:r w:rsidRPr="006B38EA">
        <w:t xml:space="preserve"> Nieremberg, </w:t>
      </w:r>
      <w:r w:rsidRPr="008B51AA">
        <w:rPr>
          <w:i/>
        </w:rPr>
        <w:t>Obras y días</w:t>
      </w:r>
      <w:r w:rsidRPr="008B51AA">
        <w:t>, c</w:t>
      </w:r>
      <w:r>
        <w:t>ap. III.</w:t>
      </w:r>
    </w:p>
  </w:footnote>
  <w:footnote w:id="65">
    <w:p w14:paraId="75EB9207" w14:textId="116005CC" w:rsidR="001B5219" w:rsidRPr="00323B53" w:rsidRDefault="001B5219">
      <w:pPr>
        <w:pStyle w:val="Textonotapie"/>
      </w:pPr>
      <w:r>
        <w:rPr>
          <w:rStyle w:val="Refdenotaalpie"/>
        </w:rPr>
        <w:footnoteRef/>
      </w:r>
      <w:r>
        <w:t xml:space="preserve"> Castillo de Bovadilla, </w:t>
      </w:r>
      <w:r>
        <w:rPr>
          <w:i/>
        </w:rPr>
        <w:t>Política para corregidores</w:t>
      </w:r>
      <w:r>
        <w:t>, Lib. I, cap. III, núm. 6 y 23.</w:t>
      </w:r>
    </w:p>
  </w:footnote>
  <w:footnote w:id="66">
    <w:p w14:paraId="51A12FDE" w14:textId="79D8C801" w:rsidR="001B5219" w:rsidRPr="001E0330" w:rsidRDefault="001B5219">
      <w:pPr>
        <w:pStyle w:val="Textonotapie"/>
      </w:pPr>
      <w:r>
        <w:rPr>
          <w:rStyle w:val="Refdenotaalpie"/>
        </w:rPr>
        <w:footnoteRef/>
      </w:r>
      <w:r>
        <w:t xml:space="preserve"> </w:t>
      </w:r>
      <w:r w:rsidRPr="001E0330">
        <w:rPr>
          <w:highlight w:val="yellow"/>
        </w:rPr>
        <w:t xml:space="preserve">Ribadeneyra, </w:t>
      </w:r>
      <w:r w:rsidRPr="001E0330">
        <w:rPr>
          <w:i/>
          <w:highlight w:val="yellow"/>
        </w:rPr>
        <w:t>Tratado de la religión y virtudes</w:t>
      </w:r>
      <w:r>
        <w:t>, 5</w:t>
      </w:r>
    </w:p>
  </w:footnote>
  <w:footnote w:id="67">
    <w:p w14:paraId="1335ECE5" w14:textId="6E7B88AE" w:rsidR="001B5219" w:rsidRPr="00C24EFF" w:rsidRDefault="001B5219">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68">
    <w:p w14:paraId="448F145B" w14:textId="06E06EDA" w:rsidR="001B5219" w:rsidRPr="009A7156" w:rsidRDefault="001B5219">
      <w:pPr>
        <w:pStyle w:val="Textonotapie"/>
      </w:pPr>
      <w:r>
        <w:rPr>
          <w:rStyle w:val="Refdenotaalpie"/>
        </w:rPr>
        <w:footnoteRef/>
      </w:r>
      <w:r>
        <w:t xml:space="preserve"> </w:t>
      </w:r>
      <w:r w:rsidRPr="00C3030E">
        <w:t xml:space="preserve">Juan de Mariana, </w:t>
      </w:r>
      <w:r w:rsidRPr="00C3030E">
        <w:rPr>
          <w:i/>
          <w:iCs/>
        </w:rPr>
        <w:t>La dignidad real</w:t>
      </w:r>
      <w:r>
        <w:t xml:space="preserve">,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69">
    <w:p w14:paraId="0835D4FA" w14:textId="77469138" w:rsidR="001B5219" w:rsidRDefault="001B5219">
      <w:pPr>
        <w:pStyle w:val="Textonotapie"/>
      </w:pPr>
      <w:r>
        <w:rPr>
          <w:rStyle w:val="Refdenotaalpie"/>
        </w:rPr>
        <w:footnoteRef/>
      </w:r>
      <w:r>
        <w:t xml:space="preserve"> Ribadeneyra, </w:t>
      </w:r>
      <w:r>
        <w:rPr>
          <w:i/>
        </w:rPr>
        <w:t>Tratado de la religión y las virtudes</w:t>
      </w:r>
      <w:r>
        <w:t>, lib. II, cap. IX.</w:t>
      </w:r>
    </w:p>
  </w:footnote>
  <w:footnote w:id="70">
    <w:p w14:paraId="2A69C54E" w14:textId="6E82DBF6" w:rsidR="001B5219" w:rsidRDefault="001B5219">
      <w:pPr>
        <w:pStyle w:val="Textonotapie"/>
      </w:pPr>
      <w:r>
        <w:rPr>
          <w:rStyle w:val="Refdenotaalpie"/>
        </w:rPr>
        <w:footnoteRef/>
      </w:r>
      <w:r>
        <w:t xml:space="preserve"> Véase el “sentido estricto” del indulto según </w:t>
      </w:r>
      <w:r>
        <w:fldChar w:fldCharType="begin"/>
      </w:r>
      <w:r>
        <w:instrText xml:space="preserve"> ADDIN ZOTERO_ITEM CSL_CITATION {"citationID":"LXvsdfe3","properties":{"formattedCitation":"Rodr\\uc0\\u237{}guez Flores, {\\i{}El perd\\uc0\\u243{}n real}, 15.","plainCitation":"Rodríguez Flores, El perdón real, 15.","noteIndex":62},"citationItems":[{"id":2654,"uris":["http://zotero.org/users/163570/items/APZE9XAC"],"uri":["http://zotero.org/users/163570/items/APZE9XAC"],"itemData":{"id":2654,"type":"book","title":"El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15.</w:t>
      </w:r>
      <w:r>
        <w:fldChar w:fldCharType="end"/>
      </w:r>
    </w:p>
  </w:footnote>
  <w:footnote w:id="71">
    <w:p w14:paraId="735C36CF" w14:textId="22BA912F" w:rsidR="001B5219" w:rsidRPr="0047499D" w:rsidRDefault="001B5219">
      <w:pPr>
        <w:pStyle w:val="Textonotapie"/>
      </w:pPr>
      <w:r>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723.","noteIndex":69},"citationItems":[{"id":3373,"uris":["http://zotero.org/users/163570/items/5RFI5HKQ"],"uri":["http://zotero.org/users/163570/items/5RFI5HKQ"],"itemData":{"id":3373,"type":"chapter","title":"Las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11DD3">
        <w:rPr>
          <w:rFonts w:cs="Times New Roman"/>
          <w:szCs w:val="24"/>
        </w:rPr>
        <w:t xml:space="preserve">Carlos Garriga Acosta, “Las Audiencias: la justicia y el gobierno de las Indias”, en </w:t>
      </w:r>
      <w:r w:rsidRPr="00411DD3">
        <w:rPr>
          <w:rFonts w:cs="Times New Roman"/>
          <w:i/>
          <w:iCs/>
          <w:szCs w:val="24"/>
        </w:rPr>
        <w:t>El gobierno de un mundo, virreinatos y audiencias en la América hispánica</w:t>
      </w:r>
      <w:r w:rsidRPr="00411DD3">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90–99.","noteIndex":69},"citationItems":[{"id":8215,"uris":["http://zotero.org/users/163570/items/7K7GNDCS"],"uri":["http://zotero.org/users/163570/items/7K7GNDCS"],"itemData":{"id":8215,"type":"chapter","title":"Justicia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411DD3">
        <w:rPr>
          <w:rFonts w:cs="Times New Roman"/>
          <w:szCs w:val="24"/>
        </w:rPr>
        <w:t xml:space="preserve">Carlos Garriga Acosta, “Justicia animada: dispositivos de la justicia en la monarquía católica”,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72">
    <w:p w14:paraId="4CCEBF02" w14:textId="0427BD97" w:rsidR="001B5219" w:rsidRDefault="001B5219">
      <w:pPr>
        <w:pStyle w:val="Textonotapie"/>
      </w:pPr>
      <w:r>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73">
    <w:p w14:paraId="0B95ACCE" w14:textId="03A1026C" w:rsidR="001B5219" w:rsidRPr="006102A2" w:rsidRDefault="001B5219">
      <w:pPr>
        <w:pStyle w:val="Textonotapie"/>
      </w:pPr>
      <w:r>
        <w:rPr>
          <w:rStyle w:val="Refdenotaalpie"/>
        </w:rPr>
        <w:footnoteRef/>
      </w:r>
      <w:r>
        <w:t xml:space="preserve"> Castillo de Bovadilla, Lib. I, cap. III, núm. 51.</w:t>
      </w:r>
    </w:p>
  </w:footnote>
  <w:footnote w:id="74">
    <w:p w14:paraId="6C560A05" w14:textId="12F92BE5" w:rsidR="001B5219" w:rsidRPr="00D215CF" w:rsidRDefault="001B5219"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75">
    <w:p w14:paraId="6979BDE5" w14:textId="7019D9D5" w:rsidR="001B5219" w:rsidRPr="004F2AE6" w:rsidRDefault="001B5219" w:rsidP="00F65E56">
      <w:pPr>
        <w:pStyle w:val="Textonotapie"/>
      </w:pPr>
      <w:r>
        <w:rPr>
          <w:rStyle w:val="Refdenotaalpie"/>
        </w:rPr>
        <w:footnoteRef/>
      </w:r>
      <w:r w:rsidRPr="00D23EB3">
        <w:t xml:space="preserve"> “</w:t>
      </w:r>
      <w:r w:rsidRPr="00D23EB3">
        <w:rPr>
          <w:i/>
        </w:rPr>
        <w:t>Clementia est temperantia animi in potestate ulciscendi vel lenitas superioris adversus inferiorem in constituendis poenis</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76">
    <w:p w14:paraId="0DDAD7A7" w14:textId="6F116E69" w:rsidR="001B5219" w:rsidRDefault="001B5219">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IV.","noteIndex":74},"citationItems":[{"id":8143,"uris":["http://zotero.org/users/163570/items/BA2QIUT3"],"uri":["http://zotero.org/users/163570/items/BA2QIUT3"],"itemData":{"id":8143,"type":"thesis","title":"Las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411DD3">
        <w:rPr>
          <w:rFonts w:cs="Times New Roman"/>
          <w:szCs w:val="24"/>
        </w:rPr>
        <w:t>Margarita Freixas Alas, “Las autoridades en el primer diccionario de la Real Academia Española” (Universitat Autònoma de Barcelona, 2003), cap. VI y Anexo IV.</w:t>
      </w:r>
      <w:r>
        <w:fldChar w:fldCharType="end"/>
      </w:r>
    </w:p>
  </w:footnote>
  <w:footnote w:id="77">
    <w:p w14:paraId="501A1615" w14:textId="0704232D" w:rsidR="001B5219" w:rsidRPr="00265A20" w:rsidRDefault="001B5219">
      <w:pPr>
        <w:pStyle w:val="Textonotapie"/>
      </w:pPr>
      <w:r>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78">
    <w:p w14:paraId="66F64105" w14:textId="77777777" w:rsidR="001B5219" w:rsidRPr="00515929" w:rsidRDefault="001B5219"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79">
    <w:p w14:paraId="4944A0CE" w14:textId="64C6B3CB" w:rsidR="001B5219" w:rsidRPr="00827997" w:rsidRDefault="001B5219"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249.","noteIndex":77},"citationItems":[{"id":6282,"uris":["http://zotero.org/users/163570/items/XWZB3NWU"],"uri":["http://zotero.org/users/163570/items/XWZB3NWU"],"itemData":{"id":6282,"type":"book","title":"El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411DD3">
        <w:rPr>
          <w:rFonts w:cs="Times New Roman"/>
          <w:szCs w:val="24"/>
        </w:rPr>
        <w:t xml:space="preserve">Javier Barrientos Grandon, </w:t>
      </w:r>
      <w:r w:rsidRPr="00411DD3">
        <w:rPr>
          <w:rFonts w:cs="Times New Roman"/>
          <w:i/>
          <w:iCs/>
          <w:szCs w:val="24"/>
        </w:rPr>
        <w:t>El gobierno de las Indias</w:t>
      </w:r>
      <w:r w:rsidRPr="00411DD3">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80">
    <w:p w14:paraId="2C2837B2" w14:textId="3863E5C7" w:rsidR="001B5219" w:rsidRDefault="001B5219"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81">
    <w:p w14:paraId="4D5531B0" w14:textId="7AE25A4D" w:rsidR="001B5219" w:rsidRDefault="001B5219">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82">
    <w:p w14:paraId="10D30FAE" w14:textId="5AB129B7" w:rsidR="001B5219" w:rsidRDefault="001B5219">
      <w:pPr>
        <w:pStyle w:val="Textonotapie"/>
      </w:pPr>
      <w:r>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83">
    <w:p w14:paraId="4290A584" w14:textId="24DC2ED9" w:rsidR="001B5219" w:rsidRPr="004D5E2F" w:rsidRDefault="001B5219" w:rsidP="004A499C">
      <w:pPr>
        <w:pStyle w:val="Textonotapie"/>
      </w:pPr>
      <w:r w:rsidRPr="002B6C75">
        <w:rPr>
          <w:rStyle w:val="Refdenotaalpie"/>
        </w:rPr>
        <w:footnoteRef/>
      </w:r>
      <w:r>
        <w:t xml:space="preserve"> </w:t>
      </w:r>
      <w:r w:rsidRPr="00B9631D">
        <w:t>“</w:t>
      </w:r>
      <w:r w:rsidRPr="00FB1454">
        <w:rPr>
          <w:i/>
        </w:rPr>
        <w:t>Misericordia, et veritas, custodiunt Regem, et roboratur clementia thronus illius.</w:t>
      </w:r>
      <w:r w:rsidRPr="00B9631D">
        <w:t>”</w:t>
      </w:r>
      <w:r>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84">
    <w:p w14:paraId="422AA2D4" w14:textId="1405477B" w:rsidR="001B5219" w:rsidRDefault="001B5219"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85">
    <w:p w14:paraId="1DFED9C9" w14:textId="165093ED" w:rsidR="001B5219" w:rsidRPr="00E342B0" w:rsidRDefault="001B5219">
      <w:pPr>
        <w:pStyle w:val="Textonotapie"/>
        <w:rPr>
          <w:lang w:val="it-IT"/>
        </w:rPr>
      </w:pPr>
      <w:r>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86">
    <w:p w14:paraId="78B56BBD" w14:textId="354A2DFC" w:rsidR="001B5219" w:rsidRPr="00AA0E9B" w:rsidRDefault="001B5219"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87">
    <w:p w14:paraId="62F331DC" w14:textId="7A5FE51E" w:rsidR="001B5219" w:rsidRPr="00AA0E9B" w:rsidRDefault="001B5219"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88">
    <w:p w14:paraId="26CCBD09" w14:textId="19577DAF" w:rsidR="001B5219" w:rsidRPr="00734344" w:rsidRDefault="001B5219"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89">
    <w:p w14:paraId="669686E5" w14:textId="77777777" w:rsidR="001B5219" w:rsidRPr="00137320" w:rsidRDefault="001B5219"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90">
    <w:p w14:paraId="37C1F667" w14:textId="11EFF628" w:rsidR="001B5219" w:rsidRDefault="001B5219" w:rsidP="000B2B9E">
      <w:pPr>
        <w:pStyle w:val="Textonotapie"/>
      </w:pPr>
      <w:r>
        <w:rPr>
          <w:rStyle w:val="Refdenotaalpie"/>
        </w:rPr>
        <w:footnoteRef/>
      </w:r>
      <w:r>
        <w:t xml:space="preserve"> </w:t>
      </w:r>
      <w:r>
        <w:fldChar w:fldCharType="begin"/>
      </w:r>
      <w:r>
        <w:instrText xml:space="preserve"> ADDIN ZOTERO_ITEM CSL_CITATION {"citationID":"yYCHYdV9","properties":{"formattedCitation":"Tom\\uc0\\u225{}s y Valiente, \\uc0\\u8220{}\\uc0\\u171{}In dubio pro reo\\uc0\\u187{}\\uc0\\u8221{}, 14.","plainCitation":"Tomás y Valiente, “«In dubio pro reo»”, 14.","noteIndex":88},"citationItems":[{"id":8214,"uris":["http://zotero.org/users/163570/items/6KAVYLUY"],"uri":["http://zotero.org/users/163570/items/6KAVYLUY"],"itemData":{"id":8214,"type":"article-journal","title":"«In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411DD3">
        <w:rPr>
          <w:rFonts w:cs="Times New Roman"/>
          <w:szCs w:val="24"/>
        </w:rPr>
        <w:t>Tomás y Valiente, “«In dubio pro reo»”,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201.","noteIndex":88},"citationItems":[{"id":8216,"uris":["http://zotero.org/users/163570/items/UAKUXGM3"],"uri":["http://zotero.org/users/163570/items/UAKUXGM3"],"itemData":{"id":8216,"type":"article-journal","title":"El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411DD3">
        <w:rPr>
          <w:rFonts w:cs="Times New Roman"/>
          <w:szCs w:val="24"/>
        </w:rPr>
        <w:t xml:space="preserve">María Paz Alonso Romero, “El proceso penal en la Castilla Moderna”, </w:t>
      </w:r>
      <w:r w:rsidRPr="00411DD3">
        <w:rPr>
          <w:rFonts w:cs="Times New Roman"/>
          <w:i/>
          <w:iCs/>
          <w:szCs w:val="24"/>
        </w:rPr>
        <w:t>Estudis: Revista de historia moderna</w:t>
      </w:r>
      <w:r w:rsidRPr="00411DD3">
        <w:rPr>
          <w:rFonts w:cs="Times New Roman"/>
          <w:szCs w:val="24"/>
        </w:rPr>
        <w:t>, núm. 22 (1996): 201.</w:t>
      </w:r>
      <w:r>
        <w:fldChar w:fldCharType="end"/>
      </w:r>
    </w:p>
  </w:footnote>
  <w:footnote w:id="91">
    <w:p w14:paraId="2716A6E2" w14:textId="7AE38DB2" w:rsidR="001B5219" w:rsidRDefault="001B5219"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9–10.","noteIndex":83},"citationItems":[{"id":8192,"uris":["http://zotero.org/users/163570/items/AY4587QQ"],"uri":["http://zotero.org/users/163570/items/AY4587QQ"],"itemData":{"id":8192,"type":"book","title":"El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411DD3">
        <w:rPr>
          <w:rFonts w:cs="Times New Roman"/>
          <w:szCs w:val="24"/>
        </w:rPr>
        <w:t xml:space="preserve">Calderón de la Barca, </w:t>
      </w:r>
      <w:r w:rsidRPr="00411DD3">
        <w:rPr>
          <w:rFonts w:cs="Times New Roman"/>
          <w:i/>
          <w:iCs/>
          <w:szCs w:val="24"/>
        </w:rPr>
        <w:t>El indulto general</w:t>
      </w:r>
      <w:r w:rsidRPr="00411DD3">
        <w:rPr>
          <w:rFonts w:cs="Times New Roman"/>
          <w:szCs w:val="24"/>
        </w:rPr>
        <w:t>, 9–10.</w:t>
      </w:r>
      <w:r>
        <w:fldChar w:fldCharType="end"/>
      </w:r>
    </w:p>
  </w:footnote>
  <w:footnote w:id="92">
    <w:p w14:paraId="2B0D014C" w14:textId="633E4A8E" w:rsidR="001B5219" w:rsidRDefault="001B5219"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12–13.","noteIndex":90},"citationItems":[{"id":8214,"uris":["http://zotero.org/users/163570/items/6KAVYLUY"],"uri":["http://zotero.org/users/163570/items/6KAVYLUY"],"itemData":{"id":8214,"type":"article-journal","title":"«In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411DD3">
        <w:rPr>
          <w:rFonts w:cs="Times New Roman"/>
          <w:szCs w:val="24"/>
        </w:rPr>
        <w:t>Tomás y Valiente, “«In dubio pro reo»”, 12–13.</w:t>
      </w:r>
      <w:r>
        <w:fldChar w:fldCharType="end"/>
      </w:r>
    </w:p>
  </w:footnote>
  <w:footnote w:id="93">
    <w:p w14:paraId="5CDB52B6" w14:textId="143AFEA7" w:rsidR="001B5219" w:rsidRDefault="001B5219"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12.","noteIndex":91},"citationItems":[{"id":8214,"uris":["http://zotero.org/users/163570/items/6KAVYLUY"],"uri":["http://zotero.org/users/163570/items/6KAVYLUY"],"itemData":{"id":8214,"type":"article-journal","title":"«In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Tomás y Valiente, 12.</w:t>
      </w:r>
      <w:r>
        <w:fldChar w:fldCharType="end"/>
      </w:r>
    </w:p>
  </w:footnote>
  <w:footnote w:id="94">
    <w:p w14:paraId="6500F0C6" w14:textId="77777777" w:rsidR="001B5219" w:rsidRDefault="001B5219" w:rsidP="000B2B9E">
      <w:pPr>
        <w:pStyle w:val="Textonotapie"/>
      </w:pPr>
      <w:r>
        <w:rPr>
          <w:rStyle w:val="Refdenotaalpie"/>
        </w:rPr>
        <w:footnoteRef/>
      </w:r>
      <w:r>
        <w:t xml:space="preserve"> Referencia en el original a tres citas bíblicas: Mt 12:7, Sal 106, Pr 3:3.</w:t>
      </w:r>
    </w:p>
  </w:footnote>
  <w:footnote w:id="95">
    <w:p w14:paraId="7021C1E8" w14:textId="769E811D" w:rsidR="001B5219" w:rsidRPr="002E634A" w:rsidRDefault="001B5219"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w:t>
      </w:r>
    </w:p>
  </w:footnote>
  <w:footnote w:id="96">
    <w:p w14:paraId="56F0EA9E" w14:textId="2C221300" w:rsidR="001B5219" w:rsidRDefault="001B5219">
      <w:pPr>
        <w:pStyle w:val="Textonotapie"/>
      </w:pPr>
      <w:r>
        <w:rPr>
          <w:rStyle w:val="Refdenotaalpie"/>
        </w:rPr>
        <w:footnoteRef/>
      </w:r>
      <w:r>
        <w:t xml:space="preserve"> </w:t>
      </w:r>
      <w:r>
        <w:fldChar w:fldCharType="begin"/>
      </w:r>
      <w:r>
        <w:instrText xml:space="preserve"> ADDIN ZOTERO_ITEM CSL_CITATION {"citationID":"k8Q0v8O2","properties":{"formattedCitation":"Miguel Pino Abad, \\uc0\\u8220{}El recurso de suplicaci\\uc0\\u243{}n en el Consejo de Indias\\uc0\\u8221{}, en {\\i{}Actas del XIX congreso del Instituto Internacional de Historia del Derecho Indiano. Berl\\uc0\\u237{}n 2016.}, ed. Thomas Duve, vol. II, II vols. (Madrid: Dykinson, 2017), 1163\\uc0\\u8211{}83.","plainCitation":"Miguel Pino Abad, “El recurso de suplicación en el Consejo de Indias”, en Actas del XIX congreso del Instituto Internacional de Historia del Derecho Indiano. Berlín 2016., ed. Thomas Duve, vol. II, II vols. (Madrid: Dykinson, 2017), 1163–83.","noteIndex":94},"citationItems":[{"id":8281,"uris":["http://zotero.org/users/163570/items/3MUXUI9U"],"uri":["http://zotero.org/users/163570/items/3MUXUI9U"],"itemData":{"id":8281,"type":"chapter","title":"El recurso de suplicación en el Consejo de Indias","container-title":"Actas del XIX congreso del Instituto Internacional de Historia del Derecho Indiano. Berlín 2016.","publisher":"Dykinson","publisher-place":"Madrid","page":"1163-1183","volume":"II","number-of-volumes":"II","source":"Gemeinsamer Bibliotheksverbund ISBN","event-place":"Madrid","ISBN":"978-84-9148-421-9","note":"OCLC: 1026493914","language":"spa","editor":[{"family":"Duve","given":"Thomas"}],"author":[{"family":"Pino Abad","given":"Miguel"}],"issued":{"date-parts":[["2017"]]}}}],"schema":"https://github.com/citation-style-language/schema/raw/master/csl-citation.json"} </w:instrText>
      </w:r>
      <w:r>
        <w:fldChar w:fldCharType="separate"/>
      </w:r>
      <w:r w:rsidRPr="00411DD3">
        <w:rPr>
          <w:rFonts w:cs="Times New Roman"/>
          <w:szCs w:val="24"/>
        </w:rPr>
        <w:t xml:space="preserve">Miguel Pino Abad, “El recurso de suplicación en el Consejo de Indias”, en </w:t>
      </w:r>
      <w:r w:rsidRPr="00411DD3">
        <w:rPr>
          <w:rFonts w:cs="Times New Roman"/>
          <w:i/>
          <w:iCs/>
          <w:szCs w:val="24"/>
        </w:rPr>
        <w:t>Actas del XIX congreso del Instituto Internacional de Historia del Derecho Indiano. Berlín 2016.</w:t>
      </w:r>
      <w:r w:rsidRPr="00411DD3">
        <w:rPr>
          <w:rFonts w:cs="Times New Roman"/>
          <w:szCs w:val="24"/>
        </w:rPr>
        <w:t>, ed. Thomas Duve, vol. II, II vols. (Madrid: Dykinson, 2017), 1163–83.</w:t>
      </w:r>
      <w:r>
        <w:fldChar w:fldCharType="end"/>
      </w:r>
    </w:p>
  </w:footnote>
  <w:footnote w:id="97">
    <w:p w14:paraId="038FB7BD" w14:textId="71B1901E" w:rsidR="001B5219" w:rsidRPr="0042190A" w:rsidRDefault="001B5219"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98">
    <w:p w14:paraId="3B8870CD" w14:textId="0753EB86" w:rsidR="001B5219" w:rsidRPr="00C44AAB" w:rsidRDefault="001B5219"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99">
    <w:p w14:paraId="7C5C4994" w14:textId="77777777" w:rsidR="001B5219" w:rsidRPr="001155D2" w:rsidRDefault="001B5219"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100">
    <w:p w14:paraId="34A0353E" w14:textId="579493C3" w:rsidR="001B5219" w:rsidRPr="00C054C4" w:rsidRDefault="001B5219" w:rsidP="008E4E99">
      <w:pPr>
        <w:pStyle w:val="Textonotapie"/>
      </w:pPr>
      <w:r>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101">
    <w:p w14:paraId="0127643E" w14:textId="77777777" w:rsidR="001B5219" w:rsidRDefault="001B5219" w:rsidP="008E4E99">
      <w:pPr>
        <w:pStyle w:val="Textonotapie"/>
      </w:pPr>
      <w:r>
        <w:rPr>
          <w:rStyle w:val="Refdenotaalpie"/>
        </w:rPr>
        <w:footnoteRef/>
      </w:r>
      <w:r>
        <w:t xml:space="preserve"> Castillo de Bovadilla, lib. III, cap. XII, núm. 7.</w:t>
      </w:r>
    </w:p>
  </w:footnote>
  <w:footnote w:id="102">
    <w:p w14:paraId="5F3D5465" w14:textId="77777777" w:rsidR="001B5219" w:rsidRPr="00C05F45" w:rsidRDefault="001B5219" w:rsidP="008E4E99">
      <w:pPr>
        <w:pStyle w:val="Textonotapie"/>
      </w:pPr>
      <w:r>
        <w:rPr>
          <w:rStyle w:val="Refdenotaalpie"/>
        </w:rPr>
        <w:footnoteRef/>
      </w:r>
      <w:r>
        <w:t xml:space="preserve"> Castillo de Bovadilla, lib. </w:t>
      </w:r>
      <w:r w:rsidRPr="00F05BA7">
        <w:t xml:space="preserve">III, cap. </w:t>
      </w:r>
      <w:r w:rsidRPr="00C05F45">
        <w:t>XII, núm. 8.</w:t>
      </w:r>
    </w:p>
  </w:footnote>
  <w:footnote w:id="103">
    <w:p w14:paraId="147A2B6E" w14:textId="14CFF7D3" w:rsidR="001B5219" w:rsidRPr="003A403C" w:rsidRDefault="001B5219" w:rsidP="00D27E44">
      <w:pPr>
        <w:pStyle w:val="Textonotapie"/>
      </w:pPr>
      <w:r w:rsidRPr="002B6C75">
        <w:rPr>
          <w:rStyle w:val="Refdenotaalpie"/>
        </w:rPr>
        <w:footnoteRef/>
      </w:r>
      <w:r w:rsidRPr="00315BAF">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104">
    <w:p w14:paraId="2DE0CAD7" w14:textId="5830E643" w:rsidR="001B5219" w:rsidRPr="008E4E99" w:rsidRDefault="001B5219"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105">
    <w:p w14:paraId="23D27692" w14:textId="58F1C173" w:rsidR="001B5219" w:rsidRPr="000560AE" w:rsidRDefault="001B5219"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103},"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411DD3">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106">
    <w:p w14:paraId="5C1B780F" w14:textId="56168A14" w:rsidR="001B5219" w:rsidRPr="00185E50" w:rsidRDefault="001B5219" w:rsidP="008E4E99">
      <w:pPr>
        <w:pStyle w:val="Textonotapie"/>
      </w:pPr>
      <w:r w:rsidRPr="002B6C75">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107">
    <w:p w14:paraId="24D9BA0F" w14:textId="77777777" w:rsidR="001B5219" w:rsidRPr="009D2BC9" w:rsidRDefault="001B5219"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108">
    <w:p w14:paraId="4FC3866C" w14:textId="77777777" w:rsidR="001B5219" w:rsidRPr="00573862" w:rsidRDefault="001B5219"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109">
    <w:p w14:paraId="1B08C730" w14:textId="53492A0B" w:rsidR="001B5219" w:rsidRDefault="001B5219"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14.","noteIndex":101},"citationItems":[{"id":2654,"uris":["http://zotero.org/users/163570/items/APZE9XAC"],"uri":["http://zotero.org/users/163570/items/APZE9XAC"],"itemData":{"id":2654,"type":"book","title":"El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0">
    <w:p w14:paraId="3ACE29C5" w14:textId="38D11114" w:rsidR="001B5219" w:rsidRPr="00090E5A" w:rsidRDefault="001B5219"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t>, núm.</w:t>
      </w:r>
      <w:r w:rsidRPr="00912069">
        <w:t xml:space="preserve">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42.","noteIndex":108},"citationItems":[{"id":3390,"uris":["http://zotero.org/users/163570/items/C54QSDGR"],"uri":["http://zotero.org/users/163570/items/C54QSDGR"],"itemData":{"id":3390,"type":"book","title":"Una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411DD3">
        <w:rPr>
          <w:rFonts w:cs="Times New Roman"/>
          <w:szCs w:val="24"/>
        </w:rPr>
        <w:t xml:space="preserve">Paolo Prodi, </w:t>
      </w:r>
      <w:r w:rsidRPr="00411DD3">
        <w:rPr>
          <w:rFonts w:cs="Times New Roman"/>
          <w:i/>
          <w:iCs/>
          <w:szCs w:val="24"/>
        </w:rPr>
        <w:t>Una historia de la justicia: de la pluralidad de fueros al dualismo moderno entre conciencia y derecho</w:t>
      </w:r>
      <w:r w:rsidRPr="00411DD3">
        <w:rPr>
          <w:rFonts w:cs="Times New Roman"/>
          <w:szCs w:val="24"/>
        </w:rPr>
        <w:t>, trad. Luciano Padilla López (Madrid: Katz Editores, 2008), 42.</w:t>
      </w:r>
      <w:r>
        <w:fldChar w:fldCharType="end"/>
      </w:r>
    </w:p>
  </w:footnote>
  <w:footnote w:id="111">
    <w:p w14:paraId="1225404A" w14:textId="77777777" w:rsidR="001B5219" w:rsidRPr="00273553" w:rsidRDefault="001B5219"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112">
    <w:p w14:paraId="3A200291" w14:textId="77777777" w:rsidR="001B5219" w:rsidRPr="00B3069B" w:rsidRDefault="001B5219"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113">
    <w:p w14:paraId="790F4A8A" w14:textId="0FF357B8" w:rsidR="001B5219" w:rsidRPr="000560AE" w:rsidRDefault="001B5219"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114">
    <w:p w14:paraId="5AAB967A" w14:textId="77777777" w:rsidR="001B5219" w:rsidRPr="008E4E99" w:rsidRDefault="001B5219"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115">
    <w:p w14:paraId="4C2507FD" w14:textId="12538BFF" w:rsidR="001B5219" w:rsidRDefault="001B5219">
      <w:pPr>
        <w:pStyle w:val="Textonotapie"/>
      </w:pPr>
      <w:r>
        <w:rPr>
          <w:rStyle w:val="Refdenotaalpie"/>
        </w:rPr>
        <w:footnoteRef/>
      </w:r>
      <w:r>
        <w:t xml:space="preserve"> </w:t>
      </w:r>
      <w:r>
        <w:fldChar w:fldCharType="begin"/>
      </w:r>
      <w:r>
        <w:instrText xml:space="preserve"> ADDIN ZOTERO_ITEM CSL_CITATION {"citationID":"HCAKZCRI","properties":{"formattedCitation":"Rodr\\uc0\\u237{}guez Flores, {\\i{}El perd\\uc0\\u243{}n real}, 14.","plainCitation":"Rodríguez Flores, El perdón real, 14.","noteIndex":107},"citationItems":[{"id":2654,"uris":["http://zotero.org/users/163570/items/APZE9XAC"],"uri":["http://zotero.org/users/163570/items/APZE9XAC"],"itemData":{"id":2654,"type":"book","title":"El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6">
    <w:p w14:paraId="11F3A4B0" w14:textId="1F9E7FDD" w:rsidR="001B5219" w:rsidRDefault="001B5219">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116},"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411DD3">
        <w:rPr>
          <w:rFonts w:cs="Times New Roman"/>
          <w:szCs w:val="24"/>
        </w:rPr>
        <w:t xml:space="preserve">Bartolomé Clavero, “Justicia y gobierno, economía y gracia”, en </w:t>
      </w:r>
      <w:r w:rsidRPr="00411DD3">
        <w:rPr>
          <w:rFonts w:cs="Times New Roman"/>
          <w:i/>
          <w:iCs/>
          <w:szCs w:val="24"/>
        </w:rPr>
        <w:t>Real Chancillería de Granada: V Centenario 1505-2005</w:t>
      </w:r>
      <w:r w:rsidRPr="00411DD3">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117">
    <w:p w14:paraId="5EA2974A" w14:textId="528020DF" w:rsidR="001B5219" w:rsidRDefault="001B5219">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67.","noteIndex":117},"citationItems":[{"id":8230,"uris":["http://zotero.org/users/163570/items/TCD7A8EM"],"uri":["http://zotero.org/users/163570/items/TCD7A8EM"],"itemData":{"id":8230,"type":"chapter","title":"Orden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 xml:space="preserve">Carlos Garriga Acosta, “Orden jurídico y poder político en el antiguo régimen”, en </w:t>
      </w:r>
      <w:r w:rsidRPr="00411DD3">
        <w:rPr>
          <w:rFonts w:cs="Times New Roman"/>
          <w:i/>
          <w:iCs/>
          <w:szCs w:val="24"/>
        </w:rPr>
        <w:t>Cádiz, 1812. La Constitución jurisdiccional</w:t>
      </w:r>
      <w:r w:rsidRPr="00411DD3">
        <w:rPr>
          <w:rFonts w:cs="Times New Roman"/>
          <w:szCs w:val="24"/>
        </w:rPr>
        <w:t>, de Carlos Garriga Acosta y Marta Lorente Sariñena, Cuadernos y debates 174 (Madrid: Centro de Estudios Políticos y Constitucionales, 2007), 67.</w:t>
      </w:r>
      <w:r>
        <w:fldChar w:fldCharType="end"/>
      </w:r>
    </w:p>
  </w:footnote>
  <w:footnote w:id="118">
    <w:p w14:paraId="28F2A1EE" w14:textId="419C4726" w:rsidR="001B5219" w:rsidRDefault="001B5219">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119">
    <w:p w14:paraId="765A4B8A" w14:textId="2791F9D8" w:rsidR="001B5219" w:rsidRDefault="001B5219">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45.","noteIndex":117},"citationItems":[{"id":5999,"uris":["http://zotero.org/users/163570/items/HQHICPD6"],"uri":["http://zotero.org/users/163570/items/HQHICPD6"],"itemData":{"id":5999,"type":"chapter","title":"Las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411DD3">
        <w:rPr>
          <w:rFonts w:cs="Times New Roman"/>
          <w:szCs w:val="24"/>
        </w:rPr>
        <w:t xml:space="preserve">Alejandro Agüero Nazar, “Las categorías básicas de la cultura jurisdiccional”,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45.</w:t>
      </w:r>
      <w:r>
        <w:fldChar w:fldCharType="end"/>
      </w:r>
    </w:p>
  </w:footnote>
  <w:footnote w:id="120">
    <w:p w14:paraId="79021727" w14:textId="0D3F2378" w:rsidR="001B5219" w:rsidRPr="00BA76C0" w:rsidRDefault="001B5219">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121">
    <w:p w14:paraId="0B7D8553" w14:textId="1E310FA7" w:rsidR="001B5219" w:rsidRDefault="001B5219">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151–76.","noteIndex":121},"citationItems":[{"id":8246,"uris":["http://zotero.org/users/163570/items/YR6E2SPQ"],"uri":["http://zotero.org/users/163570/items/YR6E2SPQ"],"itemData":{"id":8246,"type":"paper-conference","title":"Justicia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411DD3">
        <w:rPr>
          <w:rFonts w:cs="Times New Roman"/>
          <w:szCs w:val="24"/>
        </w:rPr>
        <w:t xml:space="preserve">Clavero, “Justicia y gobierno, economía y gracia”; </w:t>
      </w:r>
      <w:r w:rsidRPr="00411DD3">
        <w:rPr>
          <w:rFonts w:cs="Times New Roman"/>
          <w:i/>
          <w:iCs/>
          <w:szCs w:val="24"/>
        </w:rPr>
        <w:t>Antidora: antropología católica de la economía moderna</w:t>
      </w:r>
      <w:r w:rsidRPr="00411DD3">
        <w:rPr>
          <w:rFonts w:cs="Times New Roman"/>
          <w:szCs w:val="24"/>
        </w:rPr>
        <w:t xml:space="preserve">, Per la storia del pensiero giuridico moderno 39 (Milán: Giuffrè, 1991); António Manuel Hespanha, “La economía de la gracia”, en </w:t>
      </w:r>
      <w:r w:rsidRPr="00411DD3">
        <w:rPr>
          <w:rFonts w:cs="Times New Roman"/>
          <w:i/>
          <w:iCs/>
          <w:szCs w:val="24"/>
        </w:rPr>
        <w:t>La gracia del derecho: economía de la cultura en la edad moderna</w:t>
      </w:r>
      <w:r w:rsidRPr="00411DD3">
        <w:rPr>
          <w:rFonts w:cs="Times New Roman"/>
          <w:szCs w:val="24"/>
        </w:rPr>
        <w:t>, trad. Ana Cañellas Haurie (Madrid: Centro de estudios constitucionales, 1993), 151–76.</w:t>
      </w:r>
      <w:r>
        <w:fldChar w:fldCharType="end"/>
      </w:r>
    </w:p>
  </w:footnote>
  <w:footnote w:id="122">
    <w:p w14:paraId="2CBAA388" w14:textId="0EFDB417" w:rsidR="001B5219" w:rsidRDefault="001B5219">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123">
    <w:p w14:paraId="4AB2DC3B" w14:textId="3A615F09" w:rsidR="001B5219" w:rsidRDefault="001B5219">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315–20.","noteIndex":121},"citationItems":[{"id":8248,"uris":["http://zotero.org/users/163570/items/YEN73JLK"],"uri":["http://zotero.org/users/163570/items/YEN73JLK"],"itemData":{"id":8248,"type":"book","title":"Necesidad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11DD3">
        <w:rPr>
          <w:rFonts w:cs="Times New Roman"/>
          <w:szCs w:val="24"/>
        </w:rPr>
        <w:t xml:space="preserve">Francisco Andújar Castillo, </w:t>
      </w:r>
      <w:r w:rsidRPr="00411DD3">
        <w:rPr>
          <w:rFonts w:cs="Times New Roman"/>
          <w:i/>
          <w:iCs/>
          <w:szCs w:val="24"/>
        </w:rPr>
        <w:t>Necesidad y venalidad: España e Indias 1704-1711</w:t>
      </w:r>
      <w:r w:rsidRPr="00411DD3">
        <w:rPr>
          <w:rFonts w:cs="Times New Roman"/>
          <w:szCs w:val="24"/>
        </w:rPr>
        <w:t>, Colección Historia de la sociedad política (Madrid: Centro de Estudios Políticos y Constitucionales, 2008), 315–20.</w:t>
      </w:r>
      <w:r>
        <w:fldChar w:fldCharType="end"/>
      </w:r>
    </w:p>
  </w:footnote>
  <w:footnote w:id="124">
    <w:p w14:paraId="0B2564F6" w14:textId="34F0A6C0" w:rsidR="001B5219" w:rsidRDefault="001B5219">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2016).","noteIndex":122},"citationItems":[{"id":8250,"uris":["http://zotero.org/users/163570/items/TIWVX7J9"],"uri":["http://zotero.org/users/163570/items/TIWVX7J9"],"itemData":{"id":8250,"type":"book","title":"Mérito,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11DD3">
        <w:rPr>
          <w:rFonts w:cs="Times New Roman"/>
          <w:szCs w:val="24"/>
        </w:rPr>
        <w:t xml:space="preserve">Pilar Ponce Leiva y Francisco Andújar Castillo, eds., </w:t>
      </w:r>
      <w:r w:rsidRPr="00411DD3">
        <w:rPr>
          <w:rFonts w:cs="Times New Roman"/>
          <w:i/>
          <w:iCs/>
          <w:szCs w:val="24"/>
        </w:rPr>
        <w:t>Mérito, venalidad y corrupción en España y América, siglos XVII y XVIII</w:t>
      </w:r>
      <w:r w:rsidRPr="00411DD3">
        <w:rPr>
          <w:rFonts w:cs="Times New Roman"/>
          <w:szCs w:val="24"/>
        </w:rPr>
        <w:t>, Colección Historia de España y su proyección internacional 10 (Valencia: Albatros, 2016).</w:t>
      </w:r>
      <w:r>
        <w:fldChar w:fldCharType="end"/>
      </w:r>
    </w:p>
  </w:footnote>
  <w:footnote w:id="125">
    <w:p w14:paraId="7DD94F36" w14:textId="1B1E7443" w:rsidR="001B5219" w:rsidRPr="008F36FD" w:rsidRDefault="001B5219">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66–69.","noteIndex":123},"citationItems":[{"id":8002,"uris":["http://zotero.org/users/163570/items/GERVJL77"],"uri":["http://zotero.org/users/163570/items/GERVJL77"],"itemData":{"id":8002,"type":"book","title":"Crimes,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411DD3">
        <w:rPr>
          <w:rFonts w:cs="Times New Roman"/>
          <w:szCs w:val="24"/>
          <w:lang w:val="fr-FR"/>
        </w:rPr>
        <w:t xml:space="preserve">Rudy Chaulet, </w:t>
      </w:r>
      <w:r w:rsidRPr="00411DD3">
        <w:rPr>
          <w:rFonts w:cs="Times New Roman"/>
          <w:i/>
          <w:iCs/>
          <w:szCs w:val="24"/>
          <w:lang w:val="fr-FR"/>
        </w:rPr>
        <w:t>Crimes, rixes et bruits d’épées: homicides pardonnés en Castille au siècle d’or</w:t>
      </w:r>
      <w:r w:rsidRPr="00411DD3">
        <w:rPr>
          <w:rFonts w:cs="Times New Roman"/>
          <w:szCs w:val="24"/>
          <w:lang w:val="fr-FR"/>
        </w:rPr>
        <w:t xml:space="preserve">, Espagne médiévale et moderne 11 (Montpellier: Presses Universitaires de la Méditerranée, 2007), 375–76; Rodríguez Flores, </w:t>
      </w:r>
      <w:r w:rsidRPr="00411DD3">
        <w:rPr>
          <w:rFonts w:cs="Times New Roman"/>
          <w:i/>
          <w:iCs/>
          <w:szCs w:val="24"/>
          <w:lang w:val="fr-FR"/>
        </w:rPr>
        <w:t>El perdón real</w:t>
      </w:r>
      <w:r w:rsidRPr="00411DD3">
        <w:rPr>
          <w:rFonts w:cs="Times New Roman"/>
          <w:szCs w:val="24"/>
          <w:lang w:val="fr-FR"/>
        </w:rPr>
        <w:t>, 66–69.</w:t>
      </w:r>
      <w:r>
        <w:fldChar w:fldCharType="end"/>
      </w:r>
    </w:p>
  </w:footnote>
  <w:footnote w:id="126">
    <w:p w14:paraId="5285D108" w14:textId="32B48734" w:rsidR="001B5219" w:rsidRDefault="001B5219">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249–50.","noteIndex":124},"citationItems":[{"id":8027,"uris":["http://zotero.org/users/163570/items/WNQSRIKP"],"uri":["http://zotero.org/users/163570/items/WNQSRIKP"],"itemData":{"id":8027,"type":"book","title":"La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411DD3">
        <w:rPr>
          <w:rFonts w:cs="Times New Roman"/>
          <w:szCs w:val="24"/>
        </w:rPr>
        <w:t xml:space="preserve">Tamar Herzog, </w:t>
      </w:r>
      <w:r w:rsidRPr="00411DD3">
        <w:rPr>
          <w:rFonts w:cs="Times New Roman"/>
          <w:i/>
          <w:iCs/>
          <w:szCs w:val="24"/>
        </w:rPr>
        <w:t>La administración como un fenómeno social: la justicia penal de la ciudad de Quito (1650 - 1750)</w:t>
      </w:r>
      <w:r w:rsidRPr="00411DD3">
        <w:rPr>
          <w:rFonts w:cs="Times New Roman"/>
          <w:szCs w:val="24"/>
        </w:rPr>
        <w:t>, Historia de la sociedad política (Madrid: Centro de Estudios Constitucionales, 1995), 249–50.</w:t>
      </w:r>
      <w:r>
        <w:fldChar w:fldCharType="end"/>
      </w:r>
    </w:p>
  </w:footnote>
  <w:footnote w:id="127">
    <w:p w14:paraId="782BC615" w14:textId="67DB1520" w:rsidR="001B5219" w:rsidRDefault="001B5219"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67.","noteIndex":127},"citationItems":[{"id":8246,"uris":["http://zotero.org/users/163570/items/YR6E2SPQ"],"uri":["http://zotero.org/users/163570/items/YR6E2SPQ"],"itemData":{"id":8246,"type":"paper-conference","title":"Justicia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Clavero, “Justicia y gobierno, economía y gracia”; Garriga Acosta, “Orden jurídico y poder político”, 67.</w:t>
      </w:r>
      <w:r>
        <w:fldChar w:fldCharType="end"/>
      </w:r>
    </w:p>
  </w:footnote>
  <w:footnote w:id="128">
    <w:p w14:paraId="2CF4D1B5" w14:textId="40AA9A31" w:rsidR="001B5219" w:rsidRDefault="001B5219">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326–27.","noteIndex":126},"citationItems":[{"id":5913,"uris":["http://zotero.org/users/163570/items/2BICB3CT"],"uri":["http://zotero.org/users/163570/items/2BICB3CT"],"itemData":{"id":5913,"type":"article-journal","title":"El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411DD3">
        <w:rPr>
          <w:rFonts w:cs="Times New Roman"/>
          <w:szCs w:val="24"/>
        </w:rPr>
        <w:t xml:space="preserve">Salustiano de Dios, “El ejercicio de la gracia regia en Castilla entre 1250 y 1530, los inicios del Consejo de la Cámara”, </w:t>
      </w:r>
      <w:r w:rsidRPr="00411DD3">
        <w:rPr>
          <w:rFonts w:cs="Times New Roman"/>
          <w:i/>
          <w:iCs/>
          <w:szCs w:val="24"/>
        </w:rPr>
        <w:t>Anuario de historia del derecho español</w:t>
      </w:r>
      <w:r w:rsidRPr="00411DD3">
        <w:rPr>
          <w:rFonts w:cs="Times New Roman"/>
          <w:szCs w:val="24"/>
        </w:rPr>
        <w:t>, núm. 60 (1990): 326–27.</w:t>
      </w:r>
      <w:r>
        <w:fldChar w:fldCharType="end"/>
      </w:r>
    </w:p>
  </w:footnote>
  <w:footnote w:id="129">
    <w:p w14:paraId="50EA41B8" w14:textId="6AA109F4" w:rsidR="001B5219" w:rsidRDefault="001B5219">
      <w:pPr>
        <w:pStyle w:val="Textonotapie"/>
      </w:pPr>
      <w:r>
        <w:rPr>
          <w:rStyle w:val="Refdenotaalpie"/>
        </w:rPr>
        <w:footnoteRef/>
      </w:r>
      <w:r>
        <w:t xml:space="preserve"> </w:t>
      </w:r>
      <w:r w:rsidRPr="00DD5967">
        <w:t xml:space="preserve">Saavedra Fajardo, </w:t>
      </w:r>
      <w:r w:rsidRPr="00DD5967">
        <w:rPr>
          <w:i/>
        </w:rPr>
        <w:t>Idea de un príncipe político christiano</w:t>
      </w:r>
      <w:r w:rsidRPr="00DD5967">
        <w:t>, emp. 73, lema “compressa quiescunt”.</w:t>
      </w:r>
    </w:p>
  </w:footnote>
  <w:footnote w:id="130">
    <w:p w14:paraId="7C5A3E76" w14:textId="64564A5B" w:rsidR="001B5219" w:rsidRDefault="001B5219">
      <w:pPr>
        <w:pStyle w:val="Textonotapie"/>
      </w:pPr>
      <w:r>
        <w:rPr>
          <w:rStyle w:val="Refdenotaalpie"/>
        </w:rPr>
        <w:footnoteRef/>
      </w:r>
      <w:r>
        <w:t xml:space="preserve"> Saavedra Fajardo, emp. 11, lema “ex pulsu noscitur”. Las referencias bíblicas tomadas por Saavedra son Eccl. 5:4 y Eccl. 4:34.</w:t>
      </w:r>
    </w:p>
  </w:footnote>
  <w:footnote w:id="131">
    <w:p w14:paraId="6859A76C" w14:textId="0765FD7A" w:rsidR="001B5219" w:rsidRPr="003C35C1" w:rsidRDefault="001B5219"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3329DC">
        <w:t>pristinum statum restituendo” (Así pues, la indulgencia es la donación graciosa hecha por el Príncipe por la cual libremente perdona algunos crímenes del acusado y lo</w:t>
      </w:r>
      <w:r>
        <w:t xml:space="preserve"> restituye a su estado original)</w:t>
      </w:r>
      <w:r w:rsidRPr="003329DC">
        <w:t xml:space="preserve">. </w:t>
      </w:r>
      <w:r w:rsidRPr="003B1FDE">
        <w:rPr>
          <w:highlight w:val="yellow"/>
          <w:lang w:val="fr-FR"/>
        </w:rPr>
        <w:t xml:space="preserve">Laurentii Matheu i Sanz, </w:t>
      </w:r>
      <w:r w:rsidRPr="003B1FDE">
        <w:rPr>
          <w:i/>
          <w:highlight w:val="yellow"/>
          <w:lang w:val="fr-FR"/>
        </w:rPr>
        <w:t>Tractatus de re criminali</w:t>
      </w:r>
      <w:r w:rsidRPr="003B1FDE">
        <w:rPr>
          <w:highlight w:val="yellow"/>
          <w:lang w:val="fr-FR"/>
        </w:rPr>
        <w:t>, (Lyon: apud Anissonios, Posuel et Rigaud, 1686)</w:t>
      </w:r>
      <w:r w:rsidRPr="003329DC">
        <w:rPr>
          <w:lang w:val="fr-FR"/>
        </w:rPr>
        <w:t xml:space="preserve"> Contr. </w:t>
      </w:r>
      <w:r w:rsidRPr="003329DC">
        <w:t xml:space="preserve">XXI, núm. 2. </w:t>
      </w:r>
    </w:p>
  </w:footnote>
  <w:footnote w:id="132">
    <w:p w14:paraId="5278C48F" w14:textId="18146C48" w:rsidR="001B5219" w:rsidRPr="00F47F3C" w:rsidRDefault="001B5219"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(En España, acerca de esta gracia que se dice: </w:t>
      </w:r>
      <w:r>
        <w:rPr>
          <w:i/>
        </w:rPr>
        <w:t xml:space="preserve">indulto </w:t>
      </w:r>
      <w:r w:rsidRPr="00DE2039">
        <w:t>y</w:t>
      </w:r>
      <w:r>
        <w:rPr>
          <w:i/>
        </w:rPr>
        <w:t xml:space="preserve">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133">
    <w:p w14:paraId="313BF6BD" w14:textId="77777777" w:rsidR="001B5219" w:rsidRPr="00494FBE" w:rsidRDefault="001B5219"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34">
    <w:p w14:paraId="647584A7" w14:textId="0BAEA180" w:rsidR="001B5219" w:rsidRPr="008129CF" w:rsidRDefault="001B5219"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190–225.","noteIndex":127},"citationItems":[{"id":2654,"uris":["http://zotero.org/users/163570/items/APZE9XAC"],"uri":["http://zotero.org/users/163570/items/APZE9XAC"],"itemData":{"id":2654,"type":"book","title":"El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190–225.</w:t>
      </w:r>
      <w:r>
        <w:fldChar w:fldCharType="end"/>
      </w:r>
    </w:p>
  </w:footnote>
  <w:footnote w:id="135">
    <w:p w14:paraId="42B8C6E4" w14:textId="7A5F0AF7" w:rsidR="001B5219" w:rsidRPr="007D6D66" w:rsidRDefault="001B5219">
      <w:pPr>
        <w:pStyle w:val="Textonotapie"/>
      </w:pPr>
      <w:r>
        <w:rPr>
          <w:rStyle w:val="Refdenotaalpie"/>
        </w:rPr>
        <w:footnoteRef/>
      </w:r>
      <w:r>
        <w:t xml:space="preserve"> </w:t>
      </w:r>
      <w:r w:rsidRPr="007D6D66">
        <w:rPr>
          <w:highlight w:val="yellow"/>
        </w:rPr>
        <w:t xml:space="preserve">Vicente Vizcaíno, </w:t>
      </w:r>
      <w:r w:rsidRPr="007D6D66">
        <w:rPr>
          <w:i/>
          <w:highlight w:val="yellow"/>
        </w:rPr>
        <w:t>Código y práctica criminal</w:t>
      </w:r>
      <w:r w:rsidRPr="007D6D66">
        <w:rPr>
          <w:highlight w:val="yellow"/>
        </w:rPr>
        <w:t>, tomo III, núm. 425.</w:t>
      </w:r>
    </w:p>
  </w:footnote>
  <w:footnote w:id="136">
    <w:p w14:paraId="44D4146A" w14:textId="261CA11C" w:rsidR="001B5219" w:rsidRPr="00BC618D" w:rsidRDefault="001B5219">
      <w:pPr>
        <w:pStyle w:val="Textonotapie"/>
      </w:pPr>
      <w:r>
        <w:rPr>
          <w:rStyle w:val="Refdenotaalpie"/>
        </w:rPr>
        <w:footnoteRef/>
      </w:r>
      <w:r>
        <w:t xml:space="preserve"> López de Cuéllar, </w:t>
      </w:r>
      <w:r>
        <w:rPr>
          <w:i/>
        </w:rPr>
        <w:t>Tratado iuridico-politico</w:t>
      </w:r>
      <w:r>
        <w:t>, núm. 55.</w:t>
      </w:r>
    </w:p>
  </w:footnote>
  <w:footnote w:id="137">
    <w:p w14:paraId="0EFA4DC7" w14:textId="6CE3F59A" w:rsidR="001B5219" w:rsidRDefault="001B5219">
      <w:pPr>
        <w:pStyle w:val="Textonotapie"/>
      </w:pPr>
      <w:r>
        <w:rPr>
          <w:rStyle w:val="Refdenotaalpie"/>
        </w:rPr>
        <w:footnoteRef/>
      </w:r>
      <w:r>
        <w:t xml:space="preserve"> </w:t>
      </w:r>
      <w:r w:rsidRPr="003654CD">
        <w:rPr>
          <w:highlight w:val="yellow"/>
        </w:rPr>
        <w:t>Esta idea será tratada a profundidad en el capítulo dedicado al perdón particular.</w:t>
      </w:r>
    </w:p>
  </w:footnote>
  <w:footnote w:id="138">
    <w:p w14:paraId="0EEA64D4" w14:textId="629A4900" w:rsidR="00AD6DE1" w:rsidRDefault="00AD6DE1">
      <w:pPr>
        <w:pStyle w:val="Textonotapie"/>
      </w:pPr>
      <w:r>
        <w:rPr>
          <w:rStyle w:val="Refdenotaalpie"/>
        </w:rPr>
        <w:footnoteRef/>
      </w:r>
      <w:r>
        <w:t xml:space="preserve"> Como señala </w:t>
      </w:r>
      <w:r w:rsidRPr="00AD6DE1">
        <w:t>Ricœur</w:t>
      </w:r>
      <w:r>
        <w:t xml:space="preserve">, la amnistía es la institucionalización del olvido. </w:t>
      </w:r>
      <w:r>
        <w:fldChar w:fldCharType="begin"/>
      </w:r>
      <w:r>
        <w:instrText xml:space="preserve"> ADDIN ZOTERO_ITEM CSL_CITATION {"citationID":"ZPgZioCF","properties":{"formattedCitation":"Paul Ric\\uc0\\u339{}ur, {\\i{}La memoria, la historia, el olvido}, trad. Agust\\uc0\\u237{}n Neira, 2a ed. 1a reimp. (Buenos Aires: Fondo de Cultura Econ\\uc0\\u243{}mica, 2010), 640.","plainCitation":"Paul Ricœur, La memoria, la historia, el olvido, trad. Agustín Neira, 2a ed. 1a reimp. (Buenos Aires: Fondo de Cultura Económica, 2010), 640.","noteIndex":138},"citationItems":[{"id":8297,"uris":["http://zotero.org/users/163570/items/B83IPVQS"],"uri":["http://zotero.org/users/163570/items/B83IPVQS"],"itemData":{"id":8297,"type":"book","title":"La memoria, la historia, el olvido","publisher":"Fondo de Cultura Económica","publisher-place":"Buenos Aires","number-of-pages":"673","edition":"2a ed. 1a reimp.","source":"Open WorldCat","event-place":"Buenos Aires","ISBN":"978-950-557-764-4","note":"OCLC: 868026119","language":"Spanish","author":[{"family":"Ricœur","given":"Paul"}],"translator":[{"family":"Neira","given":"Agustín"}],"issued":{"date-parts":[["2010"]]}},"locator":"640","label":"page"}],"schema":"https://github.com/citation-style-language/schema/raw/master/csl-citation.json"} </w:instrText>
      </w:r>
      <w:r>
        <w:fldChar w:fldCharType="separate"/>
      </w:r>
      <w:r w:rsidRPr="00AD6DE1">
        <w:rPr>
          <w:rFonts w:cs="Times New Roman"/>
          <w:szCs w:val="24"/>
        </w:rPr>
        <w:t xml:space="preserve">Paul Ricœur, </w:t>
      </w:r>
      <w:r w:rsidRPr="00AD6DE1">
        <w:rPr>
          <w:rFonts w:cs="Times New Roman"/>
          <w:i/>
          <w:iCs/>
          <w:szCs w:val="24"/>
        </w:rPr>
        <w:t>La memoria, la historia, el olvido</w:t>
      </w:r>
      <w:r w:rsidRPr="00AD6DE1">
        <w:rPr>
          <w:rFonts w:cs="Times New Roman"/>
          <w:szCs w:val="24"/>
        </w:rPr>
        <w:t>, trad. Agustín Neira, 2a ed. 1a reimp. (Buenos Aires: Fondo de Cultura Económica, 2010), 640.</w:t>
      </w:r>
      <w:r>
        <w:fldChar w:fldCharType="end"/>
      </w:r>
    </w:p>
  </w:footnote>
  <w:footnote w:id="139">
    <w:p w14:paraId="72220389" w14:textId="1427FDCB" w:rsidR="001B5219" w:rsidRDefault="001B5219">
      <w:pPr>
        <w:pStyle w:val="Textonotapie"/>
      </w:pPr>
      <w:r>
        <w:rPr>
          <w:rStyle w:val="Refdenotaalpie"/>
        </w:rPr>
        <w:footnoteRef/>
      </w:r>
      <w:r>
        <w:t xml:space="preserve"> Joseph Blasco de Orozco, “</w:t>
      </w:r>
      <w:r w:rsidRPr="00B66AD1">
        <w:t>Diario de lo acontezido en esta Plaza de Panamá</w:t>
      </w:r>
      <w:r>
        <w:t>”, Panamá, 5 de octubre de 1766. AGI, Panamá, 358.</w:t>
      </w:r>
    </w:p>
  </w:footnote>
  <w:footnote w:id="140">
    <w:p w14:paraId="5B0E12AD" w14:textId="57593595" w:rsidR="00EE587C" w:rsidRDefault="00EE587C">
      <w:pPr>
        <w:pStyle w:val="Textonotapie"/>
      </w:pPr>
      <w:r>
        <w:rPr>
          <w:rStyle w:val="Refdenotaalpie"/>
        </w:rPr>
        <w:footnoteRef/>
      </w:r>
      <w:r>
        <w:t xml:space="preserve"> </w:t>
      </w:r>
      <w:r w:rsidRPr="00EE587C">
        <w:t>Representación de la tropa levantada</w:t>
      </w:r>
      <w:r>
        <w:t xml:space="preserve"> en Panamá. Panamá, 25 de septiembre de 1766. </w:t>
      </w:r>
      <w:r>
        <w:t>AGI, Panamá, 358.</w:t>
      </w:r>
    </w:p>
  </w:footnote>
  <w:footnote w:id="141">
    <w:p w14:paraId="75D918FB" w14:textId="358E6CA1" w:rsidR="001E7647" w:rsidRDefault="001E7647">
      <w:pPr>
        <w:pStyle w:val="Textonotapie"/>
      </w:pPr>
      <w:r>
        <w:rPr>
          <w:rStyle w:val="Refdenotaalpie"/>
        </w:rPr>
        <w:footnoteRef/>
      </w:r>
      <w:r>
        <w:t xml:space="preserve"> </w:t>
      </w:r>
      <w:r>
        <w:fldChar w:fldCharType="begin"/>
      </w:r>
      <w:r>
        <w:instrText xml:space="preserve"> ADDIN ZOTERO_ITEM CSL_CITATION {"citationID":"p823LHZi","properties":{"formattedCitation":"Aude Argouse, \\uc0\\u8220{}\\uc0\\u8216{}Ausente como si fu\\uc0\\u233{}sedes presente\\uc0\\u8217{}. Perd\\uc0\\u243{}n, memoria, escribanos, Chile S. XVI-XVIII\\uc0\\u8221{}, {\\i{}Mouseion}, n\\uc0\\u250{}m. 18 (2014): 65, https://doi.org/10.18316/1676.","plainCitation":"Aude Argouse, “‘Ausente como si fuésedes presente’. Perdón, memoria, escribanos, Chile S. XVI-XVIII”, Mouseion, núm. 18 (2014): 65, https://doi.org/10.18316/1676.","noteIndex":141},"citationItems":[{"id":5922,"uris":["http://zotero.org/users/163570/items/Q8IIIU2X"],"uri":["http://zotero.org/users/163570/items/Q8IIIU2X"],"itemData":{"id":5922,"type":"article-journal","title":"\"Ausente como si fuésedes presente\". Perdón, memoria, escribanos, Chile S. XVI-XVIII","container-title":"Mouseion","page":"55-74","issue":"18","source":"revistas.unilasalle.edu.br","abstract":"A exploração de arquivos de escrivãos em Santiago de Chile entre a segunda metade do século XVI e o início do século XVIII revela cartas de perdão outorgadas pela parte ofendida para liberar o acusado do processo judicial. Considera-se que essas cartas não apenas formam parte de processos  judiciais: são também acordos entre as partes que revelam práticas de escrivãos. Em conjunto com outros textos indicando a cordialidade entre as partes, a leitura desses documentos leva a interrogações sobre práticas de justiça alternativas a aplicação de uma sentença.","DOI":"10.18316/1676","ISSN":"1981-7207","language":"es","author":[{"family":"Argouse","given":"Aude"}],"issued":{"date-parts":[["2014"]]}},"locator":"65","label":"page"}],"schema":"https://github.com/citation-style-language/schema/raw/master/csl-citation.json"} </w:instrText>
      </w:r>
      <w:r>
        <w:fldChar w:fldCharType="separate"/>
      </w:r>
      <w:r w:rsidRPr="001E7647">
        <w:rPr>
          <w:rFonts w:cs="Times New Roman"/>
          <w:szCs w:val="24"/>
        </w:rPr>
        <w:t xml:space="preserve">Aude Argouse, “‘Ausente como si fuésedes presente’. Perdón, memoria, escribanos, Chile S. XVI-XVIII”, </w:t>
      </w:r>
      <w:r w:rsidRPr="001E7647">
        <w:rPr>
          <w:rFonts w:cs="Times New Roman"/>
          <w:i/>
          <w:iCs/>
          <w:szCs w:val="24"/>
        </w:rPr>
        <w:t>Mouseion</w:t>
      </w:r>
      <w:r w:rsidRPr="001E7647">
        <w:rPr>
          <w:rFonts w:cs="Times New Roman"/>
          <w:szCs w:val="24"/>
        </w:rPr>
        <w:t>, núm. 18 (2014): 65, https://doi.org/10.18316/1676.</w:t>
      </w:r>
      <w:r>
        <w:fldChar w:fldCharType="end"/>
      </w:r>
    </w:p>
  </w:footnote>
  <w:footnote w:id="142">
    <w:p w14:paraId="1A26137E" w14:textId="69086A7D" w:rsidR="001E7647" w:rsidRDefault="001E7647">
      <w:pPr>
        <w:pStyle w:val="Textonotapie"/>
      </w:pPr>
      <w:r>
        <w:rPr>
          <w:rStyle w:val="Refdenotaalpie"/>
        </w:rPr>
        <w:footnoteRef/>
      </w:r>
      <w:r>
        <w:t xml:space="preserve"> </w:t>
      </w:r>
      <w:r>
        <w:fldChar w:fldCharType="begin"/>
      </w:r>
      <w:r>
        <w:instrText xml:space="preserve"> ADDIN ZOTERO_ITEM CSL_CITATION {"citationID":"DTqc3hZX","properties":{"formattedCitation":"Argouse, 68.","plainCitation":"Argouse, 68.","noteIndex":142},"citationItems":[{"id":5922,"uris":["http://zotero.org/users/163570/items/Q8IIIU2X"],"uri":["http://zotero.org/users/163570/items/Q8IIIU2X"],"itemData":{"id":5922,"type":"article-journal","title":"\"Ausente como si fuésedes presente\". Perdón, memoria, escribanos, Chile S. XVI-XVIII","container-title":"Mouseion","page":"55-74","issue":"18","source":"revistas.unilasalle.edu.br","abstract":"A exploração de arquivos de escrivãos em Santiago de Chile entre a segunda metade do século XVI e o início do século XVIII revela cartas de perdão outorgadas pela parte ofendida para liberar o acusado do processo judicial. Considera-se que essas cartas não apenas formam parte de processos  judiciais: são também acordos entre as partes que revelam práticas de escrivãos. Em conjunto com outros textos indicando a cordialidade entre as partes, a leitura desses documentos leva a interrogações sobre práticas de justiça alternativas a aplicação de uma sentença.","DOI":"10.18316/1676","ISSN":"1981-7207","language":"es","author":[{"family":"Argouse","given":"Aude"}],"issued":{"date-parts":[["2014"]]}},"locator":"68","label":"page"}],"schema":"https://github.com/citation-style-language/schema/raw/master/csl-citation.json"} </w:instrText>
      </w:r>
      <w:r>
        <w:fldChar w:fldCharType="separate"/>
      </w:r>
      <w:r w:rsidRPr="001E7647">
        <w:rPr>
          <w:rFonts w:cs="Times New Roman"/>
        </w:rPr>
        <w:t>Argouse, 68.</w:t>
      </w:r>
      <w:r>
        <w:fldChar w:fldCharType="end"/>
      </w:r>
    </w:p>
  </w:footnote>
  <w:footnote w:id="143">
    <w:p w14:paraId="5DF65DE3" w14:textId="3A10FFF2" w:rsidR="00896A0C" w:rsidRDefault="00896A0C">
      <w:pPr>
        <w:pStyle w:val="Textonotapie"/>
      </w:pPr>
      <w:r>
        <w:rPr>
          <w:rStyle w:val="Refdenotaalpie"/>
        </w:rPr>
        <w:footnoteRef/>
      </w:r>
      <w:r>
        <w:t xml:space="preserve"> El marqués de la Torre a Julián de Arriaga, Caracas, 14 de octubre de 1771. </w:t>
      </w:r>
      <w:r w:rsidRPr="00896A0C">
        <w:t>AGI, Caracas, 81</w:t>
      </w:r>
      <w:r>
        <w:t>.</w:t>
      </w:r>
    </w:p>
  </w:footnote>
  <w:footnote w:id="144">
    <w:p w14:paraId="01577364" w14:textId="4528EBF1" w:rsidR="001B5219" w:rsidRDefault="001B5219">
      <w:pPr>
        <w:pStyle w:val="Textonotapie"/>
      </w:pPr>
      <w:r>
        <w:rPr>
          <w:rStyle w:val="Refdenotaalpie"/>
        </w:rPr>
        <w:footnoteRef/>
      </w:r>
      <w:r>
        <w:t xml:space="preserve"> </w:t>
      </w:r>
      <w:r>
        <w:fldChar w:fldCharType="begin"/>
      </w:r>
      <w:r w:rsidR="001E7647">
        <w:instrText xml:space="preserve"> ADDIN ZOTERO_ITEM CSL_CITATION {"citationID":"ntZZaL19","properties":{"formattedCitation":"Citado en V\\uc0\\u237{}ctor Tau Anzo\\uc0\\u225{}tegui, {\\i{}El Jurista en el Nuevo Mundo}, vol. 7, Global Perspectives on Legal History (Frankfurt am Main: Max Planck Institute for European Legal History, 2016), 180, https://doi.org/10.12946/gplh7.","plainCitation":"Citado en Víctor Tau Anzoátegui, El Jurista en el Nuevo Mundo, vol. 7, Global Perspectives on Legal History (Frankfurt am Main: Max Planck Institute for European Legal History, 2016), 180, https://doi.org/10.12946/gplh7.","noteIndex":143},"citationItems":[{"id":8176,"uris":["http://zotero.org/users/163570/items/REUPLE9U"],"uri":["http://zotero.org/users/163570/items/REUPLE9U"],"itemData":{"id":8176,"type":"book","title":"El Jurista en el Nuevo Mundo","collection-title":"Global Perspectives on Legal History","publisher":"Max Planck Institute for European Legal History","publisher-place":"Frankfurt am Main","volume":"7","source":"Crossref","event-place":"Frankfurt am Main","URL":"http://www.rg.mpg.de/publikationen/gplh-7","ISBN":"978-3-944773-06-3","note":"DOI: 10.12946/gplh7","language":"es","author":[{"family":"Tau Anzoátegui","given":"Víctor"}],"collection-editor":[{"family":"Duve","given":"Thomas"},{"family":"Vogenauer","given":"Stefan"}],"issued":{"date-parts":[["2016"]]},"accessed":{"date-parts":[["2018",5,4]]}},"locator":"180","label":"page","prefix":"Citado en "}],"schema":"https://github.com/citation-style-language/schema/raw/master/csl-citation.json"} </w:instrText>
      </w:r>
      <w:r>
        <w:fldChar w:fldCharType="separate"/>
      </w:r>
      <w:r w:rsidRPr="001B5219">
        <w:rPr>
          <w:rFonts w:cs="Times New Roman"/>
          <w:szCs w:val="24"/>
        </w:rPr>
        <w:t xml:space="preserve">Citado en Víctor Tau Anzoátegui, </w:t>
      </w:r>
      <w:r w:rsidRPr="001B5219">
        <w:rPr>
          <w:rFonts w:cs="Times New Roman"/>
          <w:i/>
          <w:iCs/>
          <w:szCs w:val="24"/>
        </w:rPr>
        <w:t>El Jurista en el Nuevo Mundo</w:t>
      </w:r>
      <w:r w:rsidRPr="001B5219">
        <w:rPr>
          <w:rFonts w:cs="Times New Roman"/>
          <w:szCs w:val="24"/>
        </w:rPr>
        <w:t>, vol. 7, Global Perspectives on Legal History (Frankfurt am Main: Max Planck Institute for European Legal History, 2016), 180, https://doi.org/10.12946/gplh7.</w:t>
      </w:r>
      <w:r>
        <w:fldChar w:fldCharType="end"/>
      </w:r>
    </w:p>
  </w:footnote>
  <w:footnote w:id="145">
    <w:p w14:paraId="2448667B" w14:textId="0EE12825" w:rsidR="00EB2B24" w:rsidRDefault="00EB2B24">
      <w:pPr>
        <w:pStyle w:val="Textonotapie"/>
      </w:pPr>
      <w:r>
        <w:rPr>
          <w:rStyle w:val="Refdenotaalpie"/>
        </w:rPr>
        <w:footnoteRef/>
      </w:r>
      <w:r>
        <w:t xml:space="preserve"> Feijoo, </w:t>
      </w:r>
      <w:r w:rsidRPr="00EB2B24">
        <w:rPr>
          <w:i/>
          <w:iCs/>
        </w:rPr>
        <w:t>Theatro crítico universal,</w:t>
      </w:r>
      <w:r>
        <w:t xml:space="preserve"> </w:t>
      </w:r>
      <w:r w:rsidRPr="00EB2B24">
        <w:t>discurso XI</w:t>
      </w:r>
      <w:r>
        <w:t>, núm. 30.</w:t>
      </w:r>
    </w:p>
  </w:footnote>
  <w:footnote w:id="146">
    <w:p w14:paraId="564F18F7" w14:textId="3A5E93D1" w:rsidR="004F5D4D" w:rsidRDefault="004F5D4D">
      <w:pPr>
        <w:pStyle w:val="Textonotapie"/>
      </w:pPr>
      <w:r>
        <w:rPr>
          <w:rStyle w:val="Refdenotaalpie"/>
        </w:rPr>
        <w:footnoteRef/>
      </w:r>
      <w:r>
        <w:t xml:space="preserve"> </w:t>
      </w:r>
      <w:r w:rsidRPr="004F5D4D">
        <w:t>Joseph Blasco de Orozco, “Diario de lo acontezido en esta Plaza de Panamá”, Panamá, 5 de octubre de 1766. AGI, Panamá, 358.</w:t>
      </w:r>
    </w:p>
  </w:footnote>
  <w:footnote w:id="147">
    <w:p w14:paraId="3CACC896" w14:textId="4F1AE87A" w:rsidR="004F5D4D" w:rsidRPr="004F5D4D" w:rsidRDefault="004F5D4D">
      <w:pPr>
        <w:pStyle w:val="Textonotapie"/>
      </w:pPr>
      <w:r>
        <w:rPr>
          <w:rStyle w:val="Refdenotaalpie"/>
        </w:rPr>
        <w:footnoteRef/>
      </w:r>
      <w:r w:rsidRPr="004F5D4D">
        <w:t xml:space="preserve"> Véase por ejemplo el caso del tumult novohispano de </w:t>
      </w:r>
      <w:r>
        <w:t>1624.</w:t>
      </w:r>
      <w:r w:rsidRPr="004F5D4D">
        <w:t xml:space="preserve"> </w:t>
      </w:r>
      <w:r>
        <w:fldChar w:fldCharType="begin"/>
      </w:r>
      <w:r w:rsidR="001E7647">
        <w:instrText xml:space="preserve"> ADDIN ZOTERO_ITEM CSL_CITATION {"citationID":"CMur4yNp","properties":{"formattedCitation":"Ballone, {\\i{}The 1624 Tumult of Mexico}, 248.","plainCitation":"Ballone, The 1624 Tumult of Mexico, 248.","noteIndex":146},"citationItems":[{"id":8292,"uris":["http://zotero.org/users/163570/items/SUTHXTRY"],"uri":["http://zotero.org/users/163570/items/SUTHXTRY"],"itemData":{"id":8292,"type":"book","title":"The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Mexico","author":[{"family":"Ballone","given":"Angela"}],"issued":{"date-parts":[["2018"]]}},"locator":"248","label":"page"}],"schema":"https://github.com/citation-style-language/schema/raw/master/csl-citation.json"} </w:instrText>
      </w:r>
      <w:r>
        <w:fldChar w:fldCharType="separate"/>
      </w:r>
      <w:r w:rsidRPr="004F5D4D">
        <w:rPr>
          <w:rFonts w:cs="Times New Roman"/>
          <w:szCs w:val="24"/>
        </w:rPr>
        <w:t xml:space="preserve">Ballone, </w:t>
      </w:r>
      <w:r w:rsidRPr="004F5D4D">
        <w:rPr>
          <w:rFonts w:cs="Times New Roman"/>
          <w:i/>
          <w:iCs/>
          <w:szCs w:val="24"/>
        </w:rPr>
        <w:t>The 1624 Tumult of Mexico</w:t>
      </w:r>
      <w:r w:rsidRPr="004F5D4D">
        <w:rPr>
          <w:rFonts w:cs="Times New Roman"/>
          <w:szCs w:val="24"/>
        </w:rPr>
        <w:t>, 248.</w:t>
      </w:r>
      <w:r>
        <w:fldChar w:fldCharType="end"/>
      </w:r>
    </w:p>
  </w:footnote>
  <w:footnote w:id="148">
    <w:p w14:paraId="21D82DE6" w14:textId="17F4BE78" w:rsidR="004D6474" w:rsidRDefault="004D6474">
      <w:pPr>
        <w:pStyle w:val="Textonotapie"/>
      </w:pPr>
      <w:r>
        <w:rPr>
          <w:rStyle w:val="Refdenotaalpie"/>
        </w:rPr>
        <w:footnoteRef/>
      </w:r>
      <w:r>
        <w:t xml:space="preserve"> </w:t>
      </w:r>
      <w:r>
        <w:fldChar w:fldCharType="begin"/>
      </w:r>
      <w:r w:rsidR="001E7647">
        <w:instrText xml:space="preserve"> ADDIN ZOTERO_ITEM CSL_CITATION {"citationID":"98PcqGhJ","properties":{"formattedCitation":"Ric\\uc0\\u339{}ur, {\\i{}La memoria, la historia, el olvido}, 640\\uc0\\u8211{}41.","plainCitation":"Ricœur, La memoria, la historia, el olvido, 640–41.","noteIndex":147},"citationItems":[{"id":8297,"uris":["http://zotero.org/users/163570/items/B83IPVQS"],"uri":["http://zotero.org/users/163570/items/B83IPVQS"],"itemData":{"id":8297,"type":"book","title":"La memoria, la historia, el olvido","publisher":"Fondo de Cultura Económica","publisher-place":"Buenos Aires","number-of-pages":"673","edition":"2a ed. 1a reimp.","source":"Open WorldCat","event-place":"Buenos Aires","ISBN":"978-950-557-764-4","note":"OCLC: 868026119","language":"Spanish","author":[{"family":"Ricœur","given":"Paul"}],"translator":[{"family":"Neira","given":"Agustín"}],"issued":{"date-parts":[["2010"]]}},"locator":"640-641","label":"page"}],"schema":"https://github.com/citation-style-language/schema/raw/master/csl-citation.json"} </w:instrText>
      </w:r>
      <w:r>
        <w:fldChar w:fldCharType="separate"/>
      </w:r>
      <w:r w:rsidRPr="004D6474">
        <w:rPr>
          <w:rFonts w:cs="Times New Roman"/>
          <w:szCs w:val="24"/>
        </w:rPr>
        <w:t xml:space="preserve">Ricœur, </w:t>
      </w:r>
      <w:r w:rsidRPr="004D6474">
        <w:rPr>
          <w:rFonts w:cs="Times New Roman"/>
          <w:i/>
          <w:iCs/>
          <w:szCs w:val="24"/>
        </w:rPr>
        <w:t>La memoria, la historia, el olvido</w:t>
      </w:r>
      <w:r w:rsidRPr="004D6474">
        <w:rPr>
          <w:rFonts w:cs="Times New Roman"/>
          <w:szCs w:val="24"/>
        </w:rPr>
        <w:t>, 640–41.</w:t>
      </w:r>
      <w:r>
        <w:fldChar w:fldCharType="end"/>
      </w:r>
      <w:r w:rsidR="00C858BC">
        <w:t xml:space="preserve"> Esta idea es desarrollada ampliamente por </w:t>
      </w:r>
      <w:r w:rsidR="00C858BC" w:rsidRPr="004D6474">
        <w:rPr>
          <w:rFonts w:cs="Times New Roman"/>
          <w:szCs w:val="24"/>
        </w:rPr>
        <w:t>Ricœur</w:t>
      </w:r>
      <w:r w:rsidR="00C858BC">
        <w:t xml:space="preserve"> en el apartado “el olvido impuesto: la amnistía” de la obra citada.</w:t>
      </w:r>
    </w:p>
  </w:footnote>
  <w:footnote w:id="149">
    <w:p w14:paraId="5D263DE9" w14:textId="53754773" w:rsidR="004F5D4D" w:rsidRDefault="004F5D4D">
      <w:pPr>
        <w:pStyle w:val="Textonotapie"/>
      </w:pPr>
      <w:r>
        <w:rPr>
          <w:rStyle w:val="Refdenotaalpie"/>
        </w:rPr>
        <w:footnoteRef/>
      </w:r>
      <w:r>
        <w:t xml:space="preserve"> El Rey a Sebastián de Eslava. Madrid, 25 de agosto de 1746. </w:t>
      </w:r>
      <w:r w:rsidRPr="004F5D4D">
        <w:t>AGI, Santa Fe, 940</w:t>
      </w:r>
      <w:r>
        <w:t>.</w:t>
      </w:r>
    </w:p>
  </w:footnote>
  <w:footnote w:id="150">
    <w:p w14:paraId="11AAF06B" w14:textId="109770D9" w:rsidR="002B5743" w:rsidRDefault="002B5743">
      <w:pPr>
        <w:pStyle w:val="Textonotapie"/>
      </w:pPr>
      <w:r>
        <w:rPr>
          <w:rStyle w:val="Refdenotaalpie"/>
        </w:rPr>
        <w:footnoteRef/>
      </w:r>
      <w:r>
        <w:t xml:space="preserve"> La discusión en torno a la relación memoria-historia sobrepasa con creces los alcances de esta tesis. Valga solamente resaltar el trabajo de Jacques Le Goff, además de la ya citada obra de </w:t>
      </w:r>
      <w:r w:rsidRPr="004D6474">
        <w:rPr>
          <w:rFonts w:cs="Times New Roman"/>
          <w:szCs w:val="24"/>
        </w:rPr>
        <w:t>Ricœur</w:t>
      </w:r>
      <w:r>
        <w:rPr>
          <w:rFonts w:cs="Times New Roman"/>
          <w:szCs w:val="24"/>
        </w:rPr>
        <w:t>,</w:t>
      </w:r>
      <w:r>
        <w:t xml:space="preserve"> como base para el desarrollo de este argumento. </w:t>
      </w:r>
      <w:r>
        <w:fldChar w:fldCharType="begin"/>
      </w:r>
      <w:r w:rsidR="001E7647">
        <w:instrText xml:space="preserve"> ADDIN ZOTERO_ITEM CSL_CITATION {"citationID":"7bsOYTmK","properties":{"formattedCitation":"Jacques Le Goff, {\\i{}El orden de la memoria: el tiempo como imaginario} (Barcelona: Paid\\uc0\\u243{}s, 2004).","plainCitation":"Jacques Le Goff, El orden de la memoria: el tiempo como imaginario (Barcelona: Paidós, 2004).","noteIndex":149},"citationItems":[{"id":8301,"uris":["http://zotero.org/users/163570/items/446SUXPT"],"uri":["http://zotero.org/users/163570/items/446SUXPT"],"itemData":{"id":8301,"type":"book","title":"El orden de la memoria: el tiempo como imaginario","publisher":"Paidós","publisher-place":"Barcelona","source":"Open WorldCat","event-place":"Barcelona","ISBN":"978-84-7509-671-1","note":"OCLC: 758029833","shortTitle":"El orden de la memoria","language":"Spanish","author":[{"family":"Le Goff","given":"Jacques"}],"issued":{"date-parts":[["2004"]]}}}],"schema":"https://github.com/citation-style-language/schema/raw/master/csl-citation.json"} </w:instrText>
      </w:r>
      <w:r>
        <w:fldChar w:fldCharType="separate"/>
      </w:r>
      <w:r w:rsidRPr="002B5743">
        <w:rPr>
          <w:rFonts w:cs="Times New Roman"/>
          <w:szCs w:val="24"/>
        </w:rPr>
        <w:t xml:space="preserve">Jacques Le Goff, </w:t>
      </w:r>
      <w:r w:rsidRPr="002B5743">
        <w:rPr>
          <w:rFonts w:cs="Times New Roman"/>
          <w:i/>
          <w:iCs/>
          <w:szCs w:val="24"/>
        </w:rPr>
        <w:t>El orden de la memoria: el tiempo como imaginario</w:t>
      </w:r>
      <w:r w:rsidRPr="002B5743">
        <w:rPr>
          <w:rFonts w:cs="Times New Roman"/>
          <w:szCs w:val="24"/>
        </w:rPr>
        <w:t xml:space="preserve"> (Barcelona: Paidós, 2004).</w:t>
      </w:r>
      <w:r>
        <w:fldChar w:fldCharType="end"/>
      </w:r>
    </w:p>
  </w:footnote>
  <w:footnote w:id="151">
    <w:p w14:paraId="620D68A9" w14:textId="000596E5" w:rsidR="00813E63" w:rsidRDefault="00813E63">
      <w:pPr>
        <w:pStyle w:val="Textonotapie"/>
      </w:pPr>
      <w:r>
        <w:rPr>
          <w:rStyle w:val="Refdenotaalpie"/>
        </w:rPr>
        <w:footnoteRef/>
      </w:r>
      <w:r>
        <w:t xml:space="preserve"> </w:t>
      </w:r>
      <w:r>
        <w:fldChar w:fldCharType="begin"/>
      </w:r>
      <w:r w:rsidR="001E7647">
        <w:instrText xml:space="preserve"> ADDIN ZOTERO_ITEM CSL_CITATION {"citationID":"r7PPz79J","properties":{"formattedCitation":"Aldo Mazzacane, \\uc0\\u8220{}El jurista y la memoria\\uc0\\u8221{}, en {\\i{}Pasiones del jurista. Amor, memoria, melancol\\uc0\\u237{}a, imaginaci\\uc0\\u243{}n}, ed. Carlos Petit, Historia de la sociedad pol\\uc0\\u237{}tica (Madrid: Centro de Estudios Constitucionales, 1997), 75\\uc0\\u8211{}114.","plainCitation":"Aldo Mazzacane, “El jurista y la memoria”, en Pasiones del jurista. Amor, memoria, melancolía, imaginación, ed. Carlos Petit, Historia de la sociedad política (Madrid: Centro de Estudios Constitucionales, 1997), 75–114.","noteIndex":150},"citationItems":[{"id":8300,"uris":["http://zotero.org/users/163570/items/V94X7CWU"],"uri":["http://zotero.org/users/163570/items/V94X7CWU"],"itemData":{"id":8300,"type":"chapter","title":"El jurista y la memoria","container-title":"Pasiones del jurista. Amor, memoria, melancolía, imaginación","collection-title":"Historia de la sociedad política","publisher":"Centro de Estudios Constitucionales","publisher-place":"Madrid","page":"75-114","event-place":"Madrid","ISBN":"84-259-1024-2","shortTitle":"El jurista y la memoria","language":"es","author":[{"family":"Mazzacane","given":"Aldo"}],"editor":[{"family":"Petit","given":"Carlos"}],"issued":{"date-parts":[["1997"]]}}}],"schema":"https://github.com/citation-style-language/schema/raw/master/csl-citation.json"} </w:instrText>
      </w:r>
      <w:r>
        <w:fldChar w:fldCharType="separate"/>
      </w:r>
      <w:r w:rsidRPr="00813E63">
        <w:rPr>
          <w:rFonts w:cs="Times New Roman"/>
          <w:szCs w:val="24"/>
        </w:rPr>
        <w:t xml:space="preserve">Aldo Mazzacane, “El jurista y la memoria”, en </w:t>
      </w:r>
      <w:r w:rsidRPr="00813E63">
        <w:rPr>
          <w:rFonts w:cs="Times New Roman"/>
          <w:i/>
          <w:iCs/>
          <w:szCs w:val="24"/>
        </w:rPr>
        <w:t>Pasiones del jurista. Amor, memoria, melancolía, imaginación</w:t>
      </w:r>
      <w:r w:rsidRPr="00813E63">
        <w:rPr>
          <w:rFonts w:cs="Times New Roman"/>
          <w:szCs w:val="24"/>
        </w:rPr>
        <w:t>, ed. Carlos Petit, Historia de la sociedad política (Madrid: Centro de Estudios Constitucionales, 1997), 75–114.</w:t>
      </w:r>
      <w:r>
        <w:fldChar w:fldCharType="end"/>
      </w:r>
    </w:p>
  </w:footnote>
  <w:footnote w:id="152">
    <w:p w14:paraId="19A13CE3" w14:textId="26537757" w:rsidR="00F309B8" w:rsidRPr="00F309B8" w:rsidRDefault="00F309B8">
      <w:pPr>
        <w:pStyle w:val="Textonotapie"/>
      </w:pPr>
      <w:r>
        <w:rPr>
          <w:rStyle w:val="Refdenotaalpie"/>
        </w:rPr>
        <w:footnoteRef/>
      </w:r>
      <w:r>
        <w:t xml:space="preserve"> El título completo de la obra es en sí ilustrativo de la relevancia de la historia para el reglar los comportamientos de superiores y vasallos. </w:t>
      </w:r>
      <w:r w:rsidRPr="002B5743">
        <w:rPr>
          <w:highlight w:val="yellow"/>
        </w:rPr>
        <w:t xml:space="preserve">Juan de Palafox y Mendoza, </w:t>
      </w:r>
      <w:r w:rsidRPr="002B5743">
        <w:rPr>
          <w:i/>
          <w:highlight w:val="yellow"/>
        </w:rPr>
        <w:t>Historia Real Sagrada, luz de príncipes y súbditos</w:t>
      </w:r>
      <w:r w:rsidR="002B5743" w:rsidRPr="002B5743">
        <w:rPr>
          <w:i/>
          <w:highlight w:val="yellow"/>
        </w:rPr>
        <w:t xml:space="preserve"> </w:t>
      </w:r>
      <w:r w:rsidR="002B5743" w:rsidRPr="002B5743">
        <w:rPr>
          <w:highlight w:val="yellow"/>
        </w:rPr>
        <w:t>[1643]</w:t>
      </w:r>
      <w:r w:rsidRPr="002B5743">
        <w:rPr>
          <w:highlight w:val="yellow"/>
        </w:rPr>
        <w:t>, segunda impresión corregida y aumentada (Bruselas: casa de Francesco Foppens, 1655)</w:t>
      </w:r>
      <w:r>
        <w:t>, lib. III.</w:t>
      </w:r>
    </w:p>
  </w:footnote>
  <w:footnote w:id="153">
    <w:p w14:paraId="7F7A3C9E" w14:textId="171D285F" w:rsidR="00EE587C" w:rsidRPr="001E7647" w:rsidRDefault="00EE587C">
      <w:pPr>
        <w:pStyle w:val="Textonotapie"/>
        <w:rPr>
          <w:lang w:val="en-US"/>
        </w:rPr>
      </w:pPr>
      <w:r>
        <w:rPr>
          <w:rStyle w:val="Refdenotaalpie"/>
        </w:rPr>
        <w:footnoteRef/>
      </w:r>
      <w:r w:rsidRPr="001E7647">
        <w:rPr>
          <w:lang w:val="en-US"/>
        </w:rPr>
        <w:t xml:space="preserve"> </w:t>
      </w:r>
      <w:r>
        <w:fldChar w:fldCharType="begin"/>
      </w:r>
      <w:r w:rsidR="001E7647">
        <w:rPr>
          <w:lang w:val="en-US"/>
        </w:rPr>
        <w:instrText xml:space="preserve"> ADDIN ZOTERO_ITEM CSL_CITATION {"citationID":"nERurSly","properties":{"formattedCitation":"Ballone, {\\i{}The 1624 Tumult of Mexico}, 263.","plainCitation":"Ballone, The 1624 Tumult of Mexico, 263.","noteIndex":152},"citationItems":[{"id":8292,"uris":["http://zotero.org/users/163570/items/SUTHXTRY"],"uri":["http://zotero.org/users/163570/items/SUTHXTRY"],"itemData":{"id":8292,"type":"book","title":"The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Mexico","author":[{"family":"Ballone","given":"Angela"}],"issued":{"date-parts":[["2018"]]}},"locator":"263","label":"page"}],"schema":"https://github.com/citation-style-language/schema/raw/master/csl-citation.json"} </w:instrText>
      </w:r>
      <w:r>
        <w:fldChar w:fldCharType="separate"/>
      </w:r>
      <w:r w:rsidRPr="001E7647">
        <w:rPr>
          <w:rFonts w:cs="Times New Roman"/>
          <w:szCs w:val="24"/>
          <w:lang w:val="en-US"/>
        </w:rPr>
        <w:t xml:space="preserve">Ballone, </w:t>
      </w:r>
      <w:r w:rsidRPr="001E7647">
        <w:rPr>
          <w:rFonts w:cs="Times New Roman"/>
          <w:i/>
          <w:iCs/>
          <w:szCs w:val="24"/>
          <w:lang w:val="en-US"/>
        </w:rPr>
        <w:t>The 1624 Tumult of Mexico</w:t>
      </w:r>
      <w:r w:rsidRPr="001E7647">
        <w:rPr>
          <w:rFonts w:cs="Times New Roman"/>
          <w:szCs w:val="24"/>
          <w:lang w:val="en-US"/>
        </w:rPr>
        <w:t>, 263.</w:t>
      </w:r>
      <w:r>
        <w:fldChar w:fldCharType="end"/>
      </w:r>
    </w:p>
  </w:footnote>
  <w:footnote w:id="154">
    <w:p w14:paraId="158050A5" w14:textId="3CA56937" w:rsidR="008E11EA" w:rsidRDefault="008E11EA">
      <w:pPr>
        <w:pStyle w:val="Textonotapie"/>
      </w:pPr>
      <w:r>
        <w:rPr>
          <w:rStyle w:val="Refdenotaalpie"/>
        </w:rPr>
        <w:footnoteRef/>
      </w:r>
      <w:r>
        <w:t xml:space="preserve"> Joseph Blasco de Orozco a Julián de Arriaga, Panamá, 5 de octubre de 1766. </w:t>
      </w:r>
      <w:r w:rsidRPr="008E11EA">
        <w:t>AGI, Panamá, 358</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A10"/>
    <w:rsid w:val="00003EAA"/>
    <w:rsid w:val="00004051"/>
    <w:rsid w:val="00005E55"/>
    <w:rsid w:val="000068F8"/>
    <w:rsid w:val="00007A64"/>
    <w:rsid w:val="000100A2"/>
    <w:rsid w:val="00010BC5"/>
    <w:rsid w:val="000113E8"/>
    <w:rsid w:val="00012424"/>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78C1"/>
    <w:rsid w:val="0008025F"/>
    <w:rsid w:val="00080325"/>
    <w:rsid w:val="00081ED4"/>
    <w:rsid w:val="00087B96"/>
    <w:rsid w:val="00087BC1"/>
    <w:rsid w:val="0009056F"/>
    <w:rsid w:val="00090E5A"/>
    <w:rsid w:val="0009524D"/>
    <w:rsid w:val="00095CF9"/>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3421"/>
    <w:rsid w:val="000E4B53"/>
    <w:rsid w:val="000E7114"/>
    <w:rsid w:val="000F01DD"/>
    <w:rsid w:val="000F0EAD"/>
    <w:rsid w:val="000F2BAD"/>
    <w:rsid w:val="000F3839"/>
    <w:rsid w:val="000F3AA5"/>
    <w:rsid w:val="000F415D"/>
    <w:rsid w:val="000F59E1"/>
    <w:rsid w:val="00102968"/>
    <w:rsid w:val="0010513E"/>
    <w:rsid w:val="001056D4"/>
    <w:rsid w:val="00106F3F"/>
    <w:rsid w:val="00110CC8"/>
    <w:rsid w:val="00111F38"/>
    <w:rsid w:val="00112B69"/>
    <w:rsid w:val="00113798"/>
    <w:rsid w:val="0011469E"/>
    <w:rsid w:val="00116273"/>
    <w:rsid w:val="00116CF3"/>
    <w:rsid w:val="00117822"/>
    <w:rsid w:val="00117A9C"/>
    <w:rsid w:val="00122329"/>
    <w:rsid w:val="0012263D"/>
    <w:rsid w:val="00122F85"/>
    <w:rsid w:val="00123602"/>
    <w:rsid w:val="00123CC7"/>
    <w:rsid w:val="00126721"/>
    <w:rsid w:val="00126935"/>
    <w:rsid w:val="00127A9C"/>
    <w:rsid w:val="00127DD7"/>
    <w:rsid w:val="0013002E"/>
    <w:rsid w:val="001309A5"/>
    <w:rsid w:val="00130D3D"/>
    <w:rsid w:val="00131992"/>
    <w:rsid w:val="00131A0A"/>
    <w:rsid w:val="00132E3A"/>
    <w:rsid w:val="00134E68"/>
    <w:rsid w:val="00135A97"/>
    <w:rsid w:val="00137320"/>
    <w:rsid w:val="0014170D"/>
    <w:rsid w:val="00142E02"/>
    <w:rsid w:val="00143848"/>
    <w:rsid w:val="0014412D"/>
    <w:rsid w:val="00145F80"/>
    <w:rsid w:val="00146FD9"/>
    <w:rsid w:val="001478CB"/>
    <w:rsid w:val="001530D7"/>
    <w:rsid w:val="001543B8"/>
    <w:rsid w:val="001544D0"/>
    <w:rsid w:val="0015686F"/>
    <w:rsid w:val="001573BA"/>
    <w:rsid w:val="00157B4F"/>
    <w:rsid w:val="00160A4C"/>
    <w:rsid w:val="0016104C"/>
    <w:rsid w:val="00164896"/>
    <w:rsid w:val="00164B64"/>
    <w:rsid w:val="0016649F"/>
    <w:rsid w:val="00170F83"/>
    <w:rsid w:val="00173318"/>
    <w:rsid w:val="001750E6"/>
    <w:rsid w:val="001754C2"/>
    <w:rsid w:val="001758E1"/>
    <w:rsid w:val="001858CC"/>
    <w:rsid w:val="001917AB"/>
    <w:rsid w:val="00191C85"/>
    <w:rsid w:val="00191E14"/>
    <w:rsid w:val="0019518C"/>
    <w:rsid w:val="001A138B"/>
    <w:rsid w:val="001A5687"/>
    <w:rsid w:val="001B2249"/>
    <w:rsid w:val="001B2339"/>
    <w:rsid w:val="001B3281"/>
    <w:rsid w:val="001B4764"/>
    <w:rsid w:val="001B5219"/>
    <w:rsid w:val="001B61B0"/>
    <w:rsid w:val="001B79A8"/>
    <w:rsid w:val="001C0FBA"/>
    <w:rsid w:val="001C4925"/>
    <w:rsid w:val="001D2949"/>
    <w:rsid w:val="001D4E85"/>
    <w:rsid w:val="001D5156"/>
    <w:rsid w:val="001D5205"/>
    <w:rsid w:val="001D58D7"/>
    <w:rsid w:val="001E0330"/>
    <w:rsid w:val="001E159A"/>
    <w:rsid w:val="001E15B1"/>
    <w:rsid w:val="001E16B2"/>
    <w:rsid w:val="001E1BEF"/>
    <w:rsid w:val="001E33BA"/>
    <w:rsid w:val="001E394C"/>
    <w:rsid w:val="001E5979"/>
    <w:rsid w:val="001E7647"/>
    <w:rsid w:val="001F55DA"/>
    <w:rsid w:val="001F6A3F"/>
    <w:rsid w:val="001F7A79"/>
    <w:rsid w:val="00201290"/>
    <w:rsid w:val="0020271B"/>
    <w:rsid w:val="002056AD"/>
    <w:rsid w:val="0020622A"/>
    <w:rsid w:val="00211A92"/>
    <w:rsid w:val="002127F0"/>
    <w:rsid w:val="00213058"/>
    <w:rsid w:val="00215D8E"/>
    <w:rsid w:val="002173DE"/>
    <w:rsid w:val="00220385"/>
    <w:rsid w:val="002235DA"/>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04A7"/>
    <w:rsid w:val="00295A0D"/>
    <w:rsid w:val="00295A90"/>
    <w:rsid w:val="002974D2"/>
    <w:rsid w:val="002A0AD7"/>
    <w:rsid w:val="002A1714"/>
    <w:rsid w:val="002A1C33"/>
    <w:rsid w:val="002A1EB5"/>
    <w:rsid w:val="002A3D12"/>
    <w:rsid w:val="002A4004"/>
    <w:rsid w:val="002A4B7D"/>
    <w:rsid w:val="002A6BED"/>
    <w:rsid w:val="002A6D37"/>
    <w:rsid w:val="002A6F16"/>
    <w:rsid w:val="002A7C29"/>
    <w:rsid w:val="002B3A59"/>
    <w:rsid w:val="002B4F9E"/>
    <w:rsid w:val="002B5743"/>
    <w:rsid w:val="002B6C75"/>
    <w:rsid w:val="002B71A0"/>
    <w:rsid w:val="002B7F68"/>
    <w:rsid w:val="002C0CF3"/>
    <w:rsid w:val="002C207D"/>
    <w:rsid w:val="002C31D4"/>
    <w:rsid w:val="002C36EE"/>
    <w:rsid w:val="002C53AF"/>
    <w:rsid w:val="002C5578"/>
    <w:rsid w:val="002C58DF"/>
    <w:rsid w:val="002D17B5"/>
    <w:rsid w:val="002D344A"/>
    <w:rsid w:val="002D4546"/>
    <w:rsid w:val="002D4ABD"/>
    <w:rsid w:val="002D535C"/>
    <w:rsid w:val="002D661C"/>
    <w:rsid w:val="002E1398"/>
    <w:rsid w:val="002E15D5"/>
    <w:rsid w:val="002E266C"/>
    <w:rsid w:val="002E634A"/>
    <w:rsid w:val="002F071D"/>
    <w:rsid w:val="002F1799"/>
    <w:rsid w:val="002F1F37"/>
    <w:rsid w:val="002F2950"/>
    <w:rsid w:val="002F3900"/>
    <w:rsid w:val="002F3FD6"/>
    <w:rsid w:val="00301BE4"/>
    <w:rsid w:val="00302F7B"/>
    <w:rsid w:val="0030389A"/>
    <w:rsid w:val="0030460D"/>
    <w:rsid w:val="00304BCC"/>
    <w:rsid w:val="00306997"/>
    <w:rsid w:val="003100C2"/>
    <w:rsid w:val="0031024E"/>
    <w:rsid w:val="00311A3C"/>
    <w:rsid w:val="00312258"/>
    <w:rsid w:val="00312A9B"/>
    <w:rsid w:val="00312EC9"/>
    <w:rsid w:val="00312EF0"/>
    <w:rsid w:val="00314027"/>
    <w:rsid w:val="003142C3"/>
    <w:rsid w:val="003145D6"/>
    <w:rsid w:val="00315BAF"/>
    <w:rsid w:val="00323B53"/>
    <w:rsid w:val="0032430F"/>
    <w:rsid w:val="00325A34"/>
    <w:rsid w:val="003268DD"/>
    <w:rsid w:val="003307D4"/>
    <w:rsid w:val="00330F81"/>
    <w:rsid w:val="00331B59"/>
    <w:rsid w:val="003329DC"/>
    <w:rsid w:val="00336BAF"/>
    <w:rsid w:val="00341052"/>
    <w:rsid w:val="00341DA2"/>
    <w:rsid w:val="0034339A"/>
    <w:rsid w:val="0034609E"/>
    <w:rsid w:val="00351D41"/>
    <w:rsid w:val="00352AAE"/>
    <w:rsid w:val="00353440"/>
    <w:rsid w:val="0036187F"/>
    <w:rsid w:val="00361CCF"/>
    <w:rsid w:val="00363556"/>
    <w:rsid w:val="00364BD5"/>
    <w:rsid w:val="00364D51"/>
    <w:rsid w:val="003654CD"/>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1FD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0E0D"/>
    <w:rsid w:val="004112E8"/>
    <w:rsid w:val="00411451"/>
    <w:rsid w:val="00411DD3"/>
    <w:rsid w:val="004135B7"/>
    <w:rsid w:val="00413C14"/>
    <w:rsid w:val="004142D1"/>
    <w:rsid w:val="00414710"/>
    <w:rsid w:val="00414A82"/>
    <w:rsid w:val="00420BB0"/>
    <w:rsid w:val="00421861"/>
    <w:rsid w:val="0042190A"/>
    <w:rsid w:val="00421B52"/>
    <w:rsid w:val="00422F2B"/>
    <w:rsid w:val="0042459E"/>
    <w:rsid w:val="00425D60"/>
    <w:rsid w:val="004308E1"/>
    <w:rsid w:val="00432FBA"/>
    <w:rsid w:val="00436587"/>
    <w:rsid w:val="00444FE7"/>
    <w:rsid w:val="0045090F"/>
    <w:rsid w:val="00450953"/>
    <w:rsid w:val="00452E15"/>
    <w:rsid w:val="00453281"/>
    <w:rsid w:val="00455C81"/>
    <w:rsid w:val="004616A3"/>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86DD3"/>
    <w:rsid w:val="00487C74"/>
    <w:rsid w:val="00491039"/>
    <w:rsid w:val="00492B29"/>
    <w:rsid w:val="00493605"/>
    <w:rsid w:val="00494234"/>
    <w:rsid w:val="004956DE"/>
    <w:rsid w:val="004970C2"/>
    <w:rsid w:val="00497A7D"/>
    <w:rsid w:val="004A15F4"/>
    <w:rsid w:val="004A1A9C"/>
    <w:rsid w:val="004A1C86"/>
    <w:rsid w:val="004A29CE"/>
    <w:rsid w:val="004A4897"/>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474"/>
    <w:rsid w:val="004D6C81"/>
    <w:rsid w:val="004E0EEF"/>
    <w:rsid w:val="004E398A"/>
    <w:rsid w:val="004E6A40"/>
    <w:rsid w:val="004E6D14"/>
    <w:rsid w:val="004E7906"/>
    <w:rsid w:val="004F0066"/>
    <w:rsid w:val="004F0B24"/>
    <w:rsid w:val="004F2730"/>
    <w:rsid w:val="004F2AE6"/>
    <w:rsid w:val="004F2FDB"/>
    <w:rsid w:val="004F5D4D"/>
    <w:rsid w:val="00500348"/>
    <w:rsid w:val="00503A44"/>
    <w:rsid w:val="0050477D"/>
    <w:rsid w:val="00505CD1"/>
    <w:rsid w:val="00505F86"/>
    <w:rsid w:val="00507B87"/>
    <w:rsid w:val="005114AE"/>
    <w:rsid w:val="005137D0"/>
    <w:rsid w:val="00515929"/>
    <w:rsid w:val="005166E9"/>
    <w:rsid w:val="00516F63"/>
    <w:rsid w:val="00520895"/>
    <w:rsid w:val="00523356"/>
    <w:rsid w:val="00523BE8"/>
    <w:rsid w:val="00525F67"/>
    <w:rsid w:val="00526429"/>
    <w:rsid w:val="005306EA"/>
    <w:rsid w:val="00533D9A"/>
    <w:rsid w:val="005356F7"/>
    <w:rsid w:val="00537AE8"/>
    <w:rsid w:val="005433D6"/>
    <w:rsid w:val="005440D9"/>
    <w:rsid w:val="00545629"/>
    <w:rsid w:val="00546CA2"/>
    <w:rsid w:val="005613F2"/>
    <w:rsid w:val="00564920"/>
    <w:rsid w:val="00565B64"/>
    <w:rsid w:val="005666D8"/>
    <w:rsid w:val="00567C76"/>
    <w:rsid w:val="00570D59"/>
    <w:rsid w:val="00572F2C"/>
    <w:rsid w:val="0057471E"/>
    <w:rsid w:val="005779E7"/>
    <w:rsid w:val="00577FF2"/>
    <w:rsid w:val="00580E83"/>
    <w:rsid w:val="005844AE"/>
    <w:rsid w:val="00584CAC"/>
    <w:rsid w:val="00590FCC"/>
    <w:rsid w:val="00592AD1"/>
    <w:rsid w:val="00593031"/>
    <w:rsid w:val="005935C1"/>
    <w:rsid w:val="00593D82"/>
    <w:rsid w:val="00594ACD"/>
    <w:rsid w:val="00595B83"/>
    <w:rsid w:val="005A12A8"/>
    <w:rsid w:val="005A29B6"/>
    <w:rsid w:val="005A4693"/>
    <w:rsid w:val="005A53FF"/>
    <w:rsid w:val="005A68E3"/>
    <w:rsid w:val="005A77FF"/>
    <w:rsid w:val="005B055C"/>
    <w:rsid w:val="005B05B1"/>
    <w:rsid w:val="005B2C6F"/>
    <w:rsid w:val="005B36CD"/>
    <w:rsid w:val="005B6AAC"/>
    <w:rsid w:val="005C4226"/>
    <w:rsid w:val="005C7A61"/>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3A3"/>
    <w:rsid w:val="006126EC"/>
    <w:rsid w:val="006128BA"/>
    <w:rsid w:val="00613890"/>
    <w:rsid w:val="00614710"/>
    <w:rsid w:val="006211F4"/>
    <w:rsid w:val="0062417A"/>
    <w:rsid w:val="00625740"/>
    <w:rsid w:val="00627034"/>
    <w:rsid w:val="00630E1A"/>
    <w:rsid w:val="00631397"/>
    <w:rsid w:val="00632255"/>
    <w:rsid w:val="00632536"/>
    <w:rsid w:val="00632A67"/>
    <w:rsid w:val="006349F2"/>
    <w:rsid w:val="00636256"/>
    <w:rsid w:val="00637FA8"/>
    <w:rsid w:val="006409A3"/>
    <w:rsid w:val="0064159E"/>
    <w:rsid w:val="00645E07"/>
    <w:rsid w:val="00647AB3"/>
    <w:rsid w:val="00650140"/>
    <w:rsid w:val="00650D67"/>
    <w:rsid w:val="00653A46"/>
    <w:rsid w:val="0065409B"/>
    <w:rsid w:val="00656FB4"/>
    <w:rsid w:val="00660639"/>
    <w:rsid w:val="0066090D"/>
    <w:rsid w:val="00662708"/>
    <w:rsid w:val="00662C12"/>
    <w:rsid w:val="00663420"/>
    <w:rsid w:val="0066409D"/>
    <w:rsid w:val="006659B5"/>
    <w:rsid w:val="006661B1"/>
    <w:rsid w:val="0066695C"/>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8D9"/>
    <w:rsid w:val="006B1DAE"/>
    <w:rsid w:val="006B20EE"/>
    <w:rsid w:val="006B2CCD"/>
    <w:rsid w:val="006B38EA"/>
    <w:rsid w:val="006B51F8"/>
    <w:rsid w:val="006B6B52"/>
    <w:rsid w:val="006B6E95"/>
    <w:rsid w:val="006C43DB"/>
    <w:rsid w:val="006C60FF"/>
    <w:rsid w:val="006D096D"/>
    <w:rsid w:val="006D2579"/>
    <w:rsid w:val="006D2682"/>
    <w:rsid w:val="006D50E5"/>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3DCB"/>
    <w:rsid w:val="0070628F"/>
    <w:rsid w:val="007067B0"/>
    <w:rsid w:val="00707D96"/>
    <w:rsid w:val="00710517"/>
    <w:rsid w:val="007126D3"/>
    <w:rsid w:val="00714366"/>
    <w:rsid w:val="00715314"/>
    <w:rsid w:val="00720197"/>
    <w:rsid w:val="00721094"/>
    <w:rsid w:val="00722CBD"/>
    <w:rsid w:val="00724125"/>
    <w:rsid w:val="00724F89"/>
    <w:rsid w:val="0072566C"/>
    <w:rsid w:val="00725B91"/>
    <w:rsid w:val="007308B5"/>
    <w:rsid w:val="007319E7"/>
    <w:rsid w:val="00732D81"/>
    <w:rsid w:val="00734344"/>
    <w:rsid w:val="0073488D"/>
    <w:rsid w:val="00734A1B"/>
    <w:rsid w:val="00736260"/>
    <w:rsid w:val="00736368"/>
    <w:rsid w:val="00740ACE"/>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0C38"/>
    <w:rsid w:val="007812D1"/>
    <w:rsid w:val="0078191E"/>
    <w:rsid w:val="007827E4"/>
    <w:rsid w:val="00784CA8"/>
    <w:rsid w:val="0078764D"/>
    <w:rsid w:val="0079524B"/>
    <w:rsid w:val="007A032C"/>
    <w:rsid w:val="007A11BA"/>
    <w:rsid w:val="007A63BF"/>
    <w:rsid w:val="007A7D17"/>
    <w:rsid w:val="007B67FC"/>
    <w:rsid w:val="007B6CD0"/>
    <w:rsid w:val="007C0571"/>
    <w:rsid w:val="007C09F3"/>
    <w:rsid w:val="007C516D"/>
    <w:rsid w:val="007C618D"/>
    <w:rsid w:val="007C6342"/>
    <w:rsid w:val="007C7C94"/>
    <w:rsid w:val="007D1F5B"/>
    <w:rsid w:val="007D2D31"/>
    <w:rsid w:val="007D4515"/>
    <w:rsid w:val="007D56D1"/>
    <w:rsid w:val="007D6D66"/>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3E63"/>
    <w:rsid w:val="00816429"/>
    <w:rsid w:val="008171B6"/>
    <w:rsid w:val="00817B95"/>
    <w:rsid w:val="008210C8"/>
    <w:rsid w:val="00823751"/>
    <w:rsid w:val="008252F6"/>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290A"/>
    <w:rsid w:val="00843A2F"/>
    <w:rsid w:val="0084734D"/>
    <w:rsid w:val="008500D8"/>
    <w:rsid w:val="0085395D"/>
    <w:rsid w:val="00856AF5"/>
    <w:rsid w:val="00860041"/>
    <w:rsid w:val="00860C68"/>
    <w:rsid w:val="00860ED3"/>
    <w:rsid w:val="0086150A"/>
    <w:rsid w:val="00861C4D"/>
    <w:rsid w:val="00862D6F"/>
    <w:rsid w:val="008645D5"/>
    <w:rsid w:val="00866385"/>
    <w:rsid w:val="00866F29"/>
    <w:rsid w:val="00867493"/>
    <w:rsid w:val="0086793B"/>
    <w:rsid w:val="008704CE"/>
    <w:rsid w:val="008709A7"/>
    <w:rsid w:val="00873BED"/>
    <w:rsid w:val="008758BA"/>
    <w:rsid w:val="00875DC6"/>
    <w:rsid w:val="00875EC5"/>
    <w:rsid w:val="00881DEB"/>
    <w:rsid w:val="00883F5D"/>
    <w:rsid w:val="00886E44"/>
    <w:rsid w:val="00887352"/>
    <w:rsid w:val="00891315"/>
    <w:rsid w:val="00892BDA"/>
    <w:rsid w:val="00892D06"/>
    <w:rsid w:val="00893F33"/>
    <w:rsid w:val="00895690"/>
    <w:rsid w:val="008958FE"/>
    <w:rsid w:val="00896A0C"/>
    <w:rsid w:val="00897132"/>
    <w:rsid w:val="008979B9"/>
    <w:rsid w:val="008A0465"/>
    <w:rsid w:val="008A21B7"/>
    <w:rsid w:val="008A2393"/>
    <w:rsid w:val="008A2727"/>
    <w:rsid w:val="008A2DA7"/>
    <w:rsid w:val="008B1E67"/>
    <w:rsid w:val="008B2835"/>
    <w:rsid w:val="008B51AA"/>
    <w:rsid w:val="008B7B56"/>
    <w:rsid w:val="008C09F0"/>
    <w:rsid w:val="008C2CAC"/>
    <w:rsid w:val="008C6989"/>
    <w:rsid w:val="008C7F0E"/>
    <w:rsid w:val="008D23B4"/>
    <w:rsid w:val="008D5F8A"/>
    <w:rsid w:val="008D68F4"/>
    <w:rsid w:val="008D71A0"/>
    <w:rsid w:val="008D7B48"/>
    <w:rsid w:val="008E11EA"/>
    <w:rsid w:val="008E1FFC"/>
    <w:rsid w:val="008E21DD"/>
    <w:rsid w:val="008E453A"/>
    <w:rsid w:val="008E4E99"/>
    <w:rsid w:val="008E55EA"/>
    <w:rsid w:val="008F1007"/>
    <w:rsid w:val="008F36FD"/>
    <w:rsid w:val="008F377B"/>
    <w:rsid w:val="008F37D7"/>
    <w:rsid w:val="008F5280"/>
    <w:rsid w:val="008F628B"/>
    <w:rsid w:val="009002A6"/>
    <w:rsid w:val="009026DF"/>
    <w:rsid w:val="009045B6"/>
    <w:rsid w:val="009060CE"/>
    <w:rsid w:val="00906DD8"/>
    <w:rsid w:val="00911AD5"/>
    <w:rsid w:val="00912806"/>
    <w:rsid w:val="00912BF7"/>
    <w:rsid w:val="0091320E"/>
    <w:rsid w:val="00914146"/>
    <w:rsid w:val="009144F1"/>
    <w:rsid w:val="00915962"/>
    <w:rsid w:val="00917E84"/>
    <w:rsid w:val="0092166A"/>
    <w:rsid w:val="00922CC8"/>
    <w:rsid w:val="00922D6F"/>
    <w:rsid w:val="00923C33"/>
    <w:rsid w:val="0092506C"/>
    <w:rsid w:val="00925A8D"/>
    <w:rsid w:val="00925F98"/>
    <w:rsid w:val="00926DD1"/>
    <w:rsid w:val="00932469"/>
    <w:rsid w:val="009334BD"/>
    <w:rsid w:val="009355E1"/>
    <w:rsid w:val="009426D7"/>
    <w:rsid w:val="00944E5A"/>
    <w:rsid w:val="00947E39"/>
    <w:rsid w:val="00950970"/>
    <w:rsid w:val="009509EB"/>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38DA"/>
    <w:rsid w:val="009A50FD"/>
    <w:rsid w:val="009A5174"/>
    <w:rsid w:val="009A5A86"/>
    <w:rsid w:val="009A609C"/>
    <w:rsid w:val="009A707D"/>
    <w:rsid w:val="009A7156"/>
    <w:rsid w:val="009B147C"/>
    <w:rsid w:val="009B3BC4"/>
    <w:rsid w:val="009B5CD1"/>
    <w:rsid w:val="009C2208"/>
    <w:rsid w:val="009C502A"/>
    <w:rsid w:val="009C58D9"/>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6F9B"/>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66A26"/>
    <w:rsid w:val="00A706D3"/>
    <w:rsid w:val="00A76491"/>
    <w:rsid w:val="00A76EFA"/>
    <w:rsid w:val="00A77E24"/>
    <w:rsid w:val="00A8093A"/>
    <w:rsid w:val="00A80EDA"/>
    <w:rsid w:val="00A82B65"/>
    <w:rsid w:val="00A842CE"/>
    <w:rsid w:val="00A86C78"/>
    <w:rsid w:val="00A903F1"/>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B767D"/>
    <w:rsid w:val="00AC0576"/>
    <w:rsid w:val="00AC086E"/>
    <w:rsid w:val="00AC23AE"/>
    <w:rsid w:val="00AC51FA"/>
    <w:rsid w:val="00AC74F4"/>
    <w:rsid w:val="00AD04AD"/>
    <w:rsid w:val="00AD59DB"/>
    <w:rsid w:val="00AD6DE1"/>
    <w:rsid w:val="00AD7100"/>
    <w:rsid w:val="00AE284D"/>
    <w:rsid w:val="00AE3608"/>
    <w:rsid w:val="00AE3978"/>
    <w:rsid w:val="00AE48AE"/>
    <w:rsid w:val="00AE68EA"/>
    <w:rsid w:val="00AF057A"/>
    <w:rsid w:val="00AF11C2"/>
    <w:rsid w:val="00AF1BA2"/>
    <w:rsid w:val="00AF29A2"/>
    <w:rsid w:val="00AF455D"/>
    <w:rsid w:val="00AF7B25"/>
    <w:rsid w:val="00B011C4"/>
    <w:rsid w:val="00B0400F"/>
    <w:rsid w:val="00B068AB"/>
    <w:rsid w:val="00B13ABF"/>
    <w:rsid w:val="00B169BD"/>
    <w:rsid w:val="00B20DA2"/>
    <w:rsid w:val="00B2236D"/>
    <w:rsid w:val="00B223FE"/>
    <w:rsid w:val="00B22F55"/>
    <w:rsid w:val="00B247B2"/>
    <w:rsid w:val="00B265D7"/>
    <w:rsid w:val="00B27F31"/>
    <w:rsid w:val="00B30064"/>
    <w:rsid w:val="00B3156A"/>
    <w:rsid w:val="00B32981"/>
    <w:rsid w:val="00B3358E"/>
    <w:rsid w:val="00B33E35"/>
    <w:rsid w:val="00B354EA"/>
    <w:rsid w:val="00B402E3"/>
    <w:rsid w:val="00B41251"/>
    <w:rsid w:val="00B453E4"/>
    <w:rsid w:val="00B45562"/>
    <w:rsid w:val="00B45861"/>
    <w:rsid w:val="00B47D13"/>
    <w:rsid w:val="00B530AB"/>
    <w:rsid w:val="00B5325E"/>
    <w:rsid w:val="00B5399E"/>
    <w:rsid w:val="00B542E1"/>
    <w:rsid w:val="00B54A63"/>
    <w:rsid w:val="00B55DFE"/>
    <w:rsid w:val="00B612D7"/>
    <w:rsid w:val="00B6238F"/>
    <w:rsid w:val="00B636AC"/>
    <w:rsid w:val="00B639B7"/>
    <w:rsid w:val="00B63CB5"/>
    <w:rsid w:val="00B64E56"/>
    <w:rsid w:val="00B6589A"/>
    <w:rsid w:val="00B65C1E"/>
    <w:rsid w:val="00B66AD1"/>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5C8E"/>
    <w:rsid w:val="00BA6BF3"/>
    <w:rsid w:val="00BA7059"/>
    <w:rsid w:val="00BA76C0"/>
    <w:rsid w:val="00BB134C"/>
    <w:rsid w:val="00BB22D0"/>
    <w:rsid w:val="00BB2379"/>
    <w:rsid w:val="00BB378A"/>
    <w:rsid w:val="00BB38A4"/>
    <w:rsid w:val="00BB67EA"/>
    <w:rsid w:val="00BB71F6"/>
    <w:rsid w:val="00BB7363"/>
    <w:rsid w:val="00BB7479"/>
    <w:rsid w:val="00BB7F07"/>
    <w:rsid w:val="00BC18E6"/>
    <w:rsid w:val="00BC4CEA"/>
    <w:rsid w:val="00BC618D"/>
    <w:rsid w:val="00BC72A7"/>
    <w:rsid w:val="00BC74C3"/>
    <w:rsid w:val="00BD4CBD"/>
    <w:rsid w:val="00BD6200"/>
    <w:rsid w:val="00BD6753"/>
    <w:rsid w:val="00BD7286"/>
    <w:rsid w:val="00BD7E1E"/>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377"/>
    <w:rsid w:val="00C2352E"/>
    <w:rsid w:val="00C23C84"/>
    <w:rsid w:val="00C24D3C"/>
    <w:rsid w:val="00C24EFF"/>
    <w:rsid w:val="00C256D3"/>
    <w:rsid w:val="00C27768"/>
    <w:rsid w:val="00C3030E"/>
    <w:rsid w:val="00C364E3"/>
    <w:rsid w:val="00C36C1C"/>
    <w:rsid w:val="00C37831"/>
    <w:rsid w:val="00C46D84"/>
    <w:rsid w:val="00C46E67"/>
    <w:rsid w:val="00C50376"/>
    <w:rsid w:val="00C50A72"/>
    <w:rsid w:val="00C5128F"/>
    <w:rsid w:val="00C52CE9"/>
    <w:rsid w:val="00C52EEA"/>
    <w:rsid w:val="00C54558"/>
    <w:rsid w:val="00C54BF5"/>
    <w:rsid w:val="00C61EB3"/>
    <w:rsid w:val="00C638EB"/>
    <w:rsid w:val="00C6494E"/>
    <w:rsid w:val="00C76389"/>
    <w:rsid w:val="00C76800"/>
    <w:rsid w:val="00C858BC"/>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02A1"/>
    <w:rsid w:val="00CE1562"/>
    <w:rsid w:val="00CE1F32"/>
    <w:rsid w:val="00CF05B1"/>
    <w:rsid w:val="00CF0BD6"/>
    <w:rsid w:val="00CF1AF3"/>
    <w:rsid w:val="00CF2633"/>
    <w:rsid w:val="00CF5358"/>
    <w:rsid w:val="00CF5F2B"/>
    <w:rsid w:val="00CF767A"/>
    <w:rsid w:val="00D01331"/>
    <w:rsid w:val="00D0522D"/>
    <w:rsid w:val="00D06A86"/>
    <w:rsid w:val="00D104D8"/>
    <w:rsid w:val="00D10A0A"/>
    <w:rsid w:val="00D10DAC"/>
    <w:rsid w:val="00D10FC2"/>
    <w:rsid w:val="00D112FD"/>
    <w:rsid w:val="00D13A56"/>
    <w:rsid w:val="00D1457C"/>
    <w:rsid w:val="00D14DD0"/>
    <w:rsid w:val="00D15002"/>
    <w:rsid w:val="00D17382"/>
    <w:rsid w:val="00D215CF"/>
    <w:rsid w:val="00D22DD7"/>
    <w:rsid w:val="00D23EB3"/>
    <w:rsid w:val="00D25EF1"/>
    <w:rsid w:val="00D27351"/>
    <w:rsid w:val="00D27E44"/>
    <w:rsid w:val="00D27FF1"/>
    <w:rsid w:val="00D3066E"/>
    <w:rsid w:val="00D31176"/>
    <w:rsid w:val="00D31A81"/>
    <w:rsid w:val="00D333CD"/>
    <w:rsid w:val="00D33C44"/>
    <w:rsid w:val="00D3631A"/>
    <w:rsid w:val="00D37198"/>
    <w:rsid w:val="00D4023B"/>
    <w:rsid w:val="00D40432"/>
    <w:rsid w:val="00D441EB"/>
    <w:rsid w:val="00D45882"/>
    <w:rsid w:val="00D45972"/>
    <w:rsid w:val="00D46BE8"/>
    <w:rsid w:val="00D516C3"/>
    <w:rsid w:val="00D531AD"/>
    <w:rsid w:val="00D53DB2"/>
    <w:rsid w:val="00D5570B"/>
    <w:rsid w:val="00D60460"/>
    <w:rsid w:val="00D61588"/>
    <w:rsid w:val="00D62165"/>
    <w:rsid w:val="00D63785"/>
    <w:rsid w:val="00D70071"/>
    <w:rsid w:val="00D70251"/>
    <w:rsid w:val="00D70380"/>
    <w:rsid w:val="00D70E0A"/>
    <w:rsid w:val="00D72814"/>
    <w:rsid w:val="00D7332C"/>
    <w:rsid w:val="00D749E6"/>
    <w:rsid w:val="00D755AC"/>
    <w:rsid w:val="00D77D3A"/>
    <w:rsid w:val="00D80C09"/>
    <w:rsid w:val="00D93561"/>
    <w:rsid w:val="00D9361C"/>
    <w:rsid w:val="00D95419"/>
    <w:rsid w:val="00D959A8"/>
    <w:rsid w:val="00D976B0"/>
    <w:rsid w:val="00DA246C"/>
    <w:rsid w:val="00DA2B30"/>
    <w:rsid w:val="00DA4530"/>
    <w:rsid w:val="00DB06F0"/>
    <w:rsid w:val="00DB1E61"/>
    <w:rsid w:val="00DB2964"/>
    <w:rsid w:val="00DB33BE"/>
    <w:rsid w:val="00DB4B8E"/>
    <w:rsid w:val="00DB5562"/>
    <w:rsid w:val="00DB7584"/>
    <w:rsid w:val="00DC02A4"/>
    <w:rsid w:val="00DC1368"/>
    <w:rsid w:val="00DC2BC8"/>
    <w:rsid w:val="00DC508E"/>
    <w:rsid w:val="00DC76AA"/>
    <w:rsid w:val="00DD1BDD"/>
    <w:rsid w:val="00DD3BAC"/>
    <w:rsid w:val="00DD5967"/>
    <w:rsid w:val="00DE0693"/>
    <w:rsid w:val="00DE1962"/>
    <w:rsid w:val="00DE1BA5"/>
    <w:rsid w:val="00DE2039"/>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11AD"/>
    <w:rsid w:val="00E44201"/>
    <w:rsid w:val="00E44EC0"/>
    <w:rsid w:val="00E453AC"/>
    <w:rsid w:val="00E45B98"/>
    <w:rsid w:val="00E46A1D"/>
    <w:rsid w:val="00E517E4"/>
    <w:rsid w:val="00E572D7"/>
    <w:rsid w:val="00E6089A"/>
    <w:rsid w:val="00E62B4C"/>
    <w:rsid w:val="00E6584F"/>
    <w:rsid w:val="00E66448"/>
    <w:rsid w:val="00E673DE"/>
    <w:rsid w:val="00E714CB"/>
    <w:rsid w:val="00E73C16"/>
    <w:rsid w:val="00E74691"/>
    <w:rsid w:val="00E746A1"/>
    <w:rsid w:val="00E77F69"/>
    <w:rsid w:val="00E8285F"/>
    <w:rsid w:val="00E857BD"/>
    <w:rsid w:val="00E909EB"/>
    <w:rsid w:val="00E910A7"/>
    <w:rsid w:val="00E91FB0"/>
    <w:rsid w:val="00E973D3"/>
    <w:rsid w:val="00EA06BC"/>
    <w:rsid w:val="00EA3413"/>
    <w:rsid w:val="00EA3933"/>
    <w:rsid w:val="00EA3A7D"/>
    <w:rsid w:val="00EA42C6"/>
    <w:rsid w:val="00EA4E33"/>
    <w:rsid w:val="00EA4F65"/>
    <w:rsid w:val="00EB2B24"/>
    <w:rsid w:val="00EB2B2F"/>
    <w:rsid w:val="00EB311F"/>
    <w:rsid w:val="00EB3385"/>
    <w:rsid w:val="00EB3702"/>
    <w:rsid w:val="00EB679F"/>
    <w:rsid w:val="00EB6DE4"/>
    <w:rsid w:val="00EC03F2"/>
    <w:rsid w:val="00EC1C52"/>
    <w:rsid w:val="00EC3176"/>
    <w:rsid w:val="00EC4109"/>
    <w:rsid w:val="00EC4EBB"/>
    <w:rsid w:val="00EC526A"/>
    <w:rsid w:val="00EC55B0"/>
    <w:rsid w:val="00ED6883"/>
    <w:rsid w:val="00EE1252"/>
    <w:rsid w:val="00EE1E8F"/>
    <w:rsid w:val="00EE1FE2"/>
    <w:rsid w:val="00EE587C"/>
    <w:rsid w:val="00EE5D2F"/>
    <w:rsid w:val="00EE5DEF"/>
    <w:rsid w:val="00EE7820"/>
    <w:rsid w:val="00EE7AF4"/>
    <w:rsid w:val="00EF00DF"/>
    <w:rsid w:val="00EF1C63"/>
    <w:rsid w:val="00EF1D5B"/>
    <w:rsid w:val="00EF339D"/>
    <w:rsid w:val="00EF6AF6"/>
    <w:rsid w:val="00EF718A"/>
    <w:rsid w:val="00F01192"/>
    <w:rsid w:val="00F0198D"/>
    <w:rsid w:val="00F03BEA"/>
    <w:rsid w:val="00F05BA7"/>
    <w:rsid w:val="00F06033"/>
    <w:rsid w:val="00F06C03"/>
    <w:rsid w:val="00F1203A"/>
    <w:rsid w:val="00F1286E"/>
    <w:rsid w:val="00F14FA0"/>
    <w:rsid w:val="00F17CD6"/>
    <w:rsid w:val="00F202C3"/>
    <w:rsid w:val="00F22980"/>
    <w:rsid w:val="00F2452A"/>
    <w:rsid w:val="00F24859"/>
    <w:rsid w:val="00F259B1"/>
    <w:rsid w:val="00F25F79"/>
    <w:rsid w:val="00F273C6"/>
    <w:rsid w:val="00F277E6"/>
    <w:rsid w:val="00F27FDB"/>
    <w:rsid w:val="00F3022B"/>
    <w:rsid w:val="00F309B8"/>
    <w:rsid w:val="00F30C88"/>
    <w:rsid w:val="00F32962"/>
    <w:rsid w:val="00F32E78"/>
    <w:rsid w:val="00F3353F"/>
    <w:rsid w:val="00F35A64"/>
    <w:rsid w:val="00F35E58"/>
    <w:rsid w:val="00F4170E"/>
    <w:rsid w:val="00F41955"/>
    <w:rsid w:val="00F42389"/>
    <w:rsid w:val="00F43D0C"/>
    <w:rsid w:val="00F4524B"/>
    <w:rsid w:val="00F459DA"/>
    <w:rsid w:val="00F461CA"/>
    <w:rsid w:val="00F52557"/>
    <w:rsid w:val="00F5443E"/>
    <w:rsid w:val="00F546BD"/>
    <w:rsid w:val="00F54B95"/>
    <w:rsid w:val="00F55CBD"/>
    <w:rsid w:val="00F56205"/>
    <w:rsid w:val="00F56304"/>
    <w:rsid w:val="00F5794B"/>
    <w:rsid w:val="00F60496"/>
    <w:rsid w:val="00F60E2A"/>
    <w:rsid w:val="00F6481A"/>
    <w:rsid w:val="00F65812"/>
    <w:rsid w:val="00F65E56"/>
    <w:rsid w:val="00F7244B"/>
    <w:rsid w:val="00F73C7E"/>
    <w:rsid w:val="00F757CA"/>
    <w:rsid w:val="00F77026"/>
    <w:rsid w:val="00F80BE0"/>
    <w:rsid w:val="00F81B0B"/>
    <w:rsid w:val="00F869B3"/>
    <w:rsid w:val="00F957A5"/>
    <w:rsid w:val="00F96CCB"/>
    <w:rsid w:val="00F96FD3"/>
    <w:rsid w:val="00FA12F3"/>
    <w:rsid w:val="00FA249B"/>
    <w:rsid w:val="00FA4D61"/>
    <w:rsid w:val="00FA65B3"/>
    <w:rsid w:val="00FA6731"/>
    <w:rsid w:val="00FB0534"/>
    <w:rsid w:val="00FB0748"/>
    <w:rsid w:val="00FB1407"/>
    <w:rsid w:val="00FB1454"/>
    <w:rsid w:val="00FB5CBC"/>
    <w:rsid w:val="00FB5FC0"/>
    <w:rsid w:val="00FC3356"/>
    <w:rsid w:val="00FC4B25"/>
    <w:rsid w:val="00FC74F2"/>
    <w:rsid w:val="00FD0EC4"/>
    <w:rsid w:val="00FD268F"/>
    <w:rsid w:val="00FD6312"/>
    <w:rsid w:val="00FD6E7C"/>
    <w:rsid w:val="00FD7684"/>
    <w:rsid w:val="00FE1E12"/>
    <w:rsid w:val="00FE27EB"/>
    <w:rsid w:val="00FE4247"/>
    <w:rsid w:val="00FE426A"/>
    <w:rsid w:val="00FE642D"/>
    <w:rsid w:val="00FE68F4"/>
    <w:rsid w:val="00FE7F56"/>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9361">
      <w:bodyDiv w:val="1"/>
      <w:marLeft w:val="0"/>
      <w:marRight w:val="0"/>
      <w:marTop w:val="0"/>
      <w:marBottom w:val="0"/>
      <w:divBdr>
        <w:top w:val="none" w:sz="0" w:space="0" w:color="auto"/>
        <w:left w:val="none" w:sz="0" w:space="0" w:color="auto"/>
        <w:bottom w:val="none" w:sz="0" w:space="0" w:color="auto"/>
        <w:right w:val="none" w:sz="0" w:space="0" w:color="auto"/>
      </w:divBdr>
    </w:div>
    <w:div w:id="616449039">
      <w:bodyDiv w:val="1"/>
      <w:marLeft w:val="0"/>
      <w:marRight w:val="0"/>
      <w:marTop w:val="0"/>
      <w:marBottom w:val="0"/>
      <w:divBdr>
        <w:top w:val="none" w:sz="0" w:space="0" w:color="auto"/>
        <w:left w:val="none" w:sz="0" w:space="0" w:color="auto"/>
        <w:bottom w:val="none" w:sz="0" w:space="0" w:color="auto"/>
        <w:right w:val="none" w:sz="0" w:space="0" w:color="auto"/>
      </w:divBdr>
    </w:div>
    <w:div w:id="1291473002">
      <w:bodyDiv w:val="1"/>
      <w:marLeft w:val="0"/>
      <w:marRight w:val="0"/>
      <w:marTop w:val="0"/>
      <w:marBottom w:val="0"/>
      <w:divBdr>
        <w:top w:val="none" w:sz="0" w:space="0" w:color="auto"/>
        <w:left w:val="none" w:sz="0" w:space="0" w:color="auto"/>
        <w:bottom w:val="none" w:sz="0" w:space="0" w:color="auto"/>
        <w:right w:val="none" w:sz="0" w:space="0" w:color="auto"/>
      </w:divBdr>
    </w:div>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 w:id="1808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F2C6FCE-208E-4DEF-921F-D5C89F04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12146</TotalTime>
  <Pages>33</Pages>
  <Words>10589</Words>
  <Characters>53160</Characters>
  <Application>Microsoft Office Word</Application>
  <DocSecurity>0</DocSecurity>
  <Lines>759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123</cp:revision>
  <cp:lastPrinted>2018-06-11T17:37:00Z</cp:lastPrinted>
  <dcterms:created xsi:type="dcterms:W3CDTF">2018-06-05T17:57:00Z</dcterms:created>
  <dcterms:modified xsi:type="dcterms:W3CDTF">2018-06-23T20:54:00Z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id="FtYgtSJn"/&gt;&lt;style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