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78434C4D"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6FD6F58C" w14:textId="77777777" w:rsidR="006B2CCD" w:rsidRDefault="006B2CCD" w:rsidP="006B2CCD">
      <w:r w:rsidRPr="00EC6578">
        <w:t xml:space="preserve">La cultura normativa del </w:t>
      </w:r>
      <w:r w:rsidRPr="00EC6578">
        <w:rPr>
          <w:i/>
        </w:rPr>
        <w:t>ius commune</w:t>
      </w:r>
      <w:r w:rsidRPr="00EC6578">
        <w:t xml:space="preserve"> indicaba que dios era la fuente de toda </w:t>
      </w:r>
      <w:r>
        <w:rPr>
          <w:i/>
        </w:rPr>
        <w:t>iurisdictio</w:t>
      </w:r>
      <w:r>
        <w:t xml:space="preserve">, por la cual se había otorgado </w:t>
      </w:r>
      <w:r>
        <w:rPr>
          <w:i/>
        </w:rPr>
        <w:t>auctoritas</w:t>
      </w:r>
      <w:r>
        <w:t xml:space="preserve"> a los pontífices y príncipes para juzgar y gobernar. En el caso del monarca se denominaba majestad, sinónimo de </w:t>
      </w:r>
      <w:r>
        <w:rPr>
          <w:i/>
        </w:rPr>
        <w:t>potestas</w:t>
      </w:r>
      <w:r>
        <w:t>, con la cual se le habilitaba para hacer uso del castigo para ser temido por los malvados y de la misericordia para ser amado por los súbditos.</w:t>
      </w:r>
      <w:r>
        <w:rPr>
          <w:rStyle w:val="Refdenotaalpie"/>
        </w:rPr>
        <w:footnoteReference w:id="16"/>
      </w:r>
      <w:r>
        <w:t xml:space="preserve">  En este sentido, el conceder indultos era “una de las mas preciosas Regalías que adornan la corona de los Soberanos,” ya que era el temor a la espada lo que hacía agradecer la clemencia, cuando el rey o sus delegados pudiendo castigar justificadamente no lo hacía estaban demostrando la grandeza del poder del rey.</w:t>
      </w:r>
      <w:r>
        <w:rPr>
          <w:rStyle w:val="Refdenotaalpie"/>
        </w:rPr>
        <w:footnoteReference w:id="17"/>
      </w:r>
      <w:r>
        <w:t xml:space="preserve"> Es </w:t>
      </w:r>
      <w:r>
        <w:lastRenderedPageBreak/>
        <w:t>por lo tanto pertinente considerar que la clemencia formaba parte de la misma entidad real y que de otra manera, un rey carente de misericordia, ya no se consideraba como un gobierno justo sino tiránico. La consideración de la historiografía hispanoamericanista, hasta hace relativamente pocas décadas, denominaba al dominio castellano en América como una tiranía, incluso tildó de “despótica” la etapa reformista de Carlos III y Carlos IV. ¿Se trataba entonces de gobiernos inclementes? ¿Estaban tan ceñidos por el interés peninsular del fortalecimiento de la monarquía que olvidaron la misericordia debida con las provincias americanas? El propósito de este apartado consiste tan solo en preparar la posible resolución de tales cuestionamientos desde la identificación de la vinculación semántica entre clemencia, poder y autoridad regia en la cultura normativa aún vigente durante el siglo XVIII.</w:t>
      </w:r>
    </w:p>
    <w:p w14:paraId="2496F788" w14:textId="77777777" w:rsidR="006B2CCD" w:rsidRDefault="006B2CCD" w:rsidP="006B2CCD">
      <w:r>
        <w:t>Los latinajos utilizados al inicio del párrafo anterior no tienen una intencionalidad de mera retórica, pretenden llamar la atención acerca del origen medieval (</w:t>
      </w:r>
      <w:r>
        <w:rPr>
          <w:i/>
        </w:rPr>
        <w:t>ius commune</w:t>
      </w:r>
      <w:r>
        <w:t>) de la diferenciación entre autoridad y potestad, componentes del poder político (</w:t>
      </w:r>
      <w:r>
        <w:rPr>
          <w:i/>
        </w:rPr>
        <w:t>iurisdictio</w:t>
      </w:r>
      <w:r>
        <w:t>).</w:t>
      </w:r>
      <w:r>
        <w:rPr>
          <w:rStyle w:val="Refdenotaalpie"/>
        </w:rPr>
        <w:footnoteReference w:id="18"/>
      </w:r>
      <w:r>
        <w:t xml:space="preserve"> El traer a colación una dicotomía de la Edad Media a una investigación del siglo XVIII americano se sustenta en que, aunque el mundo hispánico dieciochesco, en particular desde el reinado de Carlos III, se caracterizó como un periodo de trasformación administrativa, la discusión ideológica de los ilustrado, que se ha considerado aneja al reformismo, no planteó cambios radicales al régimen jurídico tradicional y pluralista de la monarquía. Las modificaciones planteadas al orden jurídico-político tradicional se llevaron avante cautelosamente, sin cuestionar el origen divino de la “constitución histórica” de la monarquía, ni su sustento en una sociedad estamental, así como se concibió un “derecho patrio” que pretendía ratificar la tradición antes que propender por la innovación. Al respecto, Pedro Ruíz Torres ha señalado que los ilustrados reformistas pretendieron reforzar el poder soberano del monarca controlando el ejercicio de las facultades delegadas en las autoridades regias, una dinámica que Carlos Garriga ha denominado como la “administrativización de la </w:t>
      </w:r>
      <w:r>
        <w:lastRenderedPageBreak/>
        <w:t>monarquía;”</w:t>
      </w:r>
      <w:r>
        <w:rPr>
          <w:rStyle w:val="Refdenotaalpie"/>
        </w:rPr>
        <w:footnoteReference w:id="19"/>
      </w:r>
      <w:r>
        <w:t xml:space="preserve"> sin embargo, tal pretensión tuvo menos impacto en España que en otras naciones europeas. Según Ruíz Torres: “Aquí la impronta jurisdiccional continuó siendo muy manifiesta […] De ahí el corto avance en el sentido de una monarquía administrativa y centralizada y la fuerte impronta jurisdiccional que siguió manifestándose en la Constitución de 1812.”</w:t>
      </w:r>
      <w:r>
        <w:rPr>
          <w:rStyle w:val="Refdenotaalpie"/>
        </w:rPr>
        <w:footnoteReference w:id="20"/>
      </w:r>
    </w:p>
    <w:p w14:paraId="4EA2DB6C" w14:textId="77777777" w:rsidR="006B2CCD" w:rsidRDefault="006B2CCD" w:rsidP="006B2CCD">
      <w:r>
        <w:t xml:space="preserve">Teniendo en cuenta el limitado efecto de la cultura ilustrada en el ordenamiento jurídico-político de la monarquía, por lo menos antes de la crisis de 1808, es posible concebir que durante el siglo XVIII se mantuvo vigente la concepción de la </w:t>
      </w:r>
      <w:r>
        <w:rPr>
          <w:i/>
        </w:rPr>
        <w:t>iurisdictio</w:t>
      </w:r>
      <w:r>
        <w:t xml:space="preserve"> como la suma potestad que por derecho divino se otorgó a los soberanos para decir derecho (</w:t>
      </w:r>
      <w:r>
        <w:rPr>
          <w:i/>
        </w:rPr>
        <w:t>ius dicere</w:t>
      </w:r>
      <w:r>
        <w:t>) y establecer la equidad (</w:t>
      </w:r>
      <w:r>
        <w:rPr>
          <w:i/>
        </w:rPr>
        <w:t>aequitatem statuere</w:t>
      </w:r>
      <w:r>
        <w:t>), es decir, para juzgar y dictar normas comunes.</w:t>
      </w:r>
      <w:r>
        <w:rPr>
          <w:rStyle w:val="Refdenotaalpie"/>
        </w:rPr>
        <w:footnoteReference w:id="21"/>
      </w:r>
      <w:r>
        <w:t xml:space="preserve"> La legitimidad del poder regio se sustentaba en que éste le era otorgado por derecho divino acorde con el relato de la pasión de Cristo según el cual Poncio Pilatos, al no obtener respuesta al interrogatorio que le hacía, le reclamó si desconocía que él tenía la autoridad para crucificarlo o liberarlo, a lo cual le respondió Jesús “</w:t>
      </w:r>
      <w:r w:rsidRPr="00426BC5">
        <w:t>Ninguna autoridad tendrías contra mí, si no te fuese dada de arriba</w:t>
      </w:r>
      <w:r>
        <w:t>.”</w:t>
      </w:r>
      <w:r>
        <w:rPr>
          <w:rStyle w:val="Refdenotaalpie"/>
        </w:rPr>
        <w:footnoteReference w:id="22"/>
      </w:r>
      <w:r>
        <w:t xml:space="preserve"> Un ejemplo de la vigencia de esta idea aún para finales del siglo XVIII lo encontramos en </w:t>
      </w:r>
      <w:r w:rsidRPr="00C02769">
        <w:t xml:space="preserve">Manuel Silvestre Martínez: “La Regia Potestad solo á Dios tiene por Autor. Así nos lo enseña al cap. 6 de Sabiduria versic. 2 y 4, </w:t>
      </w:r>
      <w:r w:rsidRPr="00C02769">
        <w:rPr>
          <w:i/>
        </w:rPr>
        <w:t>Audite ergo Reges, &amp; intelligite quoniam data est à Domino potestas vobis.</w:t>
      </w:r>
      <w:r w:rsidRPr="00C02769">
        <w:rPr>
          <w:rStyle w:val="Refdenotaalpie"/>
        </w:rPr>
        <w:footnoteReference w:id="23"/>
      </w:r>
      <w:r w:rsidRPr="00EA5016">
        <w:t>[</w:t>
      </w:r>
      <w:r>
        <w:t>Y</w:t>
      </w:r>
      <w:r w:rsidRPr="00EA5016">
        <w:t>]</w:t>
      </w:r>
      <w:r w:rsidRPr="00C02769">
        <w:rPr>
          <w:i/>
        </w:rPr>
        <w:t xml:space="preserve"> </w:t>
      </w:r>
      <w:r w:rsidRPr="00EA5016">
        <w:t>San Juan al cap. 19 versic 11</w:t>
      </w:r>
      <w:r w:rsidRPr="00C02769">
        <w:t xml:space="preserve"> […] De lo cual se deduce, que Christo nuestro Señor reconoció en Pilatos que habia potestad nacida de Dios, como lo dice S.  Agustin, y S. Bernardo.”</w:t>
      </w:r>
      <w:r w:rsidRPr="00C02769">
        <w:rPr>
          <w:rStyle w:val="Refdenotaalpie"/>
        </w:rPr>
        <w:footnoteReference w:id="24"/>
      </w:r>
      <w:r w:rsidRPr="00C02769">
        <w:t xml:space="preserve"> </w:t>
      </w:r>
    </w:p>
    <w:p w14:paraId="58C88EDB" w14:textId="77777777" w:rsidR="006B2CCD" w:rsidRDefault="006B2CCD" w:rsidP="006B2CCD">
      <w:r w:rsidRPr="008F5280">
        <w:rPr>
          <w:highlight w:val="yellow"/>
          <w:lang w:val="es-ES_tradnl" w:eastAsia="es-ES"/>
        </w:rPr>
        <w:lastRenderedPageBreak/>
        <w:t xml:space="preserve">¿Por qué dios le otorga al príncipe su poder? Para castigar y perdonar. Según Mariana, las sociedades y la potestad regia </w:t>
      </w:r>
      <w:r>
        <w:rPr>
          <w:highlight w:val="yellow"/>
          <w:lang w:val="es-ES_tradnl" w:eastAsia="es-ES"/>
        </w:rPr>
        <w:t>surgieron</w:t>
      </w:r>
      <w:r w:rsidRPr="008F5280">
        <w:rPr>
          <w:highlight w:val="yellow"/>
          <w:lang w:val="es-ES_tradnl" w:eastAsia="es-ES"/>
        </w:rPr>
        <w:t xml:space="preserve"> con el propósito de protegerse de los peligros de la violencia y los asesinatos, es decir, de los abusos de los fuertes </w:t>
      </w:r>
      <w:r>
        <w:rPr>
          <w:highlight w:val="yellow"/>
          <w:lang w:val="es-ES_tradnl" w:eastAsia="es-ES"/>
        </w:rPr>
        <w:t xml:space="preserve">respecto </w:t>
      </w:r>
      <w:r w:rsidRPr="008F5280">
        <w:rPr>
          <w:highlight w:val="yellow"/>
          <w:lang w:val="es-ES_tradnl" w:eastAsia="es-ES"/>
        </w:rPr>
        <w:t>a los débiles.</w:t>
      </w:r>
      <w:r w:rsidRPr="008F5280">
        <w:rPr>
          <w:rStyle w:val="Refdenotaalpie"/>
          <w:highlight w:val="yellow"/>
          <w:lang w:val="es-ES_tradnl" w:eastAsia="es-ES"/>
        </w:rPr>
        <w:footnoteReference w:id="25"/>
      </w:r>
      <w:r>
        <w:rPr>
          <w:lang w:val="es-ES_tradnl" w:eastAsia="es-ES"/>
        </w:rPr>
        <w:t xml:space="preserve"> El castigo como demostración de la fuerza del príncipe tendría como origen evitar que los “malvados” actuaran contra los “buenos”; pero si todo fuese temor, el rey no podría atraer el amor de los súbditos, por ello dios le otorgó la clemencia como modo de canalizar su compasión que redundara en la lealtad de los vasallos. </w:t>
      </w:r>
      <w:r>
        <w:t>En esta lógica, era el miedo a la espada lo que hacía agradecer la clemencia, cuando el rey o sus delegados pudiendo castigar justificadamente no lo hacía estaban demostrando la magnificencia del príncipe. Temor y amor estarían naturalmente vinculados, Alfonso X lo plasmó así: “Natural razon es, que el ome non puede amar ninguna cosa conplidamente si la non teme.”</w:t>
      </w:r>
      <w:r>
        <w:rPr>
          <w:rStyle w:val="Refdenotaalpie"/>
        </w:rPr>
        <w:footnoteReference w:id="26"/>
      </w:r>
      <w:r>
        <w:t xml:space="preserve"> Por su parte, Castillo de Bovadilla comentó al respecto que “si el juez no es amado y temido, nunca será obedecido”.</w:t>
      </w:r>
      <w:r>
        <w:rPr>
          <w:rStyle w:val="Refdenotaalpie"/>
        </w:rPr>
        <w:footnoteReference w:id="27"/>
      </w:r>
    </w:p>
    <w:p w14:paraId="211D527C" w14:textId="77777777" w:rsidR="006B2CCD" w:rsidRDefault="006B2CCD" w:rsidP="006B2CCD">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28"/>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29"/>
      </w:r>
    </w:p>
    <w:p w14:paraId="7CF21A3D" w14:textId="77777777" w:rsidR="006B2CCD" w:rsidRDefault="006B2CCD" w:rsidP="006B2CCD">
      <w:r>
        <w:t>Se consideraba que la mejor manera de ejercer la potestad consistía en hacer que la justicia y la misericordia “fueran juntas” en los procedimientos judiciales, como alegorizó Calderón de la Barca:</w:t>
      </w:r>
    </w:p>
    <w:p w14:paraId="6EE58307" w14:textId="77777777" w:rsidR="006B2CCD" w:rsidRDefault="006B2CCD" w:rsidP="006B2CCD">
      <w:pPr>
        <w:pStyle w:val="Cita"/>
      </w:pPr>
      <w:r>
        <w:t>Id, pues, con la circunstancia</w:t>
      </w:r>
    </w:p>
    <w:p w14:paraId="75E0A0E5" w14:textId="77777777" w:rsidR="006B2CCD" w:rsidRDefault="006B2CCD" w:rsidP="006B2CCD">
      <w:pPr>
        <w:pStyle w:val="Cita"/>
      </w:pPr>
      <w:r>
        <w:lastRenderedPageBreak/>
        <w:t>de que vas, Misericordia,</w:t>
      </w:r>
    </w:p>
    <w:p w14:paraId="45896D0C" w14:textId="77777777" w:rsidR="006B2CCD" w:rsidRDefault="006B2CCD" w:rsidP="006B2CCD">
      <w:pPr>
        <w:pStyle w:val="Cita"/>
      </w:pPr>
      <w:r>
        <w:t>de Justicia acompañada,</w:t>
      </w:r>
    </w:p>
    <w:p w14:paraId="442948F0" w14:textId="77777777" w:rsidR="006B2CCD" w:rsidRDefault="006B2CCD" w:rsidP="006B2CCD">
      <w:pPr>
        <w:pStyle w:val="Cita"/>
      </w:pPr>
      <w:r>
        <w:t xml:space="preserve">para que guardes justicia; </w:t>
      </w:r>
    </w:p>
    <w:p w14:paraId="7EE00862" w14:textId="77777777" w:rsidR="006B2CCD" w:rsidRDefault="006B2CCD" w:rsidP="006B2CCD">
      <w:pPr>
        <w:pStyle w:val="Cita"/>
      </w:pPr>
      <w:r>
        <w:t>y tú, Justicia, repara</w:t>
      </w:r>
    </w:p>
    <w:p w14:paraId="73AE98B3" w14:textId="77777777" w:rsidR="006B2CCD" w:rsidRDefault="006B2CCD" w:rsidP="006B2CCD">
      <w:pPr>
        <w:pStyle w:val="Cita"/>
      </w:pPr>
      <w:r>
        <w:t>en que con Misericordia</w:t>
      </w:r>
    </w:p>
    <w:p w14:paraId="0C250A09" w14:textId="77777777" w:rsidR="006B2CCD" w:rsidRDefault="006B2CCD" w:rsidP="006B2CCD">
      <w:pPr>
        <w:pStyle w:val="Cita"/>
      </w:pPr>
      <w:r>
        <w:t>vas también para guardarla;</w:t>
      </w:r>
    </w:p>
    <w:p w14:paraId="03FEAA41" w14:textId="77777777" w:rsidR="006B2CCD" w:rsidRDefault="006B2CCD" w:rsidP="006B2CCD">
      <w:pPr>
        <w:pStyle w:val="Cita"/>
      </w:pPr>
      <w:r>
        <w:t>que no será acierto en una</w:t>
      </w:r>
    </w:p>
    <w:p w14:paraId="5BD62ED1" w14:textId="77777777" w:rsidR="006B2CCD" w:rsidRDefault="006B2CCD" w:rsidP="006B2CCD">
      <w:pPr>
        <w:pStyle w:val="Cita"/>
      </w:pPr>
      <w:r>
        <w:t>si no se da unión en ambas.</w:t>
      </w:r>
      <w:r>
        <w:rPr>
          <w:rStyle w:val="Refdenotaalpie"/>
        </w:rPr>
        <w:footnoteReference w:id="30"/>
      </w:r>
    </w:p>
    <w:p w14:paraId="42CEF266" w14:textId="77777777" w:rsidR="006B2CCD" w:rsidRDefault="006B2CCD" w:rsidP="006B2CCD">
      <w:pPr>
        <w:ind w:firstLine="0"/>
      </w:pPr>
    </w:p>
    <w:p w14:paraId="5875256E" w14:textId="77777777" w:rsidR="000F0EAD" w:rsidRPr="00CE1F32" w:rsidRDefault="000F0EAD" w:rsidP="000F0EAD"/>
    <w:p w14:paraId="2129D065" w14:textId="77777777" w:rsidR="000F0EAD" w:rsidRDefault="000F0EAD" w:rsidP="000F0EAD"/>
    <w:p w14:paraId="08E0D98D" w14:textId="26633446" w:rsidR="00FF75DB" w:rsidRDefault="00FF75DB" w:rsidP="00F32E78">
      <w:pPr>
        <w:pStyle w:val="Ttulo2"/>
        <w:numPr>
          <w:ilvl w:val="1"/>
          <w:numId w:val="28"/>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31"/>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32"/>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3"/>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w:t>
      </w:r>
      <w:r w:rsidR="00593D82">
        <w:lastRenderedPageBreak/>
        <w:t>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4"/>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5"/>
      </w:r>
    </w:p>
    <w:p w14:paraId="2164512C" w14:textId="3F47BA5D" w:rsidR="0012263D"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6"/>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37"/>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lastRenderedPageBreak/>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38"/>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39"/>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40"/>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w:t>
      </w:r>
      <w:r w:rsidR="00352AAE">
        <w:lastRenderedPageBreak/>
        <w:t>la segunda implica</w:t>
      </w:r>
      <w:r w:rsidR="00E27ACA">
        <w:t>ba</w:t>
      </w:r>
      <w:r w:rsidR="00352AAE">
        <w:t xml:space="preserve"> compasión y piedad</w:t>
      </w:r>
      <w:r w:rsidR="00E27ACA">
        <w:t>.</w:t>
      </w:r>
      <w:r w:rsidR="00265A20">
        <w:rPr>
          <w:rStyle w:val="Refdenotaalpie"/>
        </w:rPr>
        <w:footnoteReference w:id="41"/>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2"/>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3"/>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4"/>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5"/>
      </w:r>
      <w:r w:rsidR="00FE4247">
        <w:t xml:space="preserve"> </w:t>
      </w:r>
    </w:p>
    <w:p w14:paraId="016B5DF5" w14:textId="5E430A01"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46"/>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 xml:space="preserve">Misericordia, et veritas, custodiunt Regem, et </w:t>
      </w:r>
      <w:r w:rsidR="004A499C" w:rsidRPr="00FB1454">
        <w:rPr>
          <w:i/>
        </w:rPr>
        <w:lastRenderedPageBreak/>
        <w:t>roboratur clementia thronus illius</w:t>
      </w:r>
      <w:r w:rsidR="00AA0E9B" w:rsidRPr="00FB1454">
        <w:rPr>
          <w:i/>
        </w:rPr>
        <w:t>.</w:t>
      </w:r>
      <w:r w:rsidR="004A499C" w:rsidRPr="00B9631D">
        <w:t>”</w:t>
      </w:r>
      <w:r w:rsidR="004A499C" w:rsidRPr="002B6C75">
        <w:rPr>
          <w:rStyle w:val="Refdenotaalpie"/>
        </w:rPr>
        <w:footnoteReference w:id="47"/>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48"/>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49"/>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50"/>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1"/>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2"/>
      </w:r>
      <w:r>
        <w:t xml:space="preserve"> A diferencia del derecho </w:t>
      </w:r>
      <w:r>
        <w:lastRenderedPageBreak/>
        <w:t xml:space="preserve">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3"/>
      </w:r>
      <w:r>
        <w:t xml:space="preserve"> Se comprendía que la humanidad había sido condenada desde su origen por el pecado de Adán,</w:t>
      </w:r>
      <w:r>
        <w:rPr>
          <w:rStyle w:val="Refdenotaalpie"/>
        </w:rPr>
        <w:footnoteReference w:id="54"/>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55"/>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56"/>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57"/>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58"/>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 xml:space="preserve">de manera justa, se suponía que en los casos donde el juicio había sido movido por interés, corruptela, baratería o cohecho, se podía recurrir a </w:t>
      </w:r>
      <w:r>
        <w:lastRenderedPageBreak/>
        <w:t>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59"/>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60"/>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1"/>
      </w:r>
      <w:r w:rsidR="0042190A" w:rsidRPr="00B9631D">
        <w:t>.</w:t>
      </w:r>
      <w:r w:rsidR="008E4E99">
        <w:t xml:space="preserve"> Castillo de Bovadilla advertía que “por causa del mucho rigor pueden los Jueces ser privados de los Oficios;”</w:t>
      </w:r>
      <w:r w:rsidR="008E4E99">
        <w:rPr>
          <w:rStyle w:val="Refdenotaalpie"/>
        </w:rPr>
        <w:footnoteReference w:id="62"/>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3"/>
      </w:r>
      <w:r w:rsidR="008E4E99">
        <w:t xml:space="preserve"> Esto, según Bovadilla, lo enseñaban “las historias”, la experiencia del imperio romano y en particular de los reyes de España, “que han tenido por costumbre gobernar antes con amor, </w:t>
      </w:r>
      <w:r w:rsidR="008E4E99">
        <w:lastRenderedPageBreak/>
        <w:t>que con miedo: á cuya imitación deben los Corregidores, nombrados por ellos, proceder de la misma manera.”</w:t>
      </w:r>
      <w:r w:rsidR="008E4E99">
        <w:rPr>
          <w:rStyle w:val="Refdenotaalpie"/>
        </w:rPr>
        <w:footnoteReference w:id="64"/>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65"/>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66"/>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67"/>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ut quos non allicit amor, coerceat timor</w:t>
      </w:r>
      <w:r w:rsidR="00766A7E">
        <w:t>.</w:t>
      </w:r>
      <w:r w:rsidRPr="00B9631D">
        <w:t>”</w:t>
      </w:r>
      <w:r w:rsidRPr="002B6C75">
        <w:rPr>
          <w:rStyle w:val="Refdenotaalpie"/>
        </w:rPr>
        <w:footnoteReference w:id="68"/>
      </w:r>
      <w:r w:rsidRPr="00B9631D">
        <w:t xml:space="preserve"> En este sentido, la misericordia excesiva se opondría a la justicia y se equipararía a la crueldad y la tiranía</w:t>
      </w:r>
      <w:r w:rsidR="009971E4">
        <w:t>,</w:t>
      </w:r>
      <w:r w:rsidRPr="002B6C75">
        <w:rPr>
          <w:rStyle w:val="Refdenotaalpie"/>
        </w:rPr>
        <w:footnoteReference w:id="69"/>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w:t>
      </w:r>
      <w:r w:rsidRPr="00B9631D">
        <w:lastRenderedPageBreak/>
        <w:t>pena que corresponde segun las leyes</w:t>
      </w:r>
      <w:r w:rsidR="009971E4">
        <w:t>,</w:t>
      </w:r>
      <w:r w:rsidRPr="00B9631D">
        <w:t>”</w:t>
      </w:r>
      <w:r w:rsidRPr="002B6C75">
        <w:rPr>
          <w:rStyle w:val="Refdenotaalpie"/>
        </w:rPr>
        <w:footnoteReference w:id="70"/>
      </w:r>
      <w:r w:rsidRPr="00B9631D">
        <w:t xml:space="preserve"> lo cual contradeciría un principio básico de la clemencia real que radicaba en surgir de la mera voluntad del monarca</w:t>
      </w:r>
      <w:r w:rsidR="009971E4">
        <w:t>.</w:t>
      </w:r>
      <w:r w:rsidRPr="002B6C75">
        <w:rPr>
          <w:rStyle w:val="Refdenotaalpie"/>
        </w:rPr>
        <w:footnoteReference w:id="71"/>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2"/>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3"/>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74"/>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75"/>
      </w:r>
      <w:r w:rsidRPr="00B9631D">
        <w:t>. Además, la severidad no contradeciría la misericordia puesto que la aplicación recta de justicia no implicaba dureza de corazón</w:t>
      </w:r>
      <w:r w:rsidRPr="002B6C75">
        <w:rPr>
          <w:rStyle w:val="Refdenotaalpie"/>
        </w:rPr>
        <w:footnoteReference w:id="76"/>
      </w:r>
      <w:r w:rsidRPr="00B9631D">
        <w:t>.</w:t>
      </w:r>
    </w:p>
    <w:p w14:paraId="1C6F9DA2" w14:textId="14565275" w:rsidR="004B53F0" w:rsidRDefault="00E076C9" w:rsidP="00C54558">
      <w:r>
        <w:lastRenderedPageBreak/>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77"/>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78"/>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79"/>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80"/>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81"/>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2"/>
      </w:r>
      <w:r w:rsidR="00421861">
        <w:t xml:space="preserve"> </w:t>
      </w:r>
    </w:p>
    <w:p w14:paraId="392DDD52" w14:textId="6D752950" w:rsidR="000266F2" w:rsidRDefault="004B53F0" w:rsidP="000A1CF6">
      <w:r>
        <w:lastRenderedPageBreak/>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83"/>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84"/>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85"/>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86"/>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87"/>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 xml:space="preserve">No por lo anterior se debería asumir la gracia regia como un acto superfluo o que simplemente fungía como fórmula para el abuso de la monarquía. Si bien la gracia era un acto volitivo del príncipe no podía representar injusticia, al contrario, la gracia suponía </w:t>
      </w:r>
      <w:r>
        <w:lastRenderedPageBreak/>
        <w:t>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88"/>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89"/>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90"/>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91"/>
      </w:r>
    </w:p>
    <w:p w14:paraId="58B6C5D3" w14:textId="38832942" w:rsidR="00132E3A" w:rsidRDefault="0064159E" w:rsidP="00F32E78">
      <w:pPr>
        <w:pStyle w:val="Ttulo2"/>
        <w:numPr>
          <w:ilvl w:val="1"/>
          <w:numId w:val="28"/>
        </w:numPr>
      </w:pPr>
      <w:r>
        <w:lastRenderedPageBreak/>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2"/>
      </w:r>
      <w:r w:rsidR="00AF1BA2" w:rsidRPr="009956C8">
        <w:t>. Como señaló Murillo Velarde</w:t>
      </w:r>
      <w:r w:rsidR="00AF1BA2" w:rsidRPr="009956C8">
        <w:rPr>
          <w:vertAlign w:val="superscript"/>
        </w:rPr>
        <w:footnoteReference w:id="93"/>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94"/>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 xml:space="preserve">Siendo propio de los Soberanos la benignidad y dulzura, y queriendo se exerza solo el rigor de las leyes contra aquellos malvados que cometen delitos extraordinarios y </w:t>
      </w:r>
      <w:r w:rsidRPr="009956C8">
        <w:lastRenderedPageBreak/>
        <w:t>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95"/>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96"/>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lastRenderedPageBreak/>
        <w:t>Conclusión</w:t>
      </w:r>
    </w:p>
    <w:p w14:paraId="484D52AA" w14:textId="2383D8F0" w:rsidR="00526429" w:rsidRPr="00E37837" w:rsidRDefault="00526429" w:rsidP="00E37837">
      <w:r>
        <w:t>¿Este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w:t>
      </w:r>
      <w:bookmarkStart w:id="1" w:name="_GoBack"/>
      <w:bookmarkEnd w:id="1"/>
      <w:r>
        <w:t xml:space="preserve">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503C1" w14:textId="77777777" w:rsidR="008F37D7" w:rsidRDefault="008F37D7" w:rsidP="00B9631D">
      <w:pPr>
        <w:spacing w:line="240" w:lineRule="auto"/>
      </w:pPr>
      <w:r>
        <w:separator/>
      </w:r>
    </w:p>
  </w:endnote>
  <w:endnote w:type="continuationSeparator" w:id="0">
    <w:p w14:paraId="2F2AC891" w14:textId="77777777" w:rsidR="008F37D7" w:rsidRDefault="008F37D7"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AC086E" w:rsidRDefault="00AC086E">
        <w:pPr>
          <w:pStyle w:val="Piedepgina"/>
          <w:jc w:val="right"/>
        </w:pPr>
        <w:r>
          <w:fldChar w:fldCharType="begin"/>
        </w:r>
        <w:r>
          <w:instrText>PAGE   \* MERGEFORMAT</w:instrText>
        </w:r>
        <w:r>
          <w:fldChar w:fldCharType="separate"/>
        </w:r>
        <w:r w:rsidR="00B839CA" w:rsidRPr="00B839CA">
          <w:rPr>
            <w:noProof/>
            <w:lang w:val="es-ES"/>
          </w:rPr>
          <w:t>1</w:t>
        </w:r>
        <w:r>
          <w:fldChar w:fldCharType="end"/>
        </w:r>
      </w:p>
    </w:sdtContent>
  </w:sdt>
  <w:p w14:paraId="2E48E8B0" w14:textId="77777777" w:rsidR="00AC086E" w:rsidRDefault="00AC08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915F5" w14:textId="77777777" w:rsidR="008F37D7" w:rsidRDefault="008F37D7" w:rsidP="00B9631D">
      <w:pPr>
        <w:spacing w:line="240" w:lineRule="auto"/>
      </w:pPr>
      <w:r>
        <w:separator/>
      </w:r>
    </w:p>
  </w:footnote>
  <w:footnote w:type="continuationSeparator" w:id="0">
    <w:p w14:paraId="675F162D" w14:textId="77777777" w:rsidR="008F37D7" w:rsidRDefault="008F37D7" w:rsidP="00B9631D">
      <w:pPr>
        <w:spacing w:line="240" w:lineRule="auto"/>
      </w:pPr>
      <w:r>
        <w:continuationSeparator/>
      </w:r>
    </w:p>
  </w:footnote>
  <w:footnote w:id="1">
    <w:p w14:paraId="5A49ACA1" w14:textId="38024009" w:rsidR="00AC086E" w:rsidRDefault="00AC086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AC086E" w:rsidRDefault="00AC086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AC086E" w:rsidRDefault="00AC086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AC086E" w:rsidRDefault="00AC086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AC086E" w:rsidRDefault="00AC086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AC086E" w:rsidRDefault="00AC086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AC086E" w:rsidRDefault="00AC086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AC086E" w:rsidRDefault="00AC086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AC086E" w:rsidRDefault="00AC086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AC086E" w:rsidRDefault="00AC086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AC086E" w:rsidRDefault="00AC086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AC086E" w:rsidRPr="00201290" w:rsidRDefault="00AC086E">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AC086E" w:rsidRDefault="00AC086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AC086E" w:rsidRDefault="00AC086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AC086E" w:rsidRDefault="00AC086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1836112B" w14:textId="77777777" w:rsidR="006B2CCD" w:rsidRPr="0009453C" w:rsidRDefault="006B2CCD" w:rsidP="006B2CCD">
      <w:pPr>
        <w:pStyle w:val="Textonotapie"/>
      </w:pPr>
      <w:r>
        <w:rPr>
          <w:rStyle w:val="Refdenotaalpie"/>
        </w:rPr>
        <w:footnoteRef/>
      </w:r>
      <w:r>
        <w:t xml:space="preserve"> Juan López de Cuéllar, </w:t>
      </w:r>
      <w:r>
        <w:rPr>
          <w:i/>
        </w:rPr>
        <w:t>Tratado iuridico-politico: practica de indultos</w:t>
      </w:r>
      <w:r>
        <w:t xml:space="preserve"> (Pamplona: Martín Gregorio de Zabala, 1690), núm. 1-9. </w:t>
      </w:r>
    </w:p>
  </w:footnote>
  <w:footnote w:id="17">
    <w:p w14:paraId="6D3D577D" w14:textId="77777777" w:rsidR="006B2CCD" w:rsidRDefault="006B2CCD" w:rsidP="006B2CCD">
      <w:pPr>
        <w:pStyle w:val="Textonotapie"/>
      </w:pPr>
      <w:r>
        <w:rPr>
          <w:rStyle w:val="Refdenotaalpie"/>
        </w:rPr>
        <w:footnoteRef/>
      </w:r>
      <w:r>
        <w:t xml:space="preserve"> López de Cuéllar, núm. 14.</w:t>
      </w:r>
    </w:p>
  </w:footnote>
  <w:footnote w:id="18">
    <w:p w14:paraId="65525171" w14:textId="77777777" w:rsidR="006B2CCD" w:rsidRPr="00B95FA0" w:rsidRDefault="006B2CCD" w:rsidP="006B2CCD">
      <w:pPr>
        <w:pStyle w:val="Textonotapie"/>
        <w:rPr>
          <w:lang w:val="it-IT"/>
        </w:rPr>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39.","noteIndex":3},"citationItems":[{"id":3390,"uris":["http://zotero.org/users/163570/items/C54QSDGR"],"uri":["http://zotero.org/users/163570/items/C54QSDGR"],"itemData":{"id":3390,"type":"book","title":"Una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3319A8">
        <w:rPr>
          <w:rFonts w:cs="Times New Roman"/>
          <w:szCs w:val="24"/>
        </w:rPr>
        <w:t xml:space="preserve">Paolo Prodi, </w:t>
      </w:r>
      <w:r w:rsidRPr="003319A8">
        <w:rPr>
          <w:rFonts w:cs="Times New Roman"/>
          <w:i/>
          <w:iCs/>
          <w:szCs w:val="24"/>
        </w:rPr>
        <w:t>Una historia de la justicia: de la pluralidad de fueros al dualismo moderno entre conciencia y derecho</w:t>
      </w:r>
      <w:r w:rsidRPr="003319A8">
        <w:rPr>
          <w:rFonts w:cs="Times New Roman"/>
          <w:szCs w:val="24"/>
        </w:rPr>
        <w:t>, trad. Luciano Padilla López (Madrid: Katz Editores, 2008), 39.</w:t>
      </w:r>
      <w:r>
        <w:fldChar w:fldCharType="end"/>
      </w:r>
      <w:r>
        <w:t xml:space="preserve"> Aclaro que este origen no implica que el sentido original del texto latino se haya mantenido incólume tras los siglos, sin embargo, los juristas de la modernidad, del mismo modo que lo hicieron los pensadores medievales, interpretaron dichos términos de modo acorde con su experiencia y en cierto sentido construyeron nuevos sentidos o lenguajes. </w:t>
      </w:r>
      <w:r w:rsidRPr="00B95FA0">
        <w:rPr>
          <w:lang w:val="it-IT"/>
        </w:rPr>
        <w:t xml:space="preserve">Al respecto véase </w:t>
      </w:r>
      <w:r>
        <w:fldChar w:fldCharType="begin"/>
      </w:r>
      <w:r>
        <w:rPr>
          <w:lang w:val="it-IT"/>
        </w:rPr>
        <w:instrText xml:space="preserve"> ADDIN ZOTERO_ITEM CSL_CITATION {"citationID":"8lhuB73d","properties":{"formattedCitation":"Pietro Costa, {\\i{}Iurisdictio. Semantica del potere politico nella pubblicistica medievale (1100-1433)} (Milano: Giuffr\\uc0\\u232{} Editore, 1969), 19.","plainCitation":"Pietro Costa, Iurisdictio. Semantica del potere politico nella pubblicistica medievale (1100-1433) (Milano: Giuffrè Editore, 1969), 19.","noteIndex":3},"citationItems":[{"id":6117,"uris":["http://zotero.org/users/163570/items/42REKWJP"],"uri":["http://zotero.org/users/163570/items/42REKWJP"],"itemData":{"id":6117,"type":"book","title":"Iurisdictio.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19","label":"page"}],"schema":"https://github.com/citation-style-language/schema/raw/master/csl-citation.json"} </w:instrText>
      </w:r>
      <w:r>
        <w:fldChar w:fldCharType="separate"/>
      </w:r>
      <w:r w:rsidRPr="003319A8">
        <w:rPr>
          <w:rFonts w:cs="Times New Roman"/>
          <w:szCs w:val="24"/>
          <w:lang w:val="it-IT"/>
        </w:rPr>
        <w:t xml:space="preserve">Pietro Costa, </w:t>
      </w:r>
      <w:r w:rsidRPr="003319A8">
        <w:rPr>
          <w:rFonts w:cs="Times New Roman"/>
          <w:i/>
          <w:iCs/>
          <w:szCs w:val="24"/>
          <w:lang w:val="it-IT"/>
        </w:rPr>
        <w:t>Iurisdictio. Semantica del potere politico nella pubblicistica medievale (1100-1433)</w:t>
      </w:r>
      <w:r w:rsidRPr="003319A8">
        <w:rPr>
          <w:rFonts w:cs="Times New Roman"/>
          <w:szCs w:val="24"/>
          <w:lang w:val="it-IT"/>
        </w:rPr>
        <w:t xml:space="preserve"> (Milano: Giuffrè Editore, 1969), 19.</w:t>
      </w:r>
      <w:r>
        <w:fldChar w:fldCharType="end"/>
      </w:r>
    </w:p>
  </w:footnote>
  <w:footnote w:id="19">
    <w:p w14:paraId="220B3FC8" w14:textId="77777777" w:rsidR="006B2CCD" w:rsidRDefault="006B2CCD" w:rsidP="006B2CCD">
      <w:pPr>
        <w:pStyle w:val="Textonotapie"/>
      </w:pPr>
      <w:r>
        <w:rPr>
          <w:rStyle w:val="Refdenotaalpie"/>
        </w:rPr>
        <w:footnoteRef/>
      </w:r>
      <w:r>
        <w:t xml:space="preserve"> </w:t>
      </w:r>
      <w:r>
        <w:fldChar w:fldCharType="begin"/>
      </w:r>
      <w:r>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99.","noteIndex":4},"citationItems":[{"id":8215,"uris":["http://zotero.org/users/163570/items/7K7GNDCS"],"uri":["http://zotero.org/users/163570/items/7K7GNDCS"],"itemData":{"id":8215,"type":"chapter","title":"Justicia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Pr="003319A8">
        <w:rPr>
          <w:rFonts w:cs="Times New Roman"/>
          <w:szCs w:val="24"/>
        </w:rPr>
        <w:t xml:space="preserve">Carlos Garriga Acosta, “Justicia animada: dispositivos de la justicia en la monarquía católica”, en </w:t>
      </w:r>
      <w:r w:rsidRPr="003319A8">
        <w:rPr>
          <w:rFonts w:cs="Times New Roman"/>
          <w:i/>
          <w:iCs/>
          <w:szCs w:val="24"/>
        </w:rPr>
        <w:t>De justicia de jueces a justicia de leyes: hacia la España de 1870</w:t>
      </w:r>
      <w:r w:rsidRPr="003319A8">
        <w:rPr>
          <w:rFonts w:cs="Times New Roman"/>
          <w:szCs w:val="24"/>
        </w:rPr>
        <w:t>, ed. Marta Lorente Sariñena, Cuadernos de derecho judicial, VI–2006 (Madrid: Consejo General del Poder Judicial, 2007), 99.</w:t>
      </w:r>
      <w:r>
        <w:fldChar w:fldCharType="end"/>
      </w:r>
    </w:p>
  </w:footnote>
  <w:footnote w:id="20">
    <w:p w14:paraId="249AAC6E" w14:textId="77777777" w:rsidR="006B2CCD" w:rsidRDefault="006B2CCD" w:rsidP="006B2CCD">
      <w:pPr>
        <w:pStyle w:val="Textonotapie"/>
      </w:pPr>
      <w:r>
        <w:rPr>
          <w:rStyle w:val="Refdenotaalpie"/>
        </w:rPr>
        <w:footnoteRef/>
      </w:r>
      <w:r>
        <w:t xml:space="preserve"> </w:t>
      </w:r>
      <w:r>
        <w:fldChar w:fldCharType="begin"/>
      </w:r>
      <w:r>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130.","noteIndex":5},"citationItems":[{"id":8212,"uris":["http://zotero.org/users/163570/items/HGHKVEF9"],"uri":["http://zotero.org/users/163570/items/HGHKVEF9"],"itemData":{"id":8212,"type":"chapter","title":"Los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Pr="003319A8">
        <w:rPr>
          <w:rFonts w:cs="Times New Roman"/>
          <w:szCs w:val="24"/>
        </w:rPr>
        <w:t xml:space="preserve">Pedro Ruiz Torres, “Los límites del reformismo del siglo XVIII en España”, en </w:t>
      </w:r>
      <w:r w:rsidRPr="003319A8">
        <w:rPr>
          <w:rFonts w:cs="Times New Roman"/>
          <w:i/>
          <w:iCs/>
          <w:szCs w:val="24"/>
        </w:rPr>
        <w:t>El nacimiento y la construcción del estado moderno: homenaje a Jaume Vicens Vives</w:t>
      </w:r>
      <w:r w:rsidRPr="003319A8">
        <w:rPr>
          <w:rFonts w:cs="Times New Roman"/>
          <w:szCs w:val="24"/>
        </w:rPr>
        <w:t>, ed. Joaquim Albareda Salvadó y Marició Janué i Miret, Història (Valencia: Universitat de València, 2011), 130.</w:t>
      </w:r>
      <w:r>
        <w:fldChar w:fldCharType="end"/>
      </w:r>
    </w:p>
  </w:footnote>
  <w:footnote w:id="21">
    <w:p w14:paraId="5CD5CA75" w14:textId="77777777" w:rsidR="006B2CCD" w:rsidRDefault="006B2CCD" w:rsidP="006B2CCD">
      <w:pPr>
        <w:pStyle w:val="Textonotapie"/>
      </w:pPr>
      <w:r>
        <w:rPr>
          <w:rStyle w:val="Refdenotaalpie"/>
        </w:rPr>
        <w:footnoteRef/>
      </w:r>
      <w:r>
        <w:t xml:space="preserve"> </w:t>
      </w:r>
      <w:r>
        <w:fldChar w:fldCharType="begin"/>
      </w:r>
      <w:r>
        <w:instrText xml:space="preserve"> ADDIN ZOTERO_ITEM CSL_CITATION {"citationID":"crP1e7s9","properties":{"formattedCitation":"Costa, {\\i{}Iurisdictio}, 100\\uc0\\u8211{}101; Jes\\uc0\\u250{}s Vallejo, \\uc0\\u8220{}El pr\\uc0\\u237{}ncipe ante el derecho en la cultura del \\uc0\\u8216{}ius commune\\uc0\\u8217{}\\uc0\\u8221{}, en {\\i{}Manual de Historia del Derecho}, ed. Marta Lorente Sari\\uc0\\u241{}ena y Jes\\uc0\\u250{}s Vallejo (Valencia: Tirant lo Blanch, 2012), 153\\uc0\\u8211{}55.","plainCitation":"Costa, Iurisdictio, 100–101; Jesús Vallejo, “El príncipe ante el derecho en la cultura del ‘ius commune’”, en Manual de Historia del Derecho, ed. Marta Lorente Sariñena y Jesús Vallejo (Valencia: Tirant lo Blanch, 2012), 153–55.","noteIndex":6},"citationItems":[{"id":6117,"uris":["http://zotero.org/users/163570/items/42REKWJP"],"uri":["http://zotero.org/users/163570/items/42REKWJP"],"itemData":{"id":6117,"type":"book","title":"Iurisdictio.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100-101","label":"page"},{"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153-155","label":"page"}],"schema":"https://github.com/citation-style-language/schema/raw/master/csl-citation.json"} </w:instrText>
      </w:r>
      <w:r>
        <w:fldChar w:fldCharType="separate"/>
      </w:r>
      <w:r w:rsidRPr="003319A8">
        <w:rPr>
          <w:rFonts w:cs="Times New Roman"/>
          <w:szCs w:val="24"/>
        </w:rPr>
        <w:t xml:space="preserve">Costa, </w:t>
      </w:r>
      <w:r w:rsidRPr="003319A8">
        <w:rPr>
          <w:rFonts w:cs="Times New Roman"/>
          <w:i/>
          <w:iCs/>
          <w:szCs w:val="24"/>
        </w:rPr>
        <w:t>Iurisdictio</w:t>
      </w:r>
      <w:r w:rsidRPr="003319A8">
        <w:rPr>
          <w:rFonts w:cs="Times New Roman"/>
          <w:szCs w:val="24"/>
        </w:rPr>
        <w:t xml:space="preserve">, 100–101; Jesús Vallejo, “El príncipe ante el derecho en la cultura del ‘ius commune’”, en </w:t>
      </w:r>
      <w:r w:rsidRPr="003319A8">
        <w:rPr>
          <w:rFonts w:cs="Times New Roman"/>
          <w:i/>
          <w:iCs/>
          <w:szCs w:val="24"/>
        </w:rPr>
        <w:t>Manual de Historia del Derecho</w:t>
      </w:r>
      <w:r w:rsidRPr="003319A8">
        <w:rPr>
          <w:rFonts w:cs="Times New Roman"/>
          <w:szCs w:val="24"/>
        </w:rPr>
        <w:t>, ed. Marta Lorente Sariñena y Jesús Vallejo (Valencia: Tirant lo Blanch, 2012), 153–55.</w:t>
      </w:r>
      <w:r>
        <w:fldChar w:fldCharType="end"/>
      </w:r>
      <w:r>
        <w:t xml:space="preserve"> </w:t>
      </w:r>
    </w:p>
  </w:footnote>
  <w:footnote w:id="22">
    <w:p w14:paraId="10C4C3D2" w14:textId="77777777" w:rsidR="006B2CCD" w:rsidRPr="00CE2F82" w:rsidRDefault="006B2CCD" w:rsidP="006B2CCD">
      <w:pPr>
        <w:pStyle w:val="Textonotapie"/>
      </w:pPr>
      <w:r>
        <w:rPr>
          <w:rStyle w:val="Refdenotaalpie"/>
        </w:rPr>
        <w:footnoteRef/>
      </w:r>
      <w:r>
        <w:t xml:space="preserve"> “</w:t>
      </w:r>
      <w:r w:rsidRPr="00CE2F82">
        <w:rPr>
          <w:i/>
        </w:rPr>
        <w:t>Non haberes potestatem adversum me ullam, nisi tibi datum esset desuper</w:t>
      </w:r>
      <w:r>
        <w:t xml:space="preserve">.” Jn. 19:10-11 RVR1960 y VULG. López de Cuéllar, </w:t>
      </w:r>
      <w:r>
        <w:rPr>
          <w:i/>
        </w:rPr>
        <w:t>Tratado iuridico-politico</w:t>
      </w:r>
      <w:r>
        <w:t xml:space="preserve">, núm. 1. </w:t>
      </w:r>
      <w:r>
        <w:fldChar w:fldCharType="begin"/>
      </w:r>
      <w:r>
        <w:instrText xml:space="preserve"> ADDIN ZOTERO_ITEM CSL_CITATION {"citationID":"QBJBJK11","properties":{"formattedCitation":"Costa, {\\i{}Iurisdictio}, 183.","plainCitation":"Costa, Iurisdictio, 183.","noteIndex":7},"citationItems":[{"id":6117,"uris":["http://zotero.org/users/163570/items/42REKWJP"],"uri":["http://zotero.org/users/163570/items/42REKWJP"],"itemData":{"id":6117,"type":"book","title":"Iurisdictio.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183","label":"page"}],"schema":"https://github.com/citation-style-language/schema/raw/master/csl-citation.json"} </w:instrText>
      </w:r>
      <w:r>
        <w:fldChar w:fldCharType="separate"/>
      </w:r>
      <w:r w:rsidRPr="003A0E34">
        <w:rPr>
          <w:rFonts w:cs="Times New Roman"/>
          <w:szCs w:val="24"/>
        </w:rPr>
        <w:t xml:space="preserve">Costa, </w:t>
      </w:r>
      <w:r w:rsidRPr="003A0E34">
        <w:rPr>
          <w:rFonts w:cs="Times New Roman"/>
          <w:i/>
          <w:iCs/>
          <w:szCs w:val="24"/>
        </w:rPr>
        <w:t>Iurisdictio</w:t>
      </w:r>
      <w:r w:rsidRPr="003A0E34">
        <w:rPr>
          <w:rFonts w:cs="Times New Roman"/>
          <w:szCs w:val="24"/>
        </w:rPr>
        <w:t>, 183.</w:t>
      </w:r>
      <w:r>
        <w:fldChar w:fldCharType="end"/>
      </w:r>
      <w:r>
        <w:t xml:space="preserve"> </w:t>
      </w:r>
    </w:p>
  </w:footnote>
  <w:footnote w:id="23">
    <w:p w14:paraId="6799168B" w14:textId="77777777" w:rsidR="006B2CCD" w:rsidRDefault="006B2CCD" w:rsidP="006B2CCD">
      <w:pPr>
        <w:pStyle w:val="Textonotapie"/>
      </w:pPr>
      <w:r>
        <w:rPr>
          <w:rStyle w:val="Refdenotaalpie"/>
        </w:rPr>
        <w:footnoteRef/>
      </w:r>
      <w:r>
        <w:t xml:space="preserve"> “Por lo tanto, escuchad y entended reyes; porque el Señor os ha dado la potestad.” Sap. 6:2 y 4 VULG.</w:t>
      </w:r>
    </w:p>
  </w:footnote>
  <w:footnote w:id="24">
    <w:p w14:paraId="7702C8BB" w14:textId="77777777" w:rsidR="006B2CCD" w:rsidRDefault="006B2CCD" w:rsidP="006B2CCD">
      <w:pPr>
        <w:pStyle w:val="Textonotapie"/>
      </w:pPr>
      <w:r>
        <w:rPr>
          <w:rStyle w:val="Refdenotaalpie"/>
        </w:rPr>
        <w:footnoteRef/>
      </w:r>
      <w:r>
        <w:t xml:space="preserve"> </w:t>
      </w:r>
      <w:r w:rsidRPr="009F18DB">
        <w:rPr>
          <w:highlight w:val="yellow"/>
        </w:rPr>
        <w:t>Manuel Silvestre Martínez</w:t>
      </w:r>
      <w:r>
        <w:rPr>
          <w:highlight w:val="yellow"/>
        </w:rPr>
        <w:t xml:space="preserve">, </w:t>
      </w:r>
      <w:r w:rsidRPr="009F18DB">
        <w:rPr>
          <w:i/>
          <w:highlight w:val="yellow"/>
        </w:rPr>
        <w:t>Librería de jueces</w:t>
      </w:r>
      <w:r w:rsidRPr="009F18DB">
        <w:rPr>
          <w:highlight w:val="yellow"/>
        </w:rPr>
        <w:t xml:space="preserve"> [1763], séptima impresión (Madrid: imprenta de don Benito Cano, 1791), tomo V, tratado inicial, art. 1º, núm. 16.</w:t>
      </w:r>
      <w:r>
        <w:t xml:space="preserve"> Las referencias a San Agustín y San Bartolomé refuerzan la idea de que “la potestad de dar el Reyno, o el Imperio, no debemos atribuirla sino a Dios” (</w:t>
      </w:r>
      <w:r>
        <w:rPr>
          <w:i/>
        </w:rPr>
        <w:t>de Civitate Dei</w:t>
      </w:r>
      <w:r>
        <w:t>, lib. V, cap. 35) y que no debería ofrecerse resistencia a la potestad secular ya que “no pudo ser otro Juez mas Secular que Pilatos, y que con todo eso fue en su Tribunal, sin resistencia, ni declinación de Jurisdiccion, juzgado el mismo Jesu Christo, Cabeza de la Iglesia.” (</w:t>
      </w:r>
      <w:r>
        <w:rPr>
          <w:i/>
        </w:rPr>
        <w:t>de Officio Episcoporum</w:t>
      </w:r>
      <w:r>
        <w:t>, cap. IX). Otro ejemplo de esta pervivencia en</w:t>
      </w:r>
      <w:r w:rsidRPr="0009196F">
        <w:t xml:space="preserve"> </w:t>
      </w:r>
      <w:r>
        <w:fldChar w:fldCharType="begin"/>
      </w:r>
      <w:r>
        <w:instrText xml:space="preserve"> ADDIN ZOTERO_ITEM CSL_CITATION {"citationID":"WMoZvyx6","properties":{"formattedCitation":"Alejandro Ag\\uc0\\u252{}ero Nazar, {\\i{}Castigar y perdonar cuando conviene a la Rep\\uc0\\u250{}blica: la justicia penal de C\\uc0\\u243{}rdoba del Tucum\\uc0\\u225{}n, siglos XVII y XVIII} (Madrid: Centro de Estudios Pol\\uc0\\u237{}ticos y Constitucionales, 2008), 136.","plainCitation":"Alejandro Agüero Nazar, Castigar y perdonar cuando conviene a la República: la justicia penal de Córdoba del Tucumán, siglos XVII y XVIII (Madrid: Centro de Estudios Políticos y Constitucionales, 2008), 136.","noteIndex":8},"citationItems":[{"id":3368,"uris":["http://zotero.org/users/163570/items/MVMCG76V"],"uri":["http://zotero.org/users/163570/items/MVMCG76V"],"itemData":{"id":3368,"type":"book","title":"Castigar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Nazar","given":"Alejandro"}],"issued":{"date-parts":[["2008"]]}},"locator":"136","label":"page"}],"schema":"https://github.com/citation-style-language/schema/raw/master/csl-citation.json"} </w:instrText>
      </w:r>
      <w:r>
        <w:fldChar w:fldCharType="separate"/>
      </w:r>
      <w:r w:rsidRPr="003319A8">
        <w:rPr>
          <w:rFonts w:cs="Times New Roman"/>
          <w:szCs w:val="24"/>
        </w:rPr>
        <w:t xml:space="preserve">Alejandro Agüero Nazar, </w:t>
      </w:r>
      <w:r w:rsidRPr="003319A8">
        <w:rPr>
          <w:rFonts w:cs="Times New Roman"/>
          <w:i/>
          <w:iCs/>
          <w:szCs w:val="24"/>
        </w:rPr>
        <w:t>Castigar y perdonar cuando conviene a la República: la justicia penal de Córdoba del Tucumán, siglos XVII y XVIII</w:t>
      </w:r>
      <w:r w:rsidRPr="003319A8">
        <w:rPr>
          <w:rFonts w:cs="Times New Roman"/>
          <w:szCs w:val="24"/>
        </w:rPr>
        <w:t xml:space="preserve"> (Madrid: Centro de Estudios Políticos y Constitucionales, 2008), 136.</w:t>
      </w:r>
      <w:r>
        <w:fldChar w:fldCharType="end"/>
      </w:r>
    </w:p>
  </w:footnote>
  <w:footnote w:id="25">
    <w:p w14:paraId="40DB9FE6" w14:textId="77777777" w:rsidR="006B2CCD" w:rsidRPr="00E341E0" w:rsidRDefault="006B2CCD" w:rsidP="006B2CCD">
      <w:pPr>
        <w:pStyle w:val="Textonotapie"/>
      </w:pPr>
      <w:r>
        <w:rPr>
          <w:rStyle w:val="Refdenotaalpie"/>
        </w:rPr>
        <w:footnoteRef/>
      </w:r>
      <w:r>
        <w:t xml:space="preserve"> Mariana, </w:t>
      </w:r>
      <w:r>
        <w:rPr>
          <w:i/>
        </w:rPr>
        <w:t>La dignidad real</w:t>
      </w:r>
      <w:r>
        <w:t>, lib. I, cap. I.</w:t>
      </w:r>
    </w:p>
  </w:footnote>
  <w:footnote w:id="26">
    <w:p w14:paraId="44921F09" w14:textId="77777777" w:rsidR="006B2CCD" w:rsidRDefault="006B2CCD" w:rsidP="006B2CCD">
      <w:pPr>
        <w:pStyle w:val="Textonotapie"/>
      </w:pPr>
      <w:r>
        <w:rPr>
          <w:rStyle w:val="Refdenotaalpie"/>
        </w:rPr>
        <w:footnoteRef/>
      </w:r>
      <w:r>
        <w:t xml:space="preserve"> </w:t>
      </w:r>
      <w:r w:rsidRPr="004413A4">
        <w:rPr>
          <w:i/>
        </w:rPr>
        <w:t>Las Siete Partidas</w:t>
      </w:r>
      <w:r>
        <w:t>, P. II, tít. II, l. III</w:t>
      </w:r>
    </w:p>
  </w:footnote>
  <w:footnote w:id="27">
    <w:p w14:paraId="34BD6600" w14:textId="77777777" w:rsidR="006B2CCD" w:rsidRPr="00653A46" w:rsidRDefault="006B2CCD" w:rsidP="006B2CCD">
      <w:pPr>
        <w:pStyle w:val="Textonotapie"/>
      </w:pPr>
      <w:r>
        <w:rPr>
          <w:rStyle w:val="Refdenotaalpie"/>
        </w:rPr>
        <w:footnoteRef/>
      </w:r>
      <w:r>
        <w:t xml:space="preserve"> Castillo de Bovadilla, </w:t>
      </w:r>
      <w:r>
        <w:rPr>
          <w:i/>
        </w:rPr>
        <w:t>Politica para corregidores</w:t>
      </w:r>
      <w:r>
        <w:t>, lib. III, cap. XII, núm. 11.</w:t>
      </w:r>
    </w:p>
  </w:footnote>
  <w:footnote w:id="28">
    <w:p w14:paraId="60FEDDA6" w14:textId="77777777" w:rsidR="006B2CCD" w:rsidRDefault="006B2CCD" w:rsidP="006B2CCD">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29">
    <w:p w14:paraId="2C8A065E" w14:textId="77777777" w:rsidR="006B2CCD" w:rsidRPr="005A04A0" w:rsidRDefault="006B2CCD" w:rsidP="006B2CCD">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30">
    <w:p w14:paraId="46230E8D" w14:textId="77777777" w:rsidR="006B2CCD" w:rsidRDefault="006B2CCD" w:rsidP="006B2CCD">
      <w:pPr>
        <w:pStyle w:val="Textonotapie"/>
      </w:pPr>
      <w:r>
        <w:rPr>
          <w:rStyle w:val="Refdenotaalpie"/>
        </w:rPr>
        <w:footnoteRef/>
      </w:r>
      <w:r>
        <w:t xml:space="preserve"> </w:t>
      </w:r>
      <w:r>
        <w:fldChar w:fldCharType="begin"/>
      </w:r>
      <w:r>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31">
    <w:p w14:paraId="293F495C" w14:textId="08EF325C" w:rsidR="00AC086E" w:rsidRPr="00F35A64" w:rsidRDefault="00AC086E">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rsidR="007C7C94">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32">
    <w:p w14:paraId="51A12FDE" w14:textId="2128BFA4" w:rsidR="00AC086E" w:rsidRPr="001E0330" w:rsidRDefault="00AC086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33">
    <w:p w14:paraId="1335ECE5" w14:textId="6E7B88AE" w:rsidR="00AC086E" w:rsidRPr="00C24EFF" w:rsidRDefault="00AC086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4">
    <w:p w14:paraId="448F145B" w14:textId="706F5356" w:rsidR="00AC086E" w:rsidRPr="009A7156" w:rsidRDefault="00AC086E">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5">
    <w:p w14:paraId="0835D4FA" w14:textId="77469138" w:rsidR="00AC086E" w:rsidRDefault="00AC086E">
      <w:pPr>
        <w:pStyle w:val="Textonotapie"/>
      </w:pPr>
      <w:r>
        <w:rPr>
          <w:rStyle w:val="Refdenotaalpie"/>
        </w:rPr>
        <w:footnoteRef/>
      </w:r>
      <w:r>
        <w:t xml:space="preserve"> Ribadeneyra, </w:t>
      </w:r>
      <w:r>
        <w:rPr>
          <w:i/>
        </w:rPr>
        <w:t>Tratado de la religión y las virtudes</w:t>
      </w:r>
      <w:r>
        <w:t>, lib. II, cap. IX.</w:t>
      </w:r>
    </w:p>
  </w:footnote>
  <w:footnote w:id="36">
    <w:p w14:paraId="2A69C54E" w14:textId="6962A900" w:rsidR="00AC086E" w:rsidRDefault="00AC086E">
      <w:pPr>
        <w:pStyle w:val="Textonotapie"/>
      </w:pPr>
      <w:r>
        <w:rPr>
          <w:rStyle w:val="Refdenotaalpie"/>
        </w:rPr>
        <w:footnoteRef/>
      </w:r>
      <w:r>
        <w:t xml:space="preserve"> Véase el “sentido estricto” del indulto según </w:t>
      </w:r>
      <w:r>
        <w:fldChar w:fldCharType="begin"/>
      </w:r>
      <w:r w:rsidR="007C7C94">
        <w:instrText xml:space="preserve"> ADDIN ZOTERO_ITEM CSL_CITATION {"citationID":"LXvsdfe3","properties":{"formattedCitation":"Mar\\uc0\\u237{}a Inmaculada Rodr\\uc0\\u237{}guez Flores, {\\i{}El perd\\uc0\\u243{}n real en Castilla (siglos XIII-XVIII)} (Salamanca: Universidad de Salamanca, 1971), 15.","plainCitation":"María Inmaculada Rodríguez Flores, El perdón real en Castilla (siglos XIII-XVIII) (Salamanca: Universidad de Salamanca, 1971), 15.","noteIndex":39},"citationItems":[{"id":2654,"uris":["http://zotero.org/users/163570/items/APZE9XAC"],"uri":["http://zotero.org/users/163570/items/APZE9XAC"],"itemData":{"id":2654,"type":"book","title":"El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0560AE">
        <w:rPr>
          <w:rFonts w:cs="Times New Roman"/>
          <w:szCs w:val="24"/>
        </w:rPr>
        <w:t xml:space="preserve">María Inmaculada Rodríguez Flores, </w:t>
      </w:r>
      <w:r w:rsidRPr="000560AE">
        <w:rPr>
          <w:rFonts w:cs="Times New Roman"/>
          <w:i/>
          <w:iCs/>
          <w:szCs w:val="24"/>
        </w:rPr>
        <w:t>El perdón real en Castilla (siglos XIII-XVIII)</w:t>
      </w:r>
      <w:r w:rsidRPr="000560AE">
        <w:rPr>
          <w:rFonts w:cs="Times New Roman"/>
          <w:szCs w:val="24"/>
        </w:rPr>
        <w:t xml:space="preserve"> (Salamanca: Universidad de Salamanca, 1971), 15.</w:t>
      </w:r>
      <w:r>
        <w:fldChar w:fldCharType="end"/>
      </w:r>
    </w:p>
  </w:footnote>
  <w:footnote w:id="37">
    <w:p w14:paraId="735C36CF" w14:textId="19DD8C35" w:rsidR="00AC086E" w:rsidRPr="0047499D" w:rsidRDefault="00AC086E">
      <w:pPr>
        <w:pStyle w:val="Textonotapie"/>
      </w:pPr>
      <w:r>
        <w:rPr>
          <w:rStyle w:val="Refdenotaalpie"/>
        </w:rPr>
        <w:footnoteRef/>
      </w:r>
      <w:r>
        <w:t xml:space="preserve"> Acerca de las acciones indebidas de los magistrados véase </w:t>
      </w:r>
      <w:r>
        <w:fldChar w:fldCharType="begin"/>
      </w:r>
      <w:r w:rsidR="007C7C94">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723.","noteIndex":40},"citationItems":[{"id":3373,"uris":["http://zotero.org/users/163570/items/5RFI5HKQ"],"uri":["http://zotero.org/users/163570/items/5RFI5HKQ"],"itemData":{"id":3373,"type":"chapter","title":"Las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rsidR="007C7C94">
        <w:instrText xml:space="preserve"> ADDIN ZOTERO_ITEM CSL_CITATION {"citationID":"v90I5hao","properties":{"formattedCitation":"Garriga Acosta, \\uc0\\u8220{}Justicia animada\\uc0\\u8221{}, 90\\uc0\\u8211{}99.","plainCitation":"Garriga Acosta, “Justicia animada”, 90–99.","noteIndex":40},"citationItems":[{"id":8215,"uris":["http://zotero.org/users/163570/items/7K7GNDCS"],"uri":["http://zotero.org/users/163570/items/7K7GNDCS"],"itemData":{"id":8215,"type":"chapter","title":"Justicia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00722CBD" w:rsidRPr="00722CBD">
        <w:rPr>
          <w:rFonts w:cs="Times New Roman"/>
          <w:szCs w:val="24"/>
        </w:rPr>
        <w:t>Garriga Acosta, “Justicia animada”,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38">
    <w:p w14:paraId="6C560A05" w14:textId="7D9AA335" w:rsidR="00AC086E" w:rsidRPr="00D215CF" w:rsidRDefault="00AC086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39">
    <w:p w14:paraId="6979BDE5" w14:textId="77777777" w:rsidR="00AC086E" w:rsidRPr="004F2AE6" w:rsidRDefault="00AC086E"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40">
    <w:p w14:paraId="0DDAD7A7" w14:textId="628F21E5" w:rsidR="00AC086E" w:rsidRDefault="00AC086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rsidR="007C7C94">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IV.","noteIndex":43},"citationItems":[{"id":8143,"uris":["http://zotero.org/users/163570/items/BA2QIUT3"],"uri":["http://zotero.org/users/163570/items/BA2QIUT3"],"itemData":{"id":8143,"type":"thesis","title":"Las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41">
    <w:p w14:paraId="501A1615" w14:textId="67E265A0" w:rsidR="00AC086E" w:rsidRPr="00265A20" w:rsidRDefault="00AC086E">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2">
    <w:p w14:paraId="66F64105" w14:textId="77777777" w:rsidR="00AC086E" w:rsidRPr="00515929" w:rsidRDefault="00AC086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3">
    <w:p w14:paraId="4944A0CE" w14:textId="5B8BF27A" w:rsidR="00AC086E" w:rsidRPr="00827997" w:rsidRDefault="00AC086E" w:rsidP="00D10A0A">
      <w:pPr>
        <w:pStyle w:val="Textonotapie"/>
      </w:pPr>
      <w:r w:rsidRPr="002B6C75">
        <w:rPr>
          <w:rStyle w:val="Refdenotaalpie"/>
        </w:rPr>
        <w:footnoteRef/>
      </w:r>
      <w:r>
        <w:t xml:space="preserve"> </w:t>
      </w:r>
      <w:r>
        <w:fldChar w:fldCharType="begin"/>
      </w:r>
      <w:r w:rsidR="007C7C94">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249.","noteIndex":46},"citationItems":[{"id":6282,"uris":["http://zotero.org/users/163570/items/XWZB3NWU"],"uri":["http://zotero.org/users/163570/items/XWZB3NWU"],"itemData":{"id":6282,"type":"book","title":"El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4">
    <w:p w14:paraId="2C2837B2" w14:textId="3863E5C7" w:rsidR="00AC086E" w:rsidRDefault="00AC086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5">
    <w:p w14:paraId="4D5531B0" w14:textId="7AE25A4D" w:rsidR="00AC086E" w:rsidRDefault="00AC086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46">
    <w:p w14:paraId="10D30FAE" w14:textId="6764462E" w:rsidR="00AC086E" w:rsidRDefault="00AC086E">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47">
    <w:p w14:paraId="4290A584" w14:textId="1D166FF6" w:rsidR="00AC086E" w:rsidRPr="00447B8C" w:rsidRDefault="00AC086E"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w:t>
      </w:r>
    </w:p>
  </w:footnote>
  <w:footnote w:id="48">
    <w:p w14:paraId="422AA2D4" w14:textId="1405477B" w:rsidR="00AC086E" w:rsidRDefault="00AC086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49">
    <w:p w14:paraId="78B56BBD" w14:textId="354A2DFC" w:rsidR="00AC086E" w:rsidRPr="00AA0E9B" w:rsidRDefault="00AC086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50">
    <w:p w14:paraId="62F331DC" w14:textId="7A5FE51E" w:rsidR="00AC086E" w:rsidRPr="00AA0E9B" w:rsidRDefault="00AC086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1">
    <w:p w14:paraId="26CCBD09" w14:textId="19577DAF" w:rsidR="00AC086E" w:rsidRPr="00734344" w:rsidRDefault="00AC086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2">
    <w:p w14:paraId="669686E5" w14:textId="77777777" w:rsidR="00AC086E" w:rsidRPr="00137320" w:rsidRDefault="00AC086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3">
    <w:p w14:paraId="37C1F667" w14:textId="7E091FB1"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rsidR="007C7C94">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54">
    <w:p w14:paraId="2716A6E2" w14:textId="56730CC7"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{"citationID":"al28obnw","properties":{"formattedCitation":"Calder\\uc0\\u243{}n de la Barca, {\\i{}El indulto general}, 9\\uc0\\u8211{}10.","plainCitation":"Calderón de la Barca, El indulto general, 9–10.","noteIndex":57},"citationItems":[{"id":8192,"uris":["http://zotero.org/users/163570/items/AY4587QQ"],"uri":["http://zotero.org/users/163570/items/AY4587QQ"],"itemData":{"id":8192,"type":"book","title":"El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55">
    <w:p w14:paraId="2B0D014C" w14:textId="19A6E242"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{"citationID":"m0owZl73","properties":{"formattedCitation":"Tom\\uc0\\u225{}s y Valiente, \\uc0\\u8220{}\\uc0\\u171{}In dubio pro reo\\uc0\\u187{}\\uc0\\u8221{}, 12\\uc0\\u8211{}13.","plainCitation":"Tomás y Valiente, “«In dubio pro reo»”, 12–13.","noteIndex":58},"citationItems":[{"id":8214,"uris":["http://zotero.org/users/163570/items/6KAVYLUY"],"uri":["http://zotero.org/users/163570/items/6KAVYLUY"],"itemData":{"id":8214,"type":"article-journal","title":"«In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56">
    <w:p w14:paraId="5CDB52B6" w14:textId="266A3C5D"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{"citationID":"pNUEkrH4","properties":{"formattedCitation":"Tom\\uc0\\u225{}s y Valiente, 12.","plainCitation":"Tomás y Valiente, 12.","noteIndex":59},"citationItems":[{"id":8214,"uris":["http://zotero.org/users/163570/items/6KAVYLUY"],"uri":["http://zotero.org/users/163570/items/6KAVYLUY"],"itemData":{"id":8214,"type":"article-journal","title":"«In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57">
    <w:p w14:paraId="6500F0C6" w14:textId="77777777" w:rsidR="00AC086E" w:rsidRDefault="00AC086E" w:rsidP="000B2B9E">
      <w:pPr>
        <w:pStyle w:val="Textonotapie"/>
      </w:pPr>
      <w:r>
        <w:rPr>
          <w:rStyle w:val="Refdenotaalpie"/>
        </w:rPr>
        <w:footnoteRef/>
      </w:r>
      <w:r>
        <w:t xml:space="preserve"> Referencia en el original a tres citas bíblicas: Mt 12:7, Sal 106, Pr 3:3.</w:t>
      </w:r>
    </w:p>
  </w:footnote>
  <w:footnote w:id="58">
    <w:p w14:paraId="7021C1E8" w14:textId="472C3A8A" w:rsidR="00AC086E" w:rsidRPr="002E634A" w:rsidRDefault="00AC086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59">
    <w:p w14:paraId="038FB7BD" w14:textId="71B1901E" w:rsidR="00AC086E" w:rsidRPr="0042190A" w:rsidRDefault="00AC086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60">
    <w:p w14:paraId="3B8870CD" w14:textId="0753EB86" w:rsidR="00AC086E" w:rsidRPr="00C44AAB" w:rsidRDefault="00AC086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1">
    <w:p w14:paraId="7C5C4994" w14:textId="77777777" w:rsidR="00AC086E" w:rsidRPr="001155D2" w:rsidRDefault="00AC086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2">
    <w:p w14:paraId="34A0353E" w14:textId="77777777" w:rsidR="00AC086E" w:rsidRPr="00C054C4" w:rsidRDefault="00AC086E"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3">
    <w:p w14:paraId="0127643E" w14:textId="77777777" w:rsidR="00AC086E" w:rsidRDefault="00AC086E" w:rsidP="008E4E99">
      <w:pPr>
        <w:pStyle w:val="Textonotapie"/>
      </w:pPr>
      <w:r>
        <w:rPr>
          <w:rStyle w:val="Refdenotaalpie"/>
        </w:rPr>
        <w:footnoteRef/>
      </w:r>
      <w:r>
        <w:t xml:space="preserve"> Castillo de Bovadilla, lib. III, cap. XII, núm. 7.</w:t>
      </w:r>
    </w:p>
  </w:footnote>
  <w:footnote w:id="64">
    <w:p w14:paraId="5F3D5465" w14:textId="77777777" w:rsidR="00AC086E" w:rsidRPr="00C05F45" w:rsidRDefault="00AC086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65">
    <w:p w14:paraId="147A2B6E" w14:textId="14CFF7D3" w:rsidR="00AC086E" w:rsidRPr="003A403C" w:rsidRDefault="00AC086E"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66">
    <w:p w14:paraId="2DE0CAD7" w14:textId="5830E643" w:rsidR="00AC086E" w:rsidRPr="008E4E99" w:rsidRDefault="00AC086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67">
    <w:p w14:paraId="23D27692" w14:textId="04EBEFF4" w:rsidR="00AC086E" w:rsidRPr="000560AE" w:rsidRDefault="00AC086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rsidR="007C7C94">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70},"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68">
    <w:p w14:paraId="5C1B780F" w14:textId="26E3BDBC" w:rsidR="00AC086E" w:rsidRPr="00185E50" w:rsidRDefault="00AC086E"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69">
    <w:p w14:paraId="24D9BA0F" w14:textId="77777777" w:rsidR="00AC086E" w:rsidRPr="009D2BC9" w:rsidRDefault="00AC086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70">
    <w:p w14:paraId="4FC3866C" w14:textId="77777777" w:rsidR="00AC086E" w:rsidRPr="00573862" w:rsidRDefault="00AC086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1">
    <w:p w14:paraId="1B08C730" w14:textId="3B71E26C" w:rsidR="00AC086E" w:rsidRDefault="00AC086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rsidR="007C7C94">
        <w:instrText xml:space="preserve"> ADDIN ZOTERO_ITEM CSL_CITATION {"citationID":"0wHfMMhw","properties":{"formattedCitation":"Rodr\\uc0\\u237{}guez Flores, {\\i{}El perd\\uc0\\u243{}n real}, 14.","plainCitation":"Rodríguez Flores, El perdón real, 14.","noteIndex":74},"citationItems":[{"id":2654,"uris":["http://zotero.org/users/163570/items/APZE9XAC"],"uri":["http://zotero.org/users/163570/items/APZE9XAC"],"itemData":{"id":2654,"type":"book","title":"El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72">
    <w:p w14:paraId="3ACE29C5" w14:textId="2E92173B" w:rsidR="00AC086E" w:rsidRPr="00090E5A" w:rsidRDefault="00AC086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rsidR="007C7C94">
        <w:instrText xml:space="preserve"> ADDIN ZOTERO_ITEM CSL_CITATION {"citationID":"fI73Vgkx","properties":{"formattedCitation":"Prodi, {\\i{}Una historia de la justicia}, 42.","plainCitation":"Prodi, Una historia de la justicia, 42.","noteIndex":75},"citationItems":[{"id":3390,"uris":["http://zotero.org/users/163570/items/C54QSDGR"],"uri":["http://zotero.org/users/163570/items/C54QSDGR"],"itemData":{"id":3390,"type":"book","title":"Una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007C7C94" w:rsidRPr="007C7C94">
        <w:rPr>
          <w:rFonts w:cs="Times New Roman"/>
          <w:szCs w:val="24"/>
        </w:rPr>
        <w:t xml:space="preserve">Prodi, </w:t>
      </w:r>
      <w:r w:rsidR="007C7C94" w:rsidRPr="007C7C94">
        <w:rPr>
          <w:rFonts w:cs="Times New Roman"/>
          <w:i/>
          <w:iCs/>
          <w:szCs w:val="24"/>
        </w:rPr>
        <w:t>Una historia de la justicia</w:t>
      </w:r>
      <w:r w:rsidR="007C7C94" w:rsidRPr="007C7C94">
        <w:rPr>
          <w:rFonts w:cs="Times New Roman"/>
          <w:szCs w:val="24"/>
        </w:rPr>
        <w:t>, 42.</w:t>
      </w:r>
      <w:r>
        <w:fldChar w:fldCharType="end"/>
      </w:r>
    </w:p>
  </w:footnote>
  <w:footnote w:id="73">
    <w:p w14:paraId="1225404A" w14:textId="77777777" w:rsidR="00AC086E" w:rsidRPr="00273553" w:rsidRDefault="00AC086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74">
    <w:p w14:paraId="3A200291" w14:textId="77777777" w:rsidR="00AC086E" w:rsidRPr="00B3069B" w:rsidRDefault="00AC086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75">
    <w:p w14:paraId="790F4A8A" w14:textId="0FF357B8" w:rsidR="00AC086E" w:rsidRPr="000560AE" w:rsidRDefault="00AC086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76">
    <w:p w14:paraId="5AAB967A" w14:textId="77777777" w:rsidR="00AC086E" w:rsidRPr="008E4E99" w:rsidRDefault="00AC086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77">
    <w:p w14:paraId="11F3A4B0" w14:textId="13956F4E" w:rsidR="00AC086E" w:rsidRDefault="00AC086E">
      <w:pPr>
        <w:pStyle w:val="Textonotapie"/>
      </w:pPr>
      <w:r>
        <w:rPr>
          <w:rStyle w:val="Refdenotaalpie"/>
        </w:rPr>
        <w:footnoteRef/>
      </w:r>
      <w:r>
        <w:t xml:space="preserve"> </w:t>
      </w:r>
      <w:r>
        <w:fldChar w:fldCharType="begin"/>
      </w:r>
      <w:r w:rsidR="007C7C94">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80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78">
    <w:p w14:paraId="5EA2974A" w14:textId="202D8092" w:rsidR="00AC086E" w:rsidRDefault="00AC086E">
      <w:pPr>
        <w:pStyle w:val="Textonotapie"/>
      </w:pPr>
      <w:r>
        <w:rPr>
          <w:rStyle w:val="Refdenotaalpie"/>
        </w:rPr>
        <w:footnoteRef/>
      </w:r>
      <w:r>
        <w:t xml:space="preserve"> </w:t>
      </w:r>
      <w:r>
        <w:fldChar w:fldCharType="begin"/>
      </w:r>
      <w:r w:rsidR="007C7C94">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79">
    <w:p w14:paraId="28F2A1EE" w14:textId="419C4726" w:rsidR="00AC086E" w:rsidRDefault="00AC086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80">
    <w:p w14:paraId="765A4B8A" w14:textId="774D3E61" w:rsidR="00AC086E" w:rsidRDefault="00AC086E">
      <w:pPr>
        <w:pStyle w:val="Textonotapie"/>
      </w:pPr>
      <w:r>
        <w:rPr>
          <w:rStyle w:val="Refdenotaalpie"/>
        </w:rPr>
        <w:footnoteRef/>
      </w:r>
      <w:r>
        <w:t xml:space="preserve"> </w:t>
      </w:r>
      <w:r>
        <w:fldChar w:fldCharType="begin"/>
      </w:r>
      <w:r w:rsidR="007C7C94">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81">
    <w:p w14:paraId="79021727" w14:textId="0D3F2378" w:rsidR="00AC086E" w:rsidRPr="00BA76C0" w:rsidRDefault="00AC086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2">
    <w:p w14:paraId="0B7D8553" w14:textId="63D20E3E" w:rsidR="00AC086E" w:rsidRDefault="00AC086E">
      <w:pPr>
        <w:pStyle w:val="Textonotapie"/>
      </w:pPr>
      <w:r>
        <w:rPr>
          <w:rStyle w:val="Refdenotaalpie"/>
        </w:rPr>
        <w:footnoteRef/>
      </w:r>
      <w:r>
        <w:t xml:space="preserve"> </w:t>
      </w:r>
      <w:r>
        <w:fldChar w:fldCharType="begin"/>
      </w:r>
      <w:r w:rsidR="007C7C94">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83">
    <w:p w14:paraId="2CBAA388" w14:textId="0EFDB417" w:rsidR="00AC086E" w:rsidRDefault="00AC086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84">
    <w:p w14:paraId="4AB2DC3B" w14:textId="51D45B8A" w:rsidR="00AC086E" w:rsidRDefault="00AC086E">
      <w:pPr>
        <w:pStyle w:val="Textonotapie"/>
      </w:pPr>
      <w:r>
        <w:rPr>
          <w:rStyle w:val="Refdenotaalpie"/>
        </w:rPr>
        <w:footnoteRef/>
      </w:r>
      <w:r>
        <w:t xml:space="preserve"> </w:t>
      </w:r>
      <w:r>
        <w:fldChar w:fldCharType="begin"/>
      </w:r>
      <w:r w:rsidR="007C7C94">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85">
    <w:p w14:paraId="0B2564F6" w14:textId="0CC97D56" w:rsidR="00AC086E" w:rsidRDefault="00AC086E">
      <w:pPr>
        <w:pStyle w:val="Textonotapie"/>
      </w:pPr>
      <w:r>
        <w:rPr>
          <w:rStyle w:val="Refdenotaalpie"/>
        </w:rPr>
        <w:footnoteRef/>
      </w:r>
      <w:r>
        <w:t xml:space="preserve"> Al respecto resalto el trabajo compilatorio de </w:t>
      </w:r>
      <w:r>
        <w:fldChar w:fldCharType="begin"/>
      </w:r>
      <w:r w:rsidR="007C7C94">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86">
    <w:p w14:paraId="7DD94F36" w14:textId="2830DDD9" w:rsidR="00AC086E" w:rsidRPr="008F36FD" w:rsidRDefault="00AC086E">
      <w:pPr>
        <w:pStyle w:val="Textonotapie"/>
        <w:rPr>
          <w:lang w:val="fr-FR"/>
        </w:rPr>
      </w:pPr>
      <w:r>
        <w:rPr>
          <w:rStyle w:val="Refdenotaalpie"/>
        </w:rPr>
        <w:footnoteRef/>
      </w:r>
      <w:r w:rsidRPr="008F36FD">
        <w:rPr>
          <w:lang w:val="fr-FR"/>
        </w:rPr>
        <w:t xml:space="preserve"> </w:t>
      </w:r>
      <w:r>
        <w:fldChar w:fldCharType="begin"/>
      </w:r>
      <w:r w:rsidR="007C7C94">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87">
    <w:p w14:paraId="5285D108" w14:textId="3571AFDB" w:rsidR="00AC086E" w:rsidRDefault="00AC086E">
      <w:pPr>
        <w:pStyle w:val="Textonotapie"/>
      </w:pPr>
      <w:r>
        <w:rPr>
          <w:rStyle w:val="Refdenotaalpie"/>
        </w:rPr>
        <w:footnoteRef/>
      </w:r>
      <w:r>
        <w:t xml:space="preserve"> </w:t>
      </w:r>
      <w:r>
        <w:fldChar w:fldCharType="begin"/>
      </w:r>
      <w:r w:rsidR="007C7C94">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249–50.","noteIndex":90},"citationItems":[{"id":8027,"uris":["http://zotero.org/users/163570/items/WNQSRIKP"],"uri":["http://zotero.org/users/163570/items/WNQSRIKP"],"itemData":{"id":8027,"type":"book","title":"La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88">
    <w:p w14:paraId="782BC615" w14:textId="76DC3E0D" w:rsidR="00AC086E" w:rsidRDefault="00AC086E" w:rsidP="003B65A6">
      <w:pPr>
        <w:pStyle w:val="Textonotapie"/>
      </w:pPr>
      <w:r>
        <w:rPr>
          <w:rStyle w:val="Refdenotaalpie"/>
        </w:rPr>
        <w:footnoteRef/>
      </w:r>
      <w:r>
        <w:t xml:space="preserve"> </w:t>
      </w:r>
      <w:r>
        <w:fldChar w:fldCharType="begin"/>
      </w:r>
      <w:r w:rsidR="007C7C94">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89">
    <w:p w14:paraId="2CF4D1B5" w14:textId="3DFDF817" w:rsidR="00AC086E" w:rsidRDefault="00AC086E">
      <w:pPr>
        <w:pStyle w:val="Textonotapie"/>
      </w:pPr>
      <w:r>
        <w:rPr>
          <w:rStyle w:val="Refdenotaalpie"/>
        </w:rPr>
        <w:footnoteRef/>
      </w:r>
      <w:r>
        <w:t xml:space="preserve"> </w:t>
      </w:r>
      <w:r>
        <w:fldChar w:fldCharType="begin"/>
      </w:r>
      <w:r w:rsidR="007C7C94">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90">
    <w:p w14:paraId="50EA41B8" w14:textId="7EF4D8E8" w:rsidR="00AC086E" w:rsidRDefault="00AC086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91">
    <w:p w14:paraId="7C5A3E76" w14:textId="64564A5B" w:rsidR="00AC086E" w:rsidRDefault="00AC086E">
      <w:pPr>
        <w:pStyle w:val="Textonotapie"/>
      </w:pPr>
      <w:r>
        <w:rPr>
          <w:rStyle w:val="Refdenotaalpie"/>
        </w:rPr>
        <w:footnoteRef/>
      </w:r>
      <w:r>
        <w:t xml:space="preserve"> Saavedra Fajardo, emp. 11, lema “ex pulsu noscitur”. Las referencias bíblicas tomadas por Saavedra son Eccl. 5:4 y Eccl. 4:34.</w:t>
      </w:r>
    </w:p>
  </w:footnote>
  <w:footnote w:id="92">
    <w:p w14:paraId="6859A76C" w14:textId="1DFFF776" w:rsidR="00AC086E" w:rsidRPr="003C35C1" w:rsidRDefault="00AC086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93">
    <w:p w14:paraId="5278C48F" w14:textId="77777777" w:rsidR="00AC086E" w:rsidRPr="00F47F3C" w:rsidRDefault="00AC086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94">
    <w:p w14:paraId="7E19721E" w14:textId="21583116" w:rsidR="00AC086E" w:rsidRPr="005A04A0" w:rsidRDefault="00AC086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95">
    <w:p w14:paraId="313BF6BD" w14:textId="77777777" w:rsidR="00AC086E" w:rsidRPr="00494FBE" w:rsidRDefault="00AC086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96">
    <w:p w14:paraId="647584A7" w14:textId="6D391541" w:rsidR="00AC086E" w:rsidRPr="008129CF" w:rsidRDefault="00AC086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7C7C94">
        <w:instrText xml:space="preserve"> ADDIN ZOTERO_ITEM CSL_CITATION {"citationID":"lyM7Do61","properties":{"formattedCitation":"Rodr\\uc0\\u237{}guez Flores, {\\i{}El perd\\uc0\\u243{}n real}, 190\\uc0\\u8211{}225.","plainCitation":"Rodríguez Flores, El perdón real, 190–225.","noteIndex":100},"citationItems":[{"id":2654,"uris":["http://zotero.org/users/163570/items/APZE9XAC"],"uri":["http://zotero.org/users/163570/items/APZE9XAC"],"itemData":{"id":2654,"type":"book","title":"El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560AE"/>
    <w:rsid w:val="000602A4"/>
    <w:rsid w:val="00065B9B"/>
    <w:rsid w:val="00065F91"/>
    <w:rsid w:val="00067D02"/>
    <w:rsid w:val="00071531"/>
    <w:rsid w:val="000719C6"/>
    <w:rsid w:val="000778C1"/>
    <w:rsid w:val="0008025F"/>
    <w:rsid w:val="00081ED4"/>
    <w:rsid w:val="00087B96"/>
    <w:rsid w:val="00087BC1"/>
    <w:rsid w:val="0009056F"/>
    <w:rsid w:val="00090E5A"/>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3002E"/>
    <w:rsid w:val="001309A5"/>
    <w:rsid w:val="00131992"/>
    <w:rsid w:val="00131A0A"/>
    <w:rsid w:val="00132E3A"/>
    <w:rsid w:val="00134E68"/>
    <w:rsid w:val="00135A97"/>
    <w:rsid w:val="00137320"/>
    <w:rsid w:val="00142E02"/>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15D8E"/>
    <w:rsid w:val="00220385"/>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F37"/>
    <w:rsid w:val="002F2950"/>
    <w:rsid w:val="002F3FD6"/>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4F03"/>
    <w:rsid w:val="003D54BA"/>
    <w:rsid w:val="003D647C"/>
    <w:rsid w:val="003D6EAE"/>
    <w:rsid w:val="003E057C"/>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5B64"/>
    <w:rsid w:val="005666D8"/>
    <w:rsid w:val="00567C76"/>
    <w:rsid w:val="00570D59"/>
    <w:rsid w:val="00572F2C"/>
    <w:rsid w:val="0057471E"/>
    <w:rsid w:val="005779E7"/>
    <w:rsid w:val="00577FF2"/>
    <w:rsid w:val="00580E83"/>
    <w:rsid w:val="005844AE"/>
    <w:rsid w:val="00590FCC"/>
    <w:rsid w:val="00592AD1"/>
    <w:rsid w:val="005935C1"/>
    <w:rsid w:val="00593D82"/>
    <w:rsid w:val="00594ACD"/>
    <w:rsid w:val="00595B83"/>
    <w:rsid w:val="005A12A8"/>
    <w:rsid w:val="005A29B6"/>
    <w:rsid w:val="005A4693"/>
    <w:rsid w:val="005A53FF"/>
    <w:rsid w:val="005A68E3"/>
    <w:rsid w:val="005A77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14710"/>
    <w:rsid w:val="006211F4"/>
    <w:rsid w:val="0062417A"/>
    <w:rsid w:val="00625740"/>
    <w:rsid w:val="00627034"/>
    <w:rsid w:val="00630E1A"/>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2CCD"/>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7629"/>
    <w:rsid w:val="007D7D42"/>
    <w:rsid w:val="007D7E74"/>
    <w:rsid w:val="007E2725"/>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E99"/>
    <w:rsid w:val="008E55EA"/>
    <w:rsid w:val="008F1007"/>
    <w:rsid w:val="008F36FD"/>
    <w:rsid w:val="008F377B"/>
    <w:rsid w:val="008F37D7"/>
    <w:rsid w:val="008F5280"/>
    <w:rsid w:val="008F628B"/>
    <w:rsid w:val="009002A6"/>
    <w:rsid w:val="009026DF"/>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339D"/>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07"/>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A17840A-8CCD-4406-A91D-72DFB676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6372</Words>
  <Characters>35052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4</cp:revision>
  <dcterms:created xsi:type="dcterms:W3CDTF">2018-06-05T17:57:00Z</dcterms:created>
  <dcterms:modified xsi:type="dcterms:W3CDTF">2018-06-06T23:53:00Z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id="AIDupX2K"/&gt;&lt;style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