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7777777" w:rsidR="00B9631D" w:rsidRPr="00B9631D" w:rsidRDefault="00B9631D" w:rsidP="00B9631D">
      <w:pPr>
        <w:keepNext/>
        <w:keepLines/>
        <w:spacing w:before="240"/>
        <w:ind w:firstLine="0"/>
        <w:jc w:val="center"/>
        <w:outlineLvl w:val="0"/>
        <w:rPr>
          <w:rFonts w:eastAsiaTheme="majorEastAsia" w:cstheme="majorBidi"/>
          <w:b/>
          <w:smallCaps/>
          <w:szCs w:val="32"/>
        </w:rPr>
      </w:pPr>
      <w:bookmarkStart w:id="0" w:name="_Toc508040699"/>
      <w:r w:rsidRPr="00B9631D">
        <w:rPr>
          <w:rFonts w:eastAsiaTheme="majorEastAsia" w:cstheme="majorBidi"/>
          <w:b/>
          <w:smallCaps/>
          <w:szCs w:val="32"/>
        </w:rPr>
        <w:t xml:space="preserve">Capítulo I. El concepto del perdón </w:t>
      </w:r>
      <w:r w:rsidR="008B7B56">
        <w:rPr>
          <w:rFonts w:eastAsiaTheme="majorEastAsia" w:cstheme="majorBidi"/>
          <w:b/>
          <w:smallCaps/>
          <w:szCs w:val="32"/>
        </w:rPr>
        <w:t xml:space="preserve">real </w:t>
      </w:r>
      <w:bookmarkEnd w:id="0"/>
      <w:r w:rsidR="008B7B56">
        <w:rPr>
          <w:rFonts w:eastAsiaTheme="majorEastAsia" w:cstheme="majorBidi"/>
          <w:b/>
          <w:smallCaps/>
          <w:szCs w:val="32"/>
        </w:rPr>
        <w:t xml:space="preserve">en la tradición jurídica </w:t>
      </w:r>
      <w:r w:rsidR="008E1FFC">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avia de salir este cavildo procesionalmente con el santisimo sacramento y asistencia del </w:t>
      </w:r>
      <w:r w:rsidR="00AB3F05" w:rsidRPr="009705FF">
        <w:rPr>
          <w:rFonts w:eastAsia="Calibri" w:cs="Times New Roman"/>
          <w:iCs/>
        </w:rPr>
        <w:lastRenderedPageBreak/>
        <w:t>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6DD466CF"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E44EC0">
        <w:rPr>
          <w:rFonts w:eastAsia="Calibri" w:cs="Times New Roman"/>
          <w:iCs/>
        </w:rPr>
        <w:t xml:space="preserve">sin embargo, el mismo monarca </w:t>
      </w:r>
      <w:r w:rsidR="00F81B0B">
        <w:rPr>
          <w:rFonts w:eastAsia="Calibri" w:cs="Times New Roman"/>
          <w:iCs/>
        </w:rPr>
        <w:t>aclaro a Eslava que la no ratificación no implicaba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sino a vigilar los díscolos para proceder con rigor</w:t>
      </w:r>
      <w:r w:rsidR="00BA35EF">
        <w:rPr>
          <w:rFonts w:eastAsia="Calibri" w:cs="Times New Roman"/>
          <w:iCs/>
        </w:rPr>
        <w:t>,</w:t>
      </w:r>
      <w:r w:rsidR="00F81B0B">
        <w:rPr>
          <w:rFonts w:eastAsia="Calibri" w:cs="Times New Roman"/>
          <w:iCs/>
        </w:rPr>
        <w:t xml:space="preserve"> antes que se originase una nueva sublevación. </w:t>
      </w:r>
      <w:r w:rsidR="00E44EC0">
        <w:rPr>
          <w:rFonts w:eastAsia="Calibri" w:cs="Times New Roman"/>
          <w:iCs/>
        </w:rPr>
        <w:t>¿</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t xml:space="preserve">Consideramos que interpretar el perdón en el antiguo régimen implica abordarlo desde la lógica de la época, esto es, como una conjunción de acciones de gracia regia y de un </w:t>
      </w:r>
      <w:r>
        <w:lastRenderedPageBreak/>
        <w:t>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w:t>
      </w:r>
      <w:r w:rsidR="009600DC" w:rsidRPr="009600DC">
        <w:lastRenderedPageBreak/>
        <w:t>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2B2E959E"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xml:space="preserve">, rudo pero generalizado, de la lógica general del perdón real, fuertemente vinculado a su sentido místico como imitación de la redención divina. Más que un conocimiento de los “códigos de la élite”, acciones como las ejecutadas por los sublevados de Cartagena </w:t>
      </w:r>
      <w:r w:rsidR="00D0522D">
        <w:t>fueron</w:t>
      </w:r>
      <w:r w:rsidR="00BF7F72">
        <w:t xml:space="preserve"> 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2"/>
      </w:r>
    </w:p>
    <w:p w14:paraId="4C327C6F" w14:textId="3622E435" w:rsidR="00B63CB5" w:rsidRPr="009600DC" w:rsidRDefault="002402EF" w:rsidP="00F42389">
      <w:r>
        <w:t>Este capítulo estará</w:t>
      </w:r>
      <w:r w:rsidR="00B20DA2">
        <w:t>,</w:t>
      </w:r>
      <w:r>
        <w:t xml:space="preserve"> por lo tanto</w:t>
      </w:r>
      <w:r w:rsidR="00B20DA2">
        <w:t>,</w:t>
      </w:r>
      <w:r>
        <w:t xml:space="preserve"> dedicado a la revisión de los patrones discursivos, simbólicos y doctrinales que construyeron el sentido del indulto desde la Baja Edad Media, </w:t>
      </w:r>
      <w:r>
        <w:lastRenderedPageBreak/>
        <w:t>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3"/>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4"/>
      </w:r>
      <w:r w:rsidR="00F42389">
        <w:t xml:space="preserve"> por lo tanto, es en la lógica compleja que justificaba divina y terrenalmente el perdón que se encuentra este enlace entre la autoridad y la clemencia</w:t>
      </w:r>
      <w:r w:rsidR="002974D2">
        <w:t xml:space="preserve"> que posteriormente puede verse manifestado en las peticiones y concesiones de indulto durante el siglo XVIII del Nuevo Reino de Granada.</w:t>
      </w:r>
    </w:p>
    <w:p w14:paraId="54BC4733" w14:textId="77777777" w:rsidR="00AE3608" w:rsidRDefault="00AE3608" w:rsidP="00A51D3A"/>
    <w:p w14:paraId="26E2DBDA" w14:textId="4669C2EA" w:rsidR="00D10FC2" w:rsidRDefault="00D10FC2" w:rsidP="00B90477">
      <w:pPr>
        <w:pStyle w:val="Ttulo2"/>
        <w:numPr>
          <w:ilvl w:val="1"/>
          <w:numId w:val="20"/>
        </w:numPr>
      </w:pPr>
      <w:r>
        <w:t xml:space="preserve"> </w:t>
      </w:r>
      <w:r w:rsidR="00F35E58">
        <w:t>E</w:t>
      </w:r>
      <w:r>
        <w:t xml:space="preserve">l perdón </w:t>
      </w:r>
      <w:r w:rsidR="00F35E58">
        <w:t xml:space="preserve">en </w:t>
      </w:r>
      <w:r>
        <w:t xml:space="preserve">el orden </w:t>
      </w:r>
      <w:r w:rsidR="00F60E2A">
        <w:t>normativo</w:t>
      </w:r>
      <w:r>
        <w:t xml:space="preserve"> castellano-indiano</w:t>
      </w:r>
    </w:p>
    <w:p w14:paraId="7532D456" w14:textId="77777777" w:rsidR="002056AD" w:rsidRDefault="002056AD" w:rsidP="002056AD"/>
    <w:p w14:paraId="451D8AC9" w14:textId="2B4A168E" w:rsidR="006738AD" w:rsidRPr="00386C4C" w:rsidRDefault="00A3241E" w:rsidP="006738AD">
      <w:r>
        <w:t xml:space="preserve">Decía Saavedra Fajardo en su </w:t>
      </w:r>
      <w:r>
        <w:rPr>
          <w:i/>
        </w:rPr>
        <w:t>Idea de un príncipe político cristiano</w:t>
      </w:r>
      <w:r>
        <w:t xml:space="preserve"> que </w:t>
      </w:r>
      <w:r w:rsidR="002D17B5">
        <w:t>“</w:t>
      </w:r>
      <w:r w:rsidR="00117822">
        <w:t>si a todos los</w:t>
      </w:r>
      <w:r w:rsidR="002D17B5">
        <w:t xml:space="preserve"> que excediesen se uviese de castigar, no auria aquien mandar, porque apenas ai hombre tan justo, que no aya merecido la muerte</w:t>
      </w:r>
      <w:r w:rsidR="006736ED">
        <w:t>.</w:t>
      </w:r>
      <w:r w:rsidR="002D17B5">
        <w:t>”</w:t>
      </w:r>
      <w:r w:rsidR="002D17B5">
        <w:rPr>
          <w:rStyle w:val="Refdenotaalpie"/>
        </w:rPr>
        <w:footnoteReference w:id="15"/>
      </w:r>
      <w:r w:rsidR="00117822">
        <w:t xml:space="preserve"> </w:t>
      </w:r>
      <w:r w:rsidR="00386C4C">
        <w:t xml:space="preserve">A diferencia del derecho contemporáneo, la justicia penal de antiguo régimen no partía de los principios de </w:t>
      </w:r>
      <w:r w:rsidR="00386C4C">
        <w:rPr>
          <w:i/>
        </w:rPr>
        <w:t>in dubio pro reo</w:t>
      </w:r>
      <w:r w:rsidR="00386C4C">
        <w:t xml:space="preserve"> o de la presunción de inocencia, al contrario, como explicó Francisco Tomás y Valiente, “el principio inherente al sistema procesal-penal inquisitivo era éste: en la duda, condena a pena arbitraria</w:t>
      </w:r>
      <w:r w:rsidR="006736ED">
        <w:t>.</w:t>
      </w:r>
      <w:r w:rsidR="00386C4C">
        <w:t>”</w:t>
      </w:r>
      <w:r w:rsidR="0026130B">
        <w:rPr>
          <w:rStyle w:val="Refdenotaalpie"/>
        </w:rPr>
        <w:footnoteReference w:id="16"/>
      </w:r>
      <w:r w:rsidR="0026130B">
        <w:t xml:space="preserve"> </w:t>
      </w:r>
      <w:r w:rsidR="007C6342">
        <w:t>Se comprendía que la humanidad había sido condenada desde su origen por el pecado de Adán</w:t>
      </w:r>
      <w:r w:rsidR="006736ED">
        <w:t>,</w:t>
      </w:r>
      <w:r w:rsidR="007C6342">
        <w:rPr>
          <w:rStyle w:val="Refdenotaalpie"/>
        </w:rPr>
        <w:footnoteReference w:id="17"/>
      </w:r>
      <w:r w:rsidR="007C6342">
        <w:t xml:space="preserve"> por lo cual era imposible encontrar un “hombre justo” de quien se pudiera </w:t>
      </w:r>
      <w:r w:rsidR="00CE1562">
        <w:t xml:space="preserve">presumir estaba libre de culpa. Los indicios eran suficientes para que el juez usara su arbitrio y estipulara una pena ordinaria aunque solo se hubiese demostrado la “semiculpabilidad” del reo, es decir, </w:t>
      </w:r>
      <w:r w:rsidR="00B64E56">
        <w:lastRenderedPageBreak/>
        <w:t>cuando a pesar de haber seguido el proceso inquisitorial persist</w:t>
      </w:r>
      <w:r w:rsidR="006738AD">
        <w:t>ía la duda de su actuación delictiva</w:t>
      </w:r>
      <w:r w:rsidR="006736ED">
        <w:t>.</w:t>
      </w:r>
      <w:r w:rsidR="006738AD">
        <w:rPr>
          <w:rStyle w:val="Refdenotaalpie"/>
        </w:rPr>
        <w:footnoteReference w:id="18"/>
      </w:r>
    </w:p>
    <w:p w14:paraId="54A8DEAC" w14:textId="27023700" w:rsidR="00C054C4" w:rsidRDefault="006738AD" w:rsidP="00087BC1">
      <w:r>
        <w:t>En t</w:t>
      </w:r>
      <w:r w:rsidR="000B2B81">
        <w:t>érminos del derecho</w:t>
      </w:r>
      <w:r>
        <w:t xml:space="preserve">, no había ningún impedimento para que el juez actuara con </w:t>
      </w:r>
      <w:r w:rsidR="008D71A0">
        <w:t xml:space="preserve">el mayor rigor permitido </w:t>
      </w:r>
      <w:r>
        <w:t>y aplicara las penas ordinarias al</w:t>
      </w:r>
      <w:r w:rsidR="008D71A0">
        <w:t xml:space="preserve"> reo, siempre y cuando su decisión hubiese sido fruto del pensamiento razonado y </w:t>
      </w:r>
      <w:r w:rsidR="002858B2">
        <w:t>no motivada</w:t>
      </w:r>
      <w:r w:rsidR="008D71A0">
        <w:t xml:space="preserve"> por el lucro o el favor, es decir, que </w:t>
      </w:r>
      <w:r w:rsidR="006A5213">
        <w:t>estuviera</w:t>
      </w:r>
      <w:r w:rsidR="002858B2">
        <w:t xml:space="preserve"> libre de</w:t>
      </w:r>
      <w:r w:rsidR="008D71A0">
        <w:t xml:space="preserve"> cohecho o baratería. </w:t>
      </w:r>
      <w:r w:rsidR="003767F0">
        <w:t>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3767F0">
        <w:rPr>
          <w:rStyle w:val="Refdenotaalpie"/>
        </w:rPr>
        <w:footnoteReference w:id="19"/>
      </w:r>
      <w:r w:rsidR="003767F0">
        <w:t xml:space="preserve">. Se partía de la premisa de que la paz de las repúblicas se podría mantener mejor con actos de clemencia que de fuerza, así lo planteaba Guardiola y Sáez por ejemplo, quien en </w:t>
      </w:r>
      <w:r w:rsidR="003767F0">
        <w:rPr>
          <w:i/>
        </w:rPr>
        <w:t>El corregidor perfecto</w:t>
      </w:r>
      <w:r w:rsidR="003767F0">
        <w:t xml:space="preserve"> afirmó: “dice Dios por S. Matheo</w:t>
      </w:r>
      <w:r w:rsidR="003767F0">
        <w:rPr>
          <w:rStyle w:val="Refdenotaalpie"/>
        </w:rPr>
        <w:footnoteReference w:id="20"/>
      </w:r>
      <w:r w:rsidR="003767F0">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sidR="003767F0">
        <w:rPr>
          <w:rStyle w:val="Refdenotaalpie"/>
        </w:rPr>
        <w:footnoteReference w:id="21"/>
      </w:r>
    </w:p>
    <w:p w14:paraId="1B04BD17" w14:textId="329497D7" w:rsidR="00F60E2A" w:rsidRDefault="00F60E2A" w:rsidP="000E4B53">
      <w:r>
        <w:t>Castillo de Bovadilla advertía que “por causa del mucho rigor pueden los Jueces ser privados de los Oficios;”</w:t>
      </w:r>
      <w:r>
        <w:rPr>
          <w:rStyle w:val="Refdenotaalpie"/>
        </w:rPr>
        <w:footnoteReference w:id="22"/>
      </w:r>
      <w:r>
        <w:t xml:space="preserve"> y lo complementó afirmando: “porque con violencia no puede ser estable el gobierno seglar; y la sujeción por fuerza suele acarrear libertad: porque, como dixo Cicerón, muy mal conserva la perpetuidad el miedo, para lo qual es fiel la benevolencia.”</w:t>
      </w:r>
      <w:r>
        <w:rPr>
          <w:rStyle w:val="Refdenotaalpie"/>
        </w:rPr>
        <w:footnoteReference w:id="23"/>
      </w:r>
      <w:r>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Pr>
          <w:rStyle w:val="Refdenotaalpie"/>
        </w:rPr>
        <w:footnoteReference w:id="24"/>
      </w:r>
      <w:r w:rsidR="00762FE7">
        <w:t xml:space="preserve"> </w:t>
      </w:r>
      <w:r w:rsidR="004E0EEF">
        <w:t>Esta idea podía manifestarse de manera concreta en la súplica de un pueblo para que los libertase del juez o autoridad que se consider</w:t>
      </w:r>
      <w:r w:rsidR="002C36EE">
        <w:t>aba actuaba con excesivo rigor, &gt;&gt; excesos, abusos… No sólo en el apresamiento o castigo físico, también en el cobro de tributos.</w:t>
      </w:r>
    </w:p>
    <w:p w14:paraId="6395FB07" w14:textId="34F2E01B" w:rsidR="00897132" w:rsidRDefault="00897132" w:rsidP="000E4B53">
      <w:r>
        <w:lastRenderedPageBreak/>
        <w:t>La historiografía de los excesos de jueces y corregidores es abundante, en particular con relación al tratamiento de los indios.</w:t>
      </w:r>
    </w:p>
    <w:p w14:paraId="211EB864" w14:textId="1F6EA58E" w:rsidR="002C36EE" w:rsidRDefault="00DE2DBC" w:rsidP="000E4B53">
      <w:r>
        <w:t xml:space="preserve">Pimienta, caso del gobernador que por riguroso fue tiránico :\ </w:t>
      </w:r>
    </w:p>
    <w:p w14:paraId="3BE66E41" w14:textId="06C542CD" w:rsidR="00832F46" w:rsidRDefault="00832F46" w:rsidP="00832F46">
      <w:pPr>
        <w:pStyle w:val="Ttulo3"/>
        <w:numPr>
          <w:ilvl w:val="2"/>
          <w:numId w:val="20"/>
        </w:numPr>
      </w:pPr>
      <w:r>
        <w:t>Clemencia y potestad regia</w:t>
      </w:r>
    </w:p>
    <w:p w14:paraId="1A0708E3" w14:textId="7C6F15F1" w:rsidR="00832F46" w:rsidRDefault="00BF6A88" w:rsidP="00832F46">
      <w:pPr>
        <w:rPr>
          <w:lang w:val="es-ES_tradnl" w:eastAsia="es-ES"/>
        </w:rPr>
      </w:pPr>
      <w:r>
        <w:rPr>
          <w:lang w:val="es-ES_tradnl" w:eastAsia="es-ES"/>
        </w:rPr>
        <w:t>La clemencia era inherente al poder monárquico, caso contrario, el poder riguroso ejercido sobre los súbditos, era</w:t>
      </w:r>
      <w:r w:rsidR="00BC74C3">
        <w:rPr>
          <w:lang w:val="es-ES_tradnl" w:eastAsia="es-ES"/>
        </w:rPr>
        <w:t xml:space="preserve"> la</w:t>
      </w:r>
      <w:r>
        <w:rPr>
          <w:lang w:val="es-ES_tradnl" w:eastAsia="es-ES"/>
        </w:rPr>
        <w:t xml:space="preserve"> tiranía. </w:t>
      </w:r>
    </w:p>
    <w:p w14:paraId="58A055C3" w14:textId="77777777" w:rsidR="00832F46" w:rsidRPr="00832F46" w:rsidRDefault="00832F46" w:rsidP="00832F46">
      <w:pPr>
        <w:rPr>
          <w:lang w:val="es-ES_tradnl" w:eastAsia="es-ES"/>
        </w:rPr>
      </w:pPr>
    </w:p>
    <w:p w14:paraId="2DF070CB" w14:textId="39EC2701" w:rsidR="00D37198" w:rsidRDefault="00D37198" w:rsidP="00087BC1">
      <w:r w:rsidRPr="00B9631D">
        <w:t xml:space="preserve">La lógica de la cultura jurisdiccional del </w:t>
      </w:r>
      <w:r w:rsidRPr="00B9631D">
        <w:rPr>
          <w:i/>
        </w:rPr>
        <w:t>ius commune</w:t>
      </w:r>
      <w:r w:rsidRPr="00B9631D">
        <w:t xml:space="preserve"> indicaba que Dios era la fuente de toda </w:t>
      </w:r>
      <w:r w:rsidR="00595B83">
        <w:t>potestad</w:t>
      </w:r>
      <w:r w:rsidRPr="002B6C75">
        <w:rPr>
          <w:rStyle w:val="Refdenotaalpie"/>
        </w:rPr>
        <w:footnoteReference w:id="25"/>
      </w:r>
      <w:r w:rsidRPr="00B9631D">
        <w:t>, por la cual se les había dado autoridad a los pontífices y príncipes para juzgar y gobernar</w:t>
      </w:r>
      <w:r w:rsidRPr="002B6C75">
        <w:rPr>
          <w:rStyle w:val="Refdenotaalpie"/>
        </w:rPr>
        <w:footnoteReference w:id="26"/>
      </w:r>
      <w:r w:rsidRPr="00B9631D">
        <w:t xml:space="preserve">. En el caso del monarca se denominaba majestad, sinónimo de </w:t>
      </w:r>
      <w:r w:rsidRPr="00B9631D">
        <w:rPr>
          <w:i/>
        </w:rPr>
        <w:t>potestas</w:t>
      </w:r>
      <w:r w:rsidRPr="00B9631D">
        <w:t>, con la cual podía hacer uso del castigo</w:t>
      </w:r>
      <w:r w:rsidRPr="002B6C75">
        <w:rPr>
          <w:rStyle w:val="Refdenotaalpie"/>
        </w:rPr>
        <w:footnoteReference w:id="27"/>
      </w:r>
      <w:r w:rsidRPr="00B9631D">
        <w:t>, para ser temido, y de la misericordia, para ser amado</w:t>
      </w:r>
      <w:r w:rsidRPr="002B6C75">
        <w:rPr>
          <w:rStyle w:val="Refdenotaalpie"/>
        </w:rPr>
        <w:footnoteReference w:id="28"/>
      </w:r>
      <w:r w:rsidRPr="00B9631D">
        <w:t>.</w:t>
      </w:r>
      <w:r w:rsidR="00D976B0" w:rsidRPr="00D976B0">
        <w:t xml:space="preserve"> </w:t>
      </w:r>
      <w:r w:rsidR="00D976B0">
        <w:t>En esta lógica, era el temor a la espada lo que hacía agradecer la clemencia, cuando el rey o sus delegados pudiendo castigar justificadamente no lo hacía estab</w:t>
      </w:r>
      <w:r w:rsidR="00B32981">
        <w:t>an demostrando la grandeza del príncipe</w:t>
      </w:r>
      <w:r w:rsidR="00D976B0">
        <w:rPr>
          <w:rStyle w:val="Refdenotaalpie"/>
        </w:rPr>
        <w:footnoteReference w:id="29"/>
      </w:r>
      <w:r w:rsidR="00D976B0">
        <w:t>.</w:t>
      </w:r>
    </w:p>
    <w:p w14:paraId="7FBB9E94" w14:textId="77777777" w:rsidR="00D37198" w:rsidRPr="0083523B" w:rsidRDefault="00D37198" w:rsidP="00087BC1"/>
    <w:p w14:paraId="51135A8D" w14:textId="11A1E347" w:rsidR="00A92165" w:rsidRDefault="008704CE" w:rsidP="00087BC1">
      <w:r>
        <w:t>Por otra parte,</w:t>
      </w:r>
      <w:r w:rsidR="008B1E67">
        <w:t xml:space="preserve"> </w:t>
      </w:r>
      <w:r w:rsidR="00BF3E79">
        <w:t>el poder del rey no se ve</w:t>
      </w:r>
      <w:r w:rsidR="00B95181">
        <w:t>r</w:t>
      </w:r>
      <w:r w:rsidR="00BF3E79">
        <w:t xml:space="preserve">ía disminuido por ejecutar actos de clemencia, al contrario, </w:t>
      </w:r>
      <w:r w:rsidR="006661B1">
        <w:t>representaba</w:t>
      </w:r>
      <w:r w:rsidR="00BF3E79">
        <w:t xml:space="preserve"> la posibilidad de </w:t>
      </w:r>
      <w:r w:rsidR="003B564E">
        <w:t xml:space="preserve">demostrar la magnificencia de la potestad regia, </w:t>
      </w:r>
      <w:r w:rsidR="00BF3E79">
        <w:t>incomparable con ningún agente de la monarquía</w:t>
      </w:r>
      <w:r>
        <w:t>. Como lo señaló Michel Foucault</w:t>
      </w:r>
      <w:r w:rsidR="008B1E67">
        <w:t xml:space="preserve">: “El poder soberano que le ordenaba matar y mataba por medio de él no estaba presente en el </w:t>
      </w:r>
      <w:r w:rsidR="008B1E67">
        <w:lastRenderedPageBreak/>
        <w:t>verdugo ni se identificaba con su encarnizamiento. Y precisamente jamás aparecía tal poder con más esplendor que cuando interrumpía el gesto del verdugo con un mensaje de indulto</w:t>
      </w:r>
      <w:r w:rsidR="006736ED">
        <w:t>.</w:t>
      </w:r>
      <w:r w:rsidR="008B1E67">
        <w:t>”</w:t>
      </w:r>
      <w:r w:rsidR="005B055C">
        <w:rPr>
          <w:rStyle w:val="Refdenotaalpie"/>
        </w:rPr>
        <w:footnoteReference w:id="30"/>
      </w:r>
      <w:r w:rsidR="00A65238">
        <w:t xml:space="preserve"> </w:t>
      </w:r>
      <w:r w:rsidR="00394194">
        <w:t>De allí la idea, tomada de Séneca y difundida vía Tomás de Aquino, según la cual</w:t>
      </w:r>
      <w:r w:rsidR="00C61EB3">
        <w:t xml:space="preserve"> perdonar consistía</w:t>
      </w:r>
      <w:r w:rsidR="00394194" w:rsidRPr="00B9631D">
        <w:t xml:space="preserve"> en no castigar a quien merecía serlo, es decir, </w:t>
      </w:r>
      <w:r w:rsidR="00395402">
        <w:t>en</w:t>
      </w:r>
      <w:r w:rsidR="00394194" w:rsidRPr="00B9631D">
        <w:t xml:space="preserve"> la remisión de un castigo que debía ser</w:t>
      </w:r>
      <w:r w:rsidR="003D6EAE">
        <w:t>, en justicia,</w:t>
      </w:r>
      <w:r w:rsidR="00394194" w:rsidRPr="00B9631D">
        <w:t xml:space="preserve"> infligido</w:t>
      </w:r>
      <w:r w:rsidR="006736ED">
        <w:t>.</w:t>
      </w:r>
      <w:r w:rsidR="00394194" w:rsidRPr="002B6C75">
        <w:rPr>
          <w:rStyle w:val="Refdenotaalpie"/>
        </w:rPr>
        <w:footnoteReference w:id="31"/>
      </w:r>
    </w:p>
    <w:p w14:paraId="0DC161DC" w14:textId="3D21A0BF" w:rsidR="00466C1B" w:rsidRDefault="00466C1B" w:rsidP="00413C14"/>
    <w:p w14:paraId="4E20A4EA" w14:textId="77777777" w:rsidR="003767F0" w:rsidRPr="00466C1B" w:rsidRDefault="003767F0" w:rsidP="00413C14"/>
    <w:p w14:paraId="38072527" w14:textId="52CA5030" w:rsidR="00B97549" w:rsidRDefault="002724A4" w:rsidP="008278F3">
      <w:r>
        <w:t>La justicia y la misericordia se consideraba debían ir juntas en los procedimientos judiciales, como alegorizó Calderón de la Barca:</w:t>
      </w:r>
    </w:p>
    <w:p w14:paraId="08D05A00" w14:textId="77777777" w:rsidR="002724A4" w:rsidRDefault="002724A4" w:rsidP="002724A4">
      <w:pPr>
        <w:pStyle w:val="Cita"/>
      </w:pPr>
      <w:r>
        <w:t>Id, pues, con la circunstancia</w:t>
      </w:r>
    </w:p>
    <w:p w14:paraId="3C1977AF" w14:textId="77777777" w:rsidR="002724A4" w:rsidRDefault="002724A4" w:rsidP="002724A4">
      <w:pPr>
        <w:pStyle w:val="Cita"/>
      </w:pPr>
      <w:r>
        <w:t>de que vas, Misericordia,</w:t>
      </w:r>
    </w:p>
    <w:p w14:paraId="38114B91" w14:textId="77777777" w:rsidR="002724A4" w:rsidRDefault="002724A4" w:rsidP="002724A4">
      <w:pPr>
        <w:pStyle w:val="Cita"/>
      </w:pPr>
      <w:r>
        <w:t>de Justicia acompañada,</w:t>
      </w:r>
    </w:p>
    <w:p w14:paraId="0A8CCF19" w14:textId="38D49E42" w:rsidR="002724A4" w:rsidRDefault="002724A4" w:rsidP="002724A4">
      <w:pPr>
        <w:pStyle w:val="Cita"/>
      </w:pPr>
      <w:r>
        <w:t xml:space="preserve">para que guardes justicia; </w:t>
      </w:r>
    </w:p>
    <w:p w14:paraId="56F1A841" w14:textId="77777777" w:rsidR="002724A4" w:rsidRDefault="002724A4" w:rsidP="002724A4">
      <w:pPr>
        <w:pStyle w:val="Cita"/>
      </w:pPr>
      <w:r>
        <w:t>y tú, Justicia, repara</w:t>
      </w:r>
    </w:p>
    <w:p w14:paraId="0FD0ABF8" w14:textId="77777777" w:rsidR="002724A4" w:rsidRDefault="002724A4" w:rsidP="002724A4">
      <w:pPr>
        <w:pStyle w:val="Cita"/>
      </w:pPr>
      <w:r>
        <w:t>en que con Misericordia</w:t>
      </w:r>
    </w:p>
    <w:p w14:paraId="53620137" w14:textId="77777777" w:rsidR="002724A4" w:rsidRDefault="002724A4" w:rsidP="002724A4">
      <w:pPr>
        <w:pStyle w:val="Cita"/>
      </w:pPr>
      <w:r>
        <w:t>vas también para guardarla;</w:t>
      </w:r>
    </w:p>
    <w:p w14:paraId="71D576B1" w14:textId="77777777" w:rsidR="002724A4" w:rsidRDefault="002724A4" w:rsidP="002724A4">
      <w:pPr>
        <w:pStyle w:val="Cita"/>
      </w:pPr>
      <w:r>
        <w:t>que no será acierto en una</w:t>
      </w:r>
    </w:p>
    <w:p w14:paraId="5E16CBCB" w14:textId="278AE553" w:rsidR="002724A4" w:rsidRDefault="002724A4" w:rsidP="002724A4">
      <w:pPr>
        <w:pStyle w:val="Cita"/>
      </w:pPr>
      <w:r>
        <w:t>si no se da unión en ambas.</w:t>
      </w:r>
      <w:r>
        <w:rPr>
          <w:rStyle w:val="Refdenotaalpie"/>
        </w:rPr>
        <w:footnoteReference w:id="32"/>
      </w:r>
      <w:r>
        <w:t xml:space="preserve"> </w:t>
      </w:r>
    </w:p>
    <w:p w14:paraId="0FFD333C" w14:textId="77777777" w:rsidR="002724A4" w:rsidRPr="00CE1F32" w:rsidRDefault="002724A4" w:rsidP="008278F3"/>
    <w:p w14:paraId="2619B3C8" w14:textId="77777777" w:rsidR="00395402" w:rsidRDefault="00395402" w:rsidP="002056AD"/>
    <w:p w14:paraId="1C2F301C" w14:textId="77F28472" w:rsidR="00E857BD" w:rsidRPr="00E857BD" w:rsidRDefault="00E857BD" w:rsidP="00E857BD">
      <w:pPr>
        <w:ind w:firstLine="0"/>
      </w:pPr>
      <w:bookmarkStart w:id="1" w:name="_GoBack"/>
      <w:bookmarkEnd w:id="1"/>
    </w:p>
    <w:sectPr w:rsidR="00E857BD" w:rsidRPr="00E857B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499F0" w14:textId="77777777" w:rsidR="00472190" w:rsidRDefault="00472190" w:rsidP="00B9631D">
      <w:pPr>
        <w:spacing w:line="240" w:lineRule="auto"/>
      </w:pPr>
      <w:r>
        <w:separator/>
      </w:r>
    </w:p>
  </w:endnote>
  <w:endnote w:type="continuationSeparator" w:id="0">
    <w:p w14:paraId="5B1A4898" w14:textId="77777777" w:rsidR="00472190" w:rsidRDefault="00472190"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0C3722" w:rsidRDefault="000C3722">
        <w:pPr>
          <w:pStyle w:val="Piedepgina"/>
          <w:jc w:val="right"/>
        </w:pPr>
        <w:r>
          <w:fldChar w:fldCharType="begin"/>
        </w:r>
        <w:r>
          <w:instrText>PAGE   \* MERGEFORMAT</w:instrText>
        </w:r>
        <w:r>
          <w:fldChar w:fldCharType="separate"/>
        </w:r>
        <w:r w:rsidR="00812D7B" w:rsidRPr="00812D7B">
          <w:rPr>
            <w:noProof/>
            <w:lang w:val="es-ES"/>
          </w:rPr>
          <w:t>1</w:t>
        </w:r>
        <w:r>
          <w:fldChar w:fldCharType="end"/>
        </w:r>
      </w:p>
    </w:sdtContent>
  </w:sdt>
  <w:p w14:paraId="2E48E8B0" w14:textId="77777777" w:rsidR="000C3722" w:rsidRDefault="000C37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D3047" w14:textId="77777777" w:rsidR="00472190" w:rsidRDefault="00472190" w:rsidP="00B9631D">
      <w:pPr>
        <w:spacing w:line="240" w:lineRule="auto"/>
      </w:pPr>
      <w:r>
        <w:separator/>
      </w:r>
    </w:p>
  </w:footnote>
  <w:footnote w:type="continuationSeparator" w:id="0">
    <w:p w14:paraId="4B9C16A0" w14:textId="77777777" w:rsidR="00472190" w:rsidRDefault="00472190" w:rsidP="00B9631D">
      <w:pPr>
        <w:spacing w:line="240" w:lineRule="auto"/>
      </w:pPr>
      <w:r>
        <w:continuationSeparator/>
      </w:r>
    </w:p>
  </w:footnote>
  <w:footnote w:id="1">
    <w:p w14:paraId="5A49ACA1" w14:textId="38024009" w:rsidR="000C3722" w:rsidRDefault="000C3722"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0C3722" w:rsidRDefault="000C3722"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0C3722" w:rsidRDefault="000C3722">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0C3722" w:rsidRDefault="000C3722"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0C3722" w:rsidRDefault="000C3722">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0C3722" w:rsidRDefault="000C3722">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0C3722" w:rsidRDefault="000C3722">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0C3722" w:rsidRDefault="000C3722">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0C3722" w:rsidRDefault="000C3722">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0C3722" w:rsidRDefault="000C3722">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0C3722" w:rsidRDefault="000C3722">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5ADE7E3D" w14:textId="7F6FD453" w:rsidR="000C3722" w:rsidRDefault="000C3722">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42.","noteIndex":12},"citationItems":[{"id":3381,"uris":["http://zotero.org/users/163570/items/2B6CQHEJ"],"uri":["http://zotero.org/users/163570/items/2B6CQHEJ"],"itemData":{"id":3381,"type":"book","title":"Cultura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3">
    <w:p w14:paraId="4876BA75" w14:textId="1D773D0C" w:rsidR="000C3722" w:rsidRDefault="000C3722">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425.","noteIndex":13},"citationItems":[{"id":5734,"uris":["http://zotero.org/users/163570/items/3PPXIUUG"],"uri":["http://zotero.org/users/163570/items/3PPXIUUG"],"itemData":{"id":5734,"type":"book","title":"Reformismo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4">
    <w:p w14:paraId="334DC05A" w14:textId="28D9A9D3" w:rsidR="000C3722" w:rsidRDefault="000C3722">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5">
    <w:p w14:paraId="2BE38140" w14:textId="7785A5F5" w:rsidR="000C3722" w:rsidRPr="00137320" w:rsidRDefault="000C3722">
      <w:pPr>
        <w:pStyle w:val="Textonotapie"/>
      </w:pPr>
      <w:r>
        <w:rPr>
          <w:rStyle w:val="Refdenotaalpie"/>
        </w:rPr>
        <w:footnoteRef/>
      </w:r>
      <w:r>
        <w:t xml:space="preserve"> Saavedra Fajardo, </w:t>
      </w:r>
      <w:r w:rsidRPr="00700CBA">
        <w:rPr>
          <w:i/>
        </w:rPr>
        <w:t>Idea de un príncipe político christiano representada en cien empresas</w:t>
      </w:r>
      <w:r>
        <w:t xml:space="preserve"> (Mónaco, s.n., 1640, Milán, s.n., 1642) lema “præsidia maiestatis”.</w:t>
      </w:r>
      <w:r w:rsidR="00137320">
        <w:t xml:space="preserve"> Juan de Mariana también cita a un autor anónimo para decir que “si se hubiesen castigado todas las faltas cometidas, ya hace tiempo que la humanidad no existiría” (</w:t>
      </w:r>
      <w:r w:rsidR="00137320" w:rsidRPr="00137320">
        <w:rPr>
          <w:i/>
        </w:rPr>
        <w:t>Si peccatis supplicia metiatur, iam pridem genus humanum extinxerit</w:t>
      </w:r>
      <w:r w:rsidR="00137320">
        <w:t>)</w:t>
      </w:r>
      <w:r w:rsidR="00D31176">
        <w:t xml:space="preserve"> trad. </w:t>
      </w:r>
      <w:r w:rsidR="00D31176" w:rsidRPr="00D31176">
        <w:t xml:space="preserve">Luis Sánchez Agesta de Juan de Mariana, </w:t>
      </w:r>
      <w:r w:rsidR="00D31176" w:rsidRPr="00D31176">
        <w:rPr>
          <w:i/>
        </w:rPr>
        <w:t>De rege et regis institutione</w:t>
      </w:r>
      <w:r w:rsidR="00D31176" w:rsidRPr="00D31176">
        <w:t xml:space="preserve"> (Toledo: tipografía de Pedro Rodr</w:t>
      </w:r>
      <w:r w:rsidR="00D31176">
        <w:t>íguez, 1599)</w:t>
      </w:r>
      <w:r w:rsidR="00D31176" w:rsidRPr="00D31176">
        <w:t xml:space="preserve"> </w:t>
      </w:r>
      <w:r w:rsidR="00137320" w:rsidRPr="00D31176">
        <w:t xml:space="preserve">lib. </w:t>
      </w:r>
      <w:r w:rsidR="00137320">
        <w:t>II, cap. XII.</w:t>
      </w:r>
    </w:p>
  </w:footnote>
  <w:footnote w:id="16">
    <w:p w14:paraId="0F61351E" w14:textId="2879E46B" w:rsidR="000C3722" w:rsidRDefault="000C3722">
      <w:pPr>
        <w:pStyle w:val="Textonotapie"/>
      </w:pPr>
      <w:r>
        <w:rPr>
          <w:rStyle w:val="Refdenotaalpie"/>
        </w:rPr>
        <w:footnoteRef/>
      </w:r>
      <w:r>
        <w:t xml:space="preserve"> </w:t>
      </w:r>
      <w:r>
        <w:fldChar w:fldCharType="begin"/>
      </w:r>
      <w:r>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14.","noteIndex":16},"citationItems":[{"id":8214,"uris":["http://zotero.org/users/163570/items/6KAVYLUY"],"uri":["http://zotero.org/users/163570/items/6KAVYLUY"],"itemData":{"id":8214,"type":"article-journal","title":"«In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201.","noteIndex":16},"citationItems":[{"id":8216,"uris":["http://zotero.org/users/163570/items/UAKUXGM3"],"uri":["http://zotero.org/users/163570/items/UAKUXGM3"],"itemData":{"id":8216,"type":"article-journal","title":"El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17">
    <w:p w14:paraId="136CE5DB" w14:textId="1D679165" w:rsidR="000C3722" w:rsidRDefault="000C3722">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9–10.","noteIndex":17},"citationItems":[{"id":8192,"uris":["http://zotero.org/users/163570/items/AY4587QQ"],"uri":["http://zotero.org/users/163570/items/AY4587QQ"],"itemData":{"id":8192,"type":"book","title":"El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18">
    <w:p w14:paraId="47AF9E8E" w14:textId="3312FCC6" w:rsidR="000C3722" w:rsidRDefault="000C3722">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12–13.","noteIndex":18},"citationItems":[{"id":8214,"uris":["http://zotero.org/users/163570/items/6KAVYLUY"],"uri":["http://zotero.org/users/163570/items/6KAVYLUY"],"itemData":{"id":8214,"type":"article-journal","title":"«In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19">
    <w:p w14:paraId="65BB345B" w14:textId="1D68CD0E" w:rsidR="003767F0" w:rsidRDefault="003767F0" w:rsidP="003767F0">
      <w:pPr>
        <w:pStyle w:val="Textonotapie"/>
      </w:pPr>
      <w:r>
        <w:rPr>
          <w:rStyle w:val="Refdenotaalpie"/>
        </w:rPr>
        <w:footnoteRef/>
      </w:r>
      <w:r>
        <w:t xml:space="preserve"> </w:t>
      </w:r>
      <w:r>
        <w:fldChar w:fldCharType="begin"/>
      </w:r>
      <w:r w:rsidR="00736260">
        <w:instrText xml:space="preserve"> ADDIN ZOTERO_ITEM CSL_CITATION {"citationID":"pNUEkrH4","properties":{"formattedCitation":"Tom\\uc0\\u225{}s y Valiente, 12.","plainCitation":"Tomás y Valiente, 12.","noteIndex":19},"citationItems":[{"id":8214,"uris":["http://zotero.org/users/163570/items/6KAVYLUY"],"uri":["http://zotero.org/users/163570/items/6KAVYLUY"],"itemData":{"id":8214,"type":"article-journal","title":"«In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00736260" w:rsidRPr="00736260">
        <w:rPr>
          <w:rFonts w:cs="Times New Roman"/>
          <w:szCs w:val="24"/>
        </w:rPr>
        <w:t>Tomás y Valiente, 12.</w:t>
      </w:r>
      <w:r>
        <w:fldChar w:fldCharType="end"/>
      </w:r>
    </w:p>
  </w:footnote>
  <w:footnote w:id="20">
    <w:p w14:paraId="59D4695D" w14:textId="706220A5" w:rsidR="003767F0" w:rsidRDefault="003767F0" w:rsidP="003767F0">
      <w:pPr>
        <w:pStyle w:val="Textonotapie"/>
      </w:pPr>
      <w:r>
        <w:rPr>
          <w:rStyle w:val="Refdenotaalpie"/>
        </w:rPr>
        <w:footnoteRef/>
      </w:r>
      <w:r>
        <w:t xml:space="preserve"> </w:t>
      </w:r>
      <w:r w:rsidR="00353440">
        <w:t xml:space="preserve">Referencia en el original a tres citas bíblicas: </w:t>
      </w:r>
      <w:r>
        <w:t xml:space="preserve">Mt 12:7, </w:t>
      </w:r>
      <w:r w:rsidR="00491039">
        <w:t>Sal</w:t>
      </w:r>
      <w:r>
        <w:t xml:space="preserve"> 106, Pr 3:3.</w:t>
      </w:r>
    </w:p>
  </w:footnote>
  <w:footnote w:id="21">
    <w:p w14:paraId="44DAFA9D" w14:textId="77777777" w:rsidR="003767F0" w:rsidRPr="0020271B" w:rsidRDefault="003767F0" w:rsidP="003767F0">
      <w:pPr>
        <w:pStyle w:val="Textonotapie"/>
      </w:pPr>
      <w:r>
        <w:rPr>
          <w:rStyle w:val="Refdenotaalpie"/>
        </w:rPr>
        <w:footnoteRef/>
      </w:r>
      <w:r>
        <w:t xml:space="preserve"> Guardiola y Sáez, </w:t>
      </w:r>
      <w:r>
        <w:rPr>
          <w:i/>
        </w:rPr>
        <w:t>El corregidor perfecto</w:t>
      </w:r>
      <w:r>
        <w:t xml:space="preserve">, parte II, </w:t>
      </w:r>
      <w:r w:rsidRPr="0020271B">
        <w:t>§</w:t>
      </w:r>
      <w:r>
        <w:t xml:space="preserve"> IV, núm. 33.</w:t>
      </w:r>
    </w:p>
  </w:footnote>
  <w:footnote w:id="22">
    <w:p w14:paraId="0FFA4558" w14:textId="77777777" w:rsidR="00F60E2A" w:rsidRPr="00C054C4" w:rsidRDefault="00F60E2A" w:rsidP="00F60E2A">
      <w:pPr>
        <w:pStyle w:val="Textonotapie"/>
      </w:pPr>
      <w:r>
        <w:rPr>
          <w:rStyle w:val="Refdenotaalpie"/>
        </w:rPr>
        <w:footnoteRef/>
      </w:r>
      <w:r>
        <w:t xml:space="preserve"> Jerónimo Castillo de Bovadilla, </w:t>
      </w:r>
      <w:r>
        <w:rPr>
          <w:i/>
        </w:rPr>
        <w:t>Politica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23">
    <w:p w14:paraId="0F430B87" w14:textId="77777777" w:rsidR="00F60E2A" w:rsidRDefault="00F60E2A" w:rsidP="00F60E2A">
      <w:pPr>
        <w:pStyle w:val="Textonotapie"/>
      </w:pPr>
      <w:r>
        <w:rPr>
          <w:rStyle w:val="Refdenotaalpie"/>
        </w:rPr>
        <w:footnoteRef/>
      </w:r>
      <w:r>
        <w:t xml:space="preserve"> Castillo de Bovadilla, lib. III, cap. XII, núm. 7.</w:t>
      </w:r>
    </w:p>
  </w:footnote>
  <w:footnote w:id="24">
    <w:p w14:paraId="1A1DE342" w14:textId="77777777" w:rsidR="00F60E2A" w:rsidRPr="00364BD5" w:rsidRDefault="00F60E2A" w:rsidP="00F60E2A">
      <w:pPr>
        <w:pStyle w:val="Textonotapie"/>
        <w:rPr>
          <w:lang w:val="fr-FR"/>
        </w:rPr>
      </w:pPr>
      <w:r>
        <w:rPr>
          <w:rStyle w:val="Refdenotaalpie"/>
        </w:rPr>
        <w:footnoteRef/>
      </w:r>
      <w:r>
        <w:t xml:space="preserve"> Castillo de Bovadilla, lib. </w:t>
      </w:r>
      <w:r w:rsidRPr="00364BD5">
        <w:rPr>
          <w:lang w:val="fr-FR"/>
        </w:rPr>
        <w:t>III, cap. XII, núm. 8.</w:t>
      </w:r>
    </w:p>
  </w:footnote>
  <w:footnote w:id="25">
    <w:p w14:paraId="38C70E9A" w14:textId="5423CD1D" w:rsidR="00D37198" w:rsidRPr="00573862" w:rsidRDefault="00D37198" w:rsidP="00D37198">
      <w:pPr>
        <w:pStyle w:val="Textonotapie"/>
      </w:pPr>
      <w:r w:rsidRPr="002B6C75">
        <w:rPr>
          <w:rStyle w:val="Refdenotaalpie"/>
        </w:rPr>
        <w:footnoteRef/>
      </w:r>
      <w:r w:rsidR="00736260">
        <w:t xml:space="preserve">  Se cita</w:t>
      </w:r>
      <w:r>
        <w:t xml:space="preserve"> allí la máxima evangélica que rezaba “Ninguna autoridad tendrías contra mí si no se te hubiera dado desde arriba”</w:t>
      </w:r>
      <w:r w:rsidRPr="00AE5979">
        <w:t xml:space="preserve">. </w:t>
      </w:r>
      <w:r w:rsidR="003142C3">
        <w:t>J</w:t>
      </w:r>
      <w:r>
        <w:t>n 19:11</w:t>
      </w:r>
      <w:r w:rsidRPr="00AE5979">
        <w:t>.</w:t>
      </w:r>
    </w:p>
  </w:footnote>
  <w:footnote w:id="26">
    <w:p w14:paraId="4787F506" w14:textId="77777777" w:rsidR="00D37198" w:rsidRPr="00573862" w:rsidRDefault="00D37198" w:rsidP="00D37198">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Rom 13:1. Murillo Velarde, </w:t>
      </w:r>
      <w:r w:rsidRPr="0080525F">
        <w:rPr>
          <w:i/>
        </w:rPr>
        <w:t>Cursus iuris canonici</w:t>
      </w:r>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L. I, tit. 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27">
    <w:p w14:paraId="45CFC12B" w14:textId="77777777" w:rsidR="00D37198" w:rsidRPr="002A7410" w:rsidRDefault="00D37198" w:rsidP="00D37198">
      <w:pPr>
        <w:pStyle w:val="Textonotapie"/>
      </w:pPr>
      <w:r w:rsidRPr="002B6C75">
        <w:rPr>
          <w:rStyle w:val="Refdenotaalpie"/>
        </w:rPr>
        <w:footnoteRef/>
      </w:r>
      <w:r>
        <w:t xml:space="preserve"> “Aquella potestad que residía en todos, la transfirieron en uno solo, y la llamaron Magestad, que es lo mismo que potestad eminente, ó sumo imperio, y perpetua autoridad sobre toda la República, y con ella la absoluta facultad o regalía de castigar los delitos, perdonarlos indultando la pena á los reos, ó conmutar la señalada por la Ley en otra mas leve según su Voluntad”. Vizcaíno Pérez, </w:t>
      </w:r>
      <w:r>
        <w:rPr>
          <w:i/>
        </w:rPr>
        <w:t>Código y práctica criminal</w:t>
      </w:r>
      <w:r>
        <w:t>, tomo III, n. 422.</w:t>
      </w:r>
    </w:p>
  </w:footnote>
  <w:footnote w:id="28">
    <w:p w14:paraId="4E326E3B" w14:textId="77777777" w:rsidR="00D37198" w:rsidRPr="00C34A5D" w:rsidRDefault="00D37198" w:rsidP="00D37198">
      <w:pPr>
        <w:pStyle w:val="Textonotapie"/>
      </w:pPr>
      <w:r w:rsidRPr="002B6C75">
        <w:rPr>
          <w:rStyle w:val="Refdenotaalpie"/>
        </w:rPr>
        <w:footnoteRef/>
      </w:r>
      <w:r w:rsidRPr="002B5F6C">
        <w:t xml:space="preserve"> López de Cuéllar, </w:t>
      </w:r>
      <w:r w:rsidRPr="002B5F6C">
        <w:rPr>
          <w:i/>
        </w:rPr>
        <w:t>Tratado iuridico-politico</w:t>
      </w:r>
      <w:r>
        <w:t xml:space="preserve">, n. 9. “porque siendo la potestad Real una imagen de la Divina Magestad, quisieron que también se pareciese á esta en poder exercitar la justicia y la misericordia en los casos que considerase oportunos, para que por aquella fuese temido, y por esta venerado”. Vizcaíno Pérez, </w:t>
      </w:r>
      <w:r>
        <w:rPr>
          <w:i/>
        </w:rPr>
        <w:t>Código y práctica criminal</w:t>
      </w:r>
      <w:r>
        <w:t>, tomo III, n. 422.</w:t>
      </w:r>
    </w:p>
  </w:footnote>
  <w:footnote w:id="29">
    <w:p w14:paraId="4E1EB0E9" w14:textId="77777777" w:rsidR="00D976B0" w:rsidRPr="00653A46" w:rsidRDefault="00D976B0" w:rsidP="00D976B0">
      <w:pPr>
        <w:pStyle w:val="Textonotapie"/>
      </w:pPr>
      <w:r>
        <w:rPr>
          <w:rStyle w:val="Refdenotaalpie"/>
        </w:rPr>
        <w:footnoteRef/>
      </w:r>
      <w:r>
        <w:t xml:space="preserve"> Temor y amor estarían naturalmente vinculados, Alfonso X lo plasmó así: “Natural razon es, que el ome non puede amar ninguna cosa conplidamente si la non teme” </w:t>
      </w:r>
      <w:r w:rsidRPr="004413A4">
        <w:rPr>
          <w:i/>
        </w:rPr>
        <w:t>Las Siete Partidas</w:t>
      </w:r>
      <w:r>
        <w:t xml:space="preserve">, P. II, tít. II, l. III. Bovadilla comentó al respecto que “si el juez no es amado y temido, nunca será obedecido”. Castillo de Bovadilla, </w:t>
      </w:r>
      <w:r>
        <w:rPr>
          <w:i/>
        </w:rPr>
        <w:t>Politica para corregidores</w:t>
      </w:r>
      <w:r>
        <w:t>, lib. III, cap. XII, núm. 11.</w:t>
      </w:r>
    </w:p>
  </w:footnote>
  <w:footnote w:id="30">
    <w:p w14:paraId="411F679F" w14:textId="7CFE0548" w:rsidR="000C3722" w:rsidRDefault="000C3722">
      <w:pPr>
        <w:pStyle w:val="Textonotapie"/>
      </w:pPr>
      <w:r>
        <w:rPr>
          <w:rStyle w:val="Refdenotaalpie"/>
        </w:rPr>
        <w:footnoteRef/>
      </w:r>
      <w:r>
        <w:t xml:space="preserve"> </w:t>
      </w:r>
      <w:r>
        <w:fldChar w:fldCharType="begin"/>
      </w:r>
      <w:r w:rsidR="00736260">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64.","noteIndex":31},"citationItems":[{"id":8219,"uris":["http://zotero.org/users/163570/items/FSB4WV2J"],"uri":["http://zotero.org/users/163570/items/FSB4WV2J"],"itemData":{"id":8219,"type":"book","title":"Vigilar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31">
    <w:p w14:paraId="1347050B" w14:textId="4F090DBC" w:rsidR="000C3722" w:rsidRPr="005A04A0" w:rsidRDefault="000C3722" w:rsidP="00724125">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32">
    <w:p w14:paraId="2BD3F0DD" w14:textId="4D6EBF31" w:rsidR="000C3722" w:rsidRDefault="000C3722">
      <w:pPr>
        <w:pStyle w:val="Textonotapie"/>
      </w:pPr>
      <w:r>
        <w:rPr>
          <w:rStyle w:val="Refdenotaalpie"/>
        </w:rPr>
        <w:footnoteRef/>
      </w:r>
      <w:r>
        <w:t xml:space="preserve"> </w:t>
      </w:r>
      <w:r>
        <w:fldChar w:fldCharType="begin"/>
      </w:r>
      <w:r w:rsidR="00736260">
        <w:instrText xml:space="preserve"> ADDIN ZOTERO_ITEM CSL_CITATION {"citationID":"BJMXXsYz","properties":{"formattedCitation":"Calder\\uc0\\u243{}n de la Barca, {\\i{}El indulto general}, vv. 1257\\uc0\\u8211{}1265.","plainCitation":"Calderón de la Barca, El indulto general, vv. 1257–1265.","noteIndex":33},"citationItems":[{"id":8192,"uris":["http://zotero.org/users/163570/items/AY4587QQ"],"uri":["http://zotero.org/users/163570/items/AY4587QQ"],"itemData":{"id":8192,"type":"book","title":"El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9"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5"/>
  </w:num>
  <w:num w:numId="3">
    <w:abstractNumId w:val="16"/>
  </w:num>
  <w:num w:numId="4">
    <w:abstractNumId w:val="11"/>
  </w:num>
  <w:num w:numId="5">
    <w:abstractNumId w:val="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
  </w:num>
  <w:num w:numId="9">
    <w:abstractNumId w:val="10"/>
  </w:num>
  <w:num w:numId="10">
    <w:abstractNumId w:val="9"/>
  </w:num>
  <w:num w:numId="11">
    <w:abstractNumId w:val="1"/>
  </w:num>
  <w:num w:numId="12">
    <w:abstractNumId w:val="17"/>
  </w:num>
  <w:num w:numId="13">
    <w:abstractNumId w:val="6"/>
  </w:num>
  <w:num w:numId="14">
    <w:abstractNumId w:val="14"/>
  </w:num>
  <w:num w:numId="15">
    <w:abstractNumId w:val="8"/>
  </w:num>
  <w:num w:numId="16">
    <w:abstractNumId w:val="12"/>
  </w:num>
  <w:num w:numId="17">
    <w:abstractNumId w:val="13"/>
  </w:num>
  <w:num w:numId="18">
    <w:abstractNumId w:val="2"/>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EAA"/>
    <w:rsid w:val="00004051"/>
    <w:rsid w:val="000068F8"/>
    <w:rsid w:val="000100A2"/>
    <w:rsid w:val="00010BC5"/>
    <w:rsid w:val="00014468"/>
    <w:rsid w:val="00014B86"/>
    <w:rsid w:val="00025326"/>
    <w:rsid w:val="000343F7"/>
    <w:rsid w:val="000372BE"/>
    <w:rsid w:val="000407D1"/>
    <w:rsid w:val="000407D4"/>
    <w:rsid w:val="000424A6"/>
    <w:rsid w:val="000426EF"/>
    <w:rsid w:val="00054D95"/>
    <w:rsid w:val="000602A4"/>
    <w:rsid w:val="00067D02"/>
    <w:rsid w:val="000778C1"/>
    <w:rsid w:val="0008025F"/>
    <w:rsid w:val="00087B96"/>
    <w:rsid w:val="00087BC1"/>
    <w:rsid w:val="000A2FB1"/>
    <w:rsid w:val="000A6590"/>
    <w:rsid w:val="000A7C05"/>
    <w:rsid w:val="000A7CAE"/>
    <w:rsid w:val="000B13F6"/>
    <w:rsid w:val="000B1ACC"/>
    <w:rsid w:val="000B2B81"/>
    <w:rsid w:val="000B4007"/>
    <w:rsid w:val="000C1053"/>
    <w:rsid w:val="000C3630"/>
    <w:rsid w:val="000C3722"/>
    <w:rsid w:val="000C3B4D"/>
    <w:rsid w:val="000C5699"/>
    <w:rsid w:val="000C59B5"/>
    <w:rsid w:val="000D0722"/>
    <w:rsid w:val="000D3181"/>
    <w:rsid w:val="000D7C7C"/>
    <w:rsid w:val="000E2090"/>
    <w:rsid w:val="000E4B53"/>
    <w:rsid w:val="000E7114"/>
    <w:rsid w:val="000F3839"/>
    <w:rsid w:val="000F415D"/>
    <w:rsid w:val="000F59E1"/>
    <w:rsid w:val="0010513E"/>
    <w:rsid w:val="00111F38"/>
    <w:rsid w:val="00112B69"/>
    <w:rsid w:val="00113798"/>
    <w:rsid w:val="00116273"/>
    <w:rsid w:val="00117822"/>
    <w:rsid w:val="00117A9C"/>
    <w:rsid w:val="00122329"/>
    <w:rsid w:val="00127A9C"/>
    <w:rsid w:val="001309A5"/>
    <w:rsid w:val="00131A0A"/>
    <w:rsid w:val="00134E68"/>
    <w:rsid w:val="00137320"/>
    <w:rsid w:val="00142E02"/>
    <w:rsid w:val="001530D7"/>
    <w:rsid w:val="001544D0"/>
    <w:rsid w:val="001573BA"/>
    <w:rsid w:val="0016649F"/>
    <w:rsid w:val="001754C2"/>
    <w:rsid w:val="00191C85"/>
    <w:rsid w:val="00191E14"/>
    <w:rsid w:val="001B2249"/>
    <w:rsid w:val="001B4764"/>
    <w:rsid w:val="001B79A8"/>
    <w:rsid w:val="001D58D7"/>
    <w:rsid w:val="001E15B1"/>
    <w:rsid w:val="001E16B2"/>
    <w:rsid w:val="001E1BEF"/>
    <w:rsid w:val="001E394C"/>
    <w:rsid w:val="0020271B"/>
    <w:rsid w:val="002056AD"/>
    <w:rsid w:val="00220385"/>
    <w:rsid w:val="0023420D"/>
    <w:rsid w:val="002344C8"/>
    <w:rsid w:val="002402EF"/>
    <w:rsid w:val="002452C2"/>
    <w:rsid w:val="00253C78"/>
    <w:rsid w:val="002567E3"/>
    <w:rsid w:val="0026130B"/>
    <w:rsid w:val="0026423E"/>
    <w:rsid w:val="002724A4"/>
    <w:rsid w:val="00273647"/>
    <w:rsid w:val="00285218"/>
    <w:rsid w:val="002858B2"/>
    <w:rsid w:val="002974D2"/>
    <w:rsid w:val="002A1714"/>
    <w:rsid w:val="002A6BED"/>
    <w:rsid w:val="002A6D37"/>
    <w:rsid w:val="002A6F16"/>
    <w:rsid w:val="002A7C29"/>
    <w:rsid w:val="002B6C75"/>
    <w:rsid w:val="002B71A0"/>
    <w:rsid w:val="002C0CF3"/>
    <w:rsid w:val="002C31D4"/>
    <w:rsid w:val="002C36EE"/>
    <w:rsid w:val="002C53AF"/>
    <w:rsid w:val="002D17B5"/>
    <w:rsid w:val="002D344A"/>
    <w:rsid w:val="002D535C"/>
    <w:rsid w:val="002E1398"/>
    <w:rsid w:val="002F071D"/>
    <w:rsid w:val="002F1F37"/>
    <w:rsid w:val="0030389A"/>
    <w:rsid w:val="00311A3C"/>
    <w:rsid w:val="00312258"/>
    <w:rsid w:val="00312A9B"/>
    <w:rsid w:val="00312EF0"/>
    <w:rsid w:val="003142C3"/>
    <w:rsid w:val="00325A34"/>
    <w:rsid w:val="003268DD"/>
    <w:rsid w:val="003307D4"/>
    <w:rsid w:val="00330F81"/>
    <w:rsid w:val="00331B59"/>
    <w:rsid w:val="00336BAF"/>
    <w:rsid w:val="0034339A"/>
    <w:rsid w:val="00353440"/>
    <w:rsid w:val="0036187F"/>
    <w:rsid w:val="00363556"/>
    <w:rsid w:val="00364BD5"/>
    <w:rsid w:val="00364D51"/>
    <w:rsid w:val="00375F6B"/>
    <w:rsid w:val="003767F0"/>
    <w:rsid w:val="00376AB6"/>
    <w:rsid w:val="0038402C"/>
    <w:rsid w:val="00386C4C"/>
    <w:rsid w:val="00394194"/>
    <w:rsid w:val="00395402"/>
    <w:rsid w:val="00397844"/>
    <w:rsid w:val="003A1A84"/>
    <w:rsid w:val="003A2A8E"/>
    <w:rsid w:val="003A4475"/>
    <w:rsid w:val="003A6E80"/>
    <w:rsid w:val="003A739E"/>
    <w:rsid w:val="003B564E"/>
    <w:rsid w:val="003B607F"/>
    <w:rsid w:val="003C401E"/>
    <w:rsid w:val="003D6EAE"/>
    <w:rsid w:val="003E1218"/>
    <w:rsid w:val="003E21B3"/>
    <w:rsid w:val="003E3A62"/>
    <w:rsid w:val="003E52CC"/>
    <w:rsid w:val="003E5E29"/>
    <w:rsid w:val="003E7F64"/>
    <w:rsid w:val="003F0504"/>
    <w:rsid w:val="003F4E71"/>
    <w:rsid w:val="003F7359"/>
    <w:rsid w:val="00403B8A"/>
    <w:rsid w:val="00407BD8"/>
    <w:rsid w:val="004135B7"/>
    <w:rsid w:val="00413C14"/>
    <w:rsid w:val="004142D1"/>
    <w:rsid w:val="00414710"/>
    <w:rsid w:val="00414A82"/>
    <w:rsid w:val="00420BB0"/>
    <w:rsid w:val="004308E1"/>
    <w:rsid w:val="00432FBA"/>
    <w:rsid w:val="00444FE7"/>
    <w:rsid w:val="0045090F"/>
    <w:rsid w:val="00450953"/>
    <w:rsid w:val="00461A7A"/>
    <w:rsid w:val="004628C3"/>
    <w:rsid w:val="00464785"/>
    <w:rsid w:val="00464AD6"/>
    <w:rsid w:val="00466519"/>
    <w:rsid w:val="00466C1B"/>
    <w:rsid w:val="00472190"/>
    <w:rsid w:val="004726B7"/>
    <w:rsid w:val="004735B6"/>
    <w:rsid w:val="0047512A"/>
    <w:rsid w:val="004755E2"/>
    <w:rsid w:val="00484FB4"/>
    <w:rsid w:val="00491039"/>
    <w:rsid w:val="00497A7D"/>
    <w:rsid w:val="004A1A9C"/>
    <w:rsid w:val="004A1C86"/>
    <w:rsid w:val="004B11E4"/>
    <w:rsid w:val="004B3411"/>
    <w:rsid w:val="004B3B57"/>
    <w:rsid w:val="004B419A"/>
    <w:rsid w:val="004C2B66"/>
    <w:rsid w:val="004C2E13"/>
    <w:rsid w:val="004C5C01"/>
    <w:rsid w:val="004D3D2D"/>
    <w:rsid w:val="004E0EEF"/>
    <w:rsid w:val="004E6A40"/>
    <w:rsid w:val="004E6D14"/>
    <w:rsid w:val="004F2730"/>
    <w:rsid w:val="0050477D"/>
    <w:rsid w:val="005166E9"/>
    <w:rsid w:val="00516F63"/>
    <w:rsid w:val="00520895"/>
    <w:rsid w:val="00525F67"/>
    <w:rsid w:val="005306EA"/>
    <w:rsid w:val="00537AE8"/>
    <w:rsid w:val="005433D6"/>
    <w:rsid w:val="00545629"/>
    <w:rsid w:val="00565B64"/>
    <w:rsid w:val="005666D8"/>
    <w:rsid w:val="00567C76"/>
    <w:rsid w:val="00570D59"/>
    <w:rsid w:val="00572F2C"/>
    <w:rsid w:val="005844AE"/>
    <w:rsid w:val="00590FCC"/>
    <w:rsid w:val="00592AD1"/>
    <w:rsid w:val="005935C1"/>
    <w:rsid w:val="00595B83"/>
    <w:rsid w:val="005A12A8"/>
    <w:rsid w:val="005A4693"/>
    <w:rsid w:val="005A53FF"/>
    <w:rsid w:val="005B055C"/>
    <w:rsid w:val="005B2C6F"/>
    <w:rsid w:val="005D3FA1"/>
    <w:rsid w:val="005D46DD"/>
    <w:rsid w:val="005E4727"/>
    <w:rsid w:val="005E6CE4"/>
    <w:rsid w:val="005F1025"/>
    <w:rsid w:val="005F746C"/>
    <w:rsid w:val="0060289C"/>
    <w:rsid w:val="00602CC3"/>
    <w:rsid w:val="00604C80"/>
    <w:rsid w:val="006126EC"/>
    <w:rsid w:val="006128BA"/>
    <w:rsid w:val="00613890"/>
    <w:rsid w:val="00627034"/>
    <w:rsid w:val="00632255"/>
    <w:rsid w:val="00632A67"/>
    <w:rsid w:val="00636256"/>
    <w:rsid w:val="00637FA8"/>
    <w:rsid w:val="00645E07"/>
    <w:rsid w:val="00650140"/>
    <w:rsid w:val="00653A46"/>
    <w:rsid w:val="0066090D"/>
    <w:rsid w:val="00662708"/>
    <w:rsid w:val="00662C12"/>
    <w:rsid w:val="00663420"/>
    <w:rsid w:val="006661B1"/>
    <w:rsid w:val="00671DDC"/>
    <w:rsid w:val="00672F1B"/>
    <w:rsid w:val="006736ED"/>
    <w:rsid w:val="006738AD"/>
    <w:rsid w:val="00677069"/>
    <w:rsid w:val="00683C91"/>
    <w:rsid w:val="00685D0C"/>
    <w:rsid w:val="00693857"/>
    <w:rsid w:val="006A0C4B"/>
    <w:rsid w:val="006A5213"/>
    <w:rsid w:val="006B1DAE"/>
    <w:rsid w:val="006B6E95"/>
    <w:rsid w:val="006D096D"/>
    <w:rsid w:val="006D2579"/>
    <w:rsid w:val="006E2B23"/>
    <w:rsid w:val="006E2B46"/>
    <w:rsid w:val="006E3973"/>
    <w:rsid w:val="006E4054"/>
    <w:rsid w:val="006E7B3C"/>
    <w:rsid w:val="006E7C4B"/>
    <w:rsid w:val="006F0199"/>
    <w:rsid w:val="006F0C1E"/>
    <w:rsid w:val="006F5E81"/>
    <w:rsid w:val="006F7E08"/>
    <w:rsid w:val="0070048C"/>
    <w:rsid w:val="00700CBA"/>
    <w:rsid w:val="00701E31"/>
    <w:rsid w:val="0070628F"/>
    <w:rsid w:val="00707D96"/>
    <w:rsid w:val="007126D3"/>
    <w:rsid w:val="00714366"/>
    <w:rsid w:val="00720197"/>
    <w:rsid w:val="00724125"/>
    <w:rsid w:val="007319E7"/>
    <w:rsid w:val="00734344"/>
    <w:rsid w:val="00734A1B"/>
    <w:rsid w:val="00736260"/>
    <w:rsid w:val="007441DB"/>
    <w:rsid w:val="00762FE7"/>
    <w:rsid w:val="0076306D"/>
    <w:rsid w:val="00767801"/>
    <w:rsid w:val="00773955"/>
    <w:rsid w:val="007812D1"/>
    <w:rsid w:val="0078191E"/>
    <w:rsid w:val="007827E4"/>
    <w:rsid w:val="00784CA8"/>
    <w:rsid w:val="0078764D"/>
    <w:rsid w:val="0079524B"/>
    <w:rsid w:val="007A11BA"/>
    <w:rsid w:val="007B67FC"/>
    <w:rsid w:val="007C0571"/>
    <w:rsid w:val="007C09F3"/>
    <w:rsid w:val="007C516D"/>
    <w:rsid w:val="007C618D"/>
    <w:rsid w:val="007C6342"/>
    <w:rsid w:val="007D1F5B"/>
    <w:rsid w:val="007D4515"/>
    <w:rsid w:val="007D7629"/>
    <w:rsid w:val="007D7D42"/>
    <w:rsid w:val="007E5CB7"/>
    <w:rsid w:val="007E7B8A"/>
    <w:rsid w:val="007F1766"/>
    <w:rsid w:val="00800EE5"/>
    <w:rsid w:val="0080525F"/>
    <w:rsid w:val="00812D7B"/>
    <w:rsid w:val="00816429"/>
    <w:rsid w:val="008210C8"/>
    <w:rsid w:val="008278F3"/>
    <w:rsid w:val="00827997"/>
    <w:rsid w:val="0083002A"/>
    <w:rsid w:val="008303C6"/>
    <w:rsid w:val="00832F46"/>
    <w:rsid w:val="00833341"/>
    <w:rsid w:val="00834591"/>
    <w:rsid w:val="0083523B"/>
    <w:rsid w:val="00836348"/>
    <w:rsid w:val="00840013"/>
    <w:rsid w:val="00840267"/>
    <w:rsid w:val="00840B09"/>
    <w:rsid w:val="00841292"/>
    <w:rsid w:val="00843A2F"/>
    <w:rsid w:val="0084734D"/>
    <w:rsid w:val="00856AF5"/>
    <w:rsid w:val="00860041"/>
    <w:rsid w:val="00860C68"/>
    <w:rsid w:val="00860ED3"/>
    <w:rsid w:val="0086150A"/>
    <w:rsid w:val="00861C4D"/>
    <w:rsid w:val="00862D6F"/>
    <w:rsid w:val="00866F29"/>
    <w:rsid w:val="00867493"/>
    <w:rsid w:val="008704CE"/>
    <w:rsid w:val="008709A7"/>
    <w:rsid w:val="00873BED"/>
    <w:rsid w:val="008758BA"/>
    <w:rsid w:val="00887352"/>
    <w:rsid w:val="00891315"/>
    <w:rsid w:val="00892BDA"/>
    <w:rsid w:val="00892D06"/>
    <w:rsid w:val="00893F33"/>
    <w:rsid w:val="008958FE"/>
    <w:rsid w:val="00897132"/>
    <w:rsid w:val="008979B9"/>
    <w:rsid w:val="008A21B7"/>
    <w:rsid w:val="008B1E67"/>
    <w:rsid w:val="008B7B56"/>
    <w:rsid w:val="008C09F0"/>
    <w:rsid w:val="008C2CAC"/>
    <w:rsid w:val="008D23B4"/>
    <w:rsid w:val="008D5F8A"/>
    <w:rsid w:val="008D71A0"/>
    <w:rsid w:val="008D7B48"/>
    <w:rsid w:val="008E1FFC"/>
    <w:rsid w:val="008F1007"/>
    <w:rsid w:val="008F377B"/>
    <w:rsid w:val="009002A6"/>
    <w:rsid w:val="009045B6"/>
    <w:rsid w:val="009144F1"/>
    <w:rsid w:val="00922CC8"/>
    <w:rsid w:val="00922D6F"/>
    <w:rsid w:val="00923C33"/>
    <w:rsid w:val="00925A8D"/>
    <w:rsid w:val="00925F98"/>
    <w:rsid w:val="009355E1"/>
    <w:rsid w:val="009426D7"/>
    <w:rsid w:val="00950B3C"/>
    <w:rsid w:val="009512D5"/>
    <w:rsid w:val="009600DC"/>
    <w:rsid w:val="00963F3A"/>
    <w:rsid w:val="00967F83"/>
    <w:rsid w:val="009759D1"/>
    <w:rsid w:val="00994EC9"/>
    <w:rsid w:val="00996F83"/>
    <w:rsid w:val="009A5A86"/>
    <w:rsid w:val="009A707D"/>
    <w:rsid w:val="009B147C"/>
    <w:rsid w:val="009B3BC4"/>
    <w:rsid w:val="009C502A"/>
    <w:rsid w:val="009C68C7"/>
    <w:rsid w:val="009C75E0"/>
    <w:rsid w:val="009D1FB7"/>
    <w:rsid w:val="009D49BD"/>
    <w:rsid w:val="009E4287"/>
    <w:rsid w:val="009E48AE"/>
    <w:rsid w:val="009E7C29"/>
    <w:rsid w:val="00A00775"/>
    <w:rsid w:val="00A06B11"/>
    <w:rsid w:val="00A07920"/>
    <w:rsid w:val="00A11957"/>
    <w:rsid w:val="00A277B2"/>
    <w:rsid w:val="00A3241E"/>
    <w:rsid w:val="00A51D3A"/>
    <w:rsid w:val="00A56C33"/>
    <w:rsid w:val="00A60385"/>
    <w:rsid w:val="00A6066F"/>
    <w:rsid w:val="00A65238"/>
    <w:rsid w:val="00A65548"/>
    <w:rsid w:val="00A76EFA"/>
    <w:rsid w:val="00A77E24"/>
    <w:rsid w:val="00A8093A"/>
    <w:rsid w:val="00A90C68"/>
    <w:rsid w:val="00A916BC"/>
    <w:rsid w:val="00A92165"/>
    <w:rsid w:val="00A94EC6"/>
    <w:rsid w:val="00A96226"/>
    <w:rsid w:val="00A97FB0"/>
    <w:rsid w:val="00AA511A"/>
    <w:rsid w:val="00AB12F3"/>
    <w:rsid w:val="00AB236F"/>
    <w:rsid w:val="00AB263E"/>
    <w:rsid w:val="00AB3F05"/>
    <w:rsid w:val="00AB4D57"/>
    <w:rsid w:val="00AB5A40"/>
    <w:rsid w:val="00AD7100"/>
    <w:rsid w:val="00AE3608"/>
    <w:rsid w:val="00AE3978"/>
    <w:rsid w:val="00AF29A2"/>
    <w:rsid w:val="00B011C4"/>
    <w:rsid w:val="00B0400F"/>
    <w:rsid w:val="00B169BD"/>
    <w:rsid w:val="00B20DA2"/>
    <w:rsid w:val="00B2236D"/>
    <w:rsid w:val="00B247B2"/>
    <w:rsid w:val="00B27F31"/>
    <w:rsid w:val="00B30064"/>
    <w:rsid w:val="00B3156A"/>
    <w:rsid w:val="00B32981"/>
    <w:rsid w:val="00B354EA"/>
    <w:rsid w:val="00B402E3"/>
    <w:rsid w:val="00B45562"/>
    <w:rsid w:val="00B5325E"/>
    <w:rsid w:val="00B5399E"/>
    <w:rsid w:val="00B54A63"/>
    <w:rsid w:val="00B6238F"/>
    <w:rsid w:val="00B636AC"/>
    <w:rsid w:val="00B639B7"/>
    <w:rsid w:val="00B63CB5"/>
    <w:rsid w:val="00B64E56"/>
    <w:rsid w:val="00B6589A"/>
    <w:rsid w:val="00B66D94"/>
    <w:rsid w:val="00B674E5"/>
    <w:rsid w:val="00B67F9E"/>
    <w:rsid w:val="00B73D0E"/>
    <w:rsid w:val="00B74F9E"/>
    <w:rsid w:val="00B75E99"/>
    <w:rsid w:val="00B77D1F"/>
    <w:rsid w:val="00B82B4D"/>
    <w:rsid w:val="00B844BB"/>
    <w:rsid w:val="00B90477"/>
    <w:rsid w:val="00B91863"/>
    <w:rsid w:val="00B92233"/>
    <w:rsid w:val="00B931C3"/>
    <w:rsid w:val="00B95181"/>
    <w:rsid w:val="00B9631D"/>
    <w:rsid w:val="00B97549"/>
    <w:rsid w:val="00BA2C62"/>
    <w:rsid w:val="00BA35EF"/>
    <w:rsid w:val="00BB134C"/>
    <w:rsid w:val="00BB67EA"/>
    <w:rsid w:val="00BB7363"/>
    <w:rsid w:val="00BC18E6"/>
    <w:rsid w:val="00BC74C3"/>
    <w:rsid w:val="00BD7E1E"/>
    <w:rsid w:val="00BE1F7D"/>
    <w:rsid w:val="00BE45D0"/>
    <w:rsid w:val="00BE515F"/>
    <w:rsid w:val="00BE5E46"/>
    <w:rsid w:val="00BE7C91"/>
    <w:rsid w:val="00BF3E79"/>
    <w:rsid w:val="00BF4919"/>
    <w:rsid w:val="00BF6A88"/>
    <w:rsid w:val="00BF7F72"/>
    <w:rsid w:val="00C03AC1"/>
    <w:rsid w:val="00C04580"/>
    <w:rsid w:val="00C054C4"/>
    <w:rsid w:val="00C064B8"/>
    <w:rsid w:val="00C125B2"/>
    <w:rsid w:val="00C12723"/>
    <w:rsid w:val="00C13C32"/>
    <w:rsid w:val="00C15674"/>
    <w:rsid w:val="00C170C2"/>
    <w:rsid w:val="00C17FF8"/>
    <w:rsid w:val="00C2352E"/>
    <w:rsid w:val="00C27768"/>
    <w:rsid w:val="00C36C1C"/>
    <w:rsid w:val="00C37831"/>
    <w:rsid w:val="00C46E67"/>
    <w:rsid w:val="00C50376"/>
    <w:rsid w:val="00C50A72"/>
    <w:rsid w:val="00C52CE9"/>
    <w:rsid w:val="00C52EEA"/>
    <w:rsid w:val="00C54BF5"/>
    <w:rsid w:val="00C61EB3"/>
    <w:rsid w:val="00C76389"/>
    <w:rsid w:val="00C76800"/>
    <w:rsid w:val="00C921B6"/>
    <w:rsid w:val="00C976C5"/>
    <w:rsid w:val="00CA595E"/>
    <w:rsid w:val="00CA790F"/>
    <w:rsid w:val="00CB0A86"/>
    <w:rsid w:val="00CB7418"/>
    <w:rsid w:val="00CC6CFE"/>
    <w:rsid w:val="00CC6EA7"/>
    <w:rsid w:val="00CD0B42"/>
    <w:rsid w:val="00CD112A"/>
    <w:rsid w:val="00CD4A8A"/>
    <w:rsid w:val="00CE1562"/>
    <w:rsid w:val="00CE1F32"/>
    <w:rsid w:val="00CF0BD6"/>
    <w:rsid w:val="00CF1AF3"/>
    <w:rsid w:val="00CF2633"/>
    <w:rsid w:val="00CF767A"/>
    <w:rsid w:val="00D0522D"/>
    <w:rsid w:val="00D10DAC"/>
    <w:rsid w:val="00D10FC2"/>
    <w:rsid w:val="00D112FD"/>
    <w:rsid w:val="00D1457C"/>
    <w:rsid w:val="00D14DD0"/>
    <w:rsid w:val="00D15002"/>
    <w:rsid w:val="00D17382"/>
    <w:rsid w:val="00D215CF"/>
    <w:rsid w:val="00D22DD7"/>
    <w:rsid w:val="00D31176"/>
    <w:rsid w:val="00D31A81"/>
    <w:rsid w:val="00D333CD"/>
    <w:rsid w:val="00D33C44"/>
    <w:rsid w:val="00D3631A"/>
    <w:rsid w:val="00D37198"/>
    <w:rsid w:val="00D4023B"/>
    <w:rsid w:val="00D45972"/>
    <w:rsid w:val="00D46BE8"/>
    <w:rsid w:val="00D5570B"/>
    <w:rsid w:val="00D60460"/>
    <w:rsid w:val="00D72814"/>
    <w:rsid w:val="00D7332C"/>
    <w:rsid w:val="00D93561"/>
    <w:rsid w:val="00D9361C"/>
    <w:rsid w:val="00D959A8"/>
    <w:rsid w:val="00D976B0"/>
    <w:rsid w:val="00DA2B30"/>
    <w:rsid w:val="00DB06F0"/>
    <w:rsid w:val="00DB2964"/>
    <w:rsid w:val="00DB33BE"/>
    <w:rsid w:val="00DB7584"/>
    <w:rsid w:val="00DC2BC8"/>
    <w:rsid w:val="00DE0693"/>
    <w:rsid w:val="00DE1BA5"/>
    <w:rsid w:val="00DE2DBC"/>
    <w:rsid w:val="00DF146F"/>
    <w:rsid w:val="00DF1E2D"/>
    <w:rsid w:val="00DF40D9"/>
    <w:rsid w:val="00DF48C3"/>
    <w:rsid w:val="00DF4FE9"/>
    <w:rsid w:val="00E016C9"/>
    <w:rsid w:val="00E02848"/>
    <w:rsid w:val="00E04A38"/>
    <w:rsid w:val="00E25D17"/>
    <w:rsid w:val="00E26E5A"/>
    <w:rsid w:val="00E335DE"/>
    <w:rsid w:val="00E44201"/>
    <w:rsid w:val="00E44EC0"/>
    <w:rsid w:val="00E453AC"/>
    <w:rsid w:val="00E45B98"/>
    <w:rsid w:val="00E46A1D"/>
    <w:rsid w:val="00E517E4"/>
    <w:rsid w:val="00E673DE"/>
    <w:rsid w:val="00E73C16"/>
    <w:rsid w:val="00E8285F"/>
    <w:rsid w:val="00E857BD"/>
    <w:rsid w:val="00E973D3"/>
    <w:rsid w:val="00EA3413"/>
    <w:rsid w:val="00EB3702"/>
    <w:rsid w:val="00EB6DE4"/>
    <w:rsid w:val="00EC4EBB"/>
    <w:rsid w:val="00EC55B0"/>
    <w:rsid w:val="00EF1C63"/>
    <w:rsid w:val="00EF1D5B"/>
    <w:rsid w:val="00EF718A"/>
    <w:rsid w:val="00F0198D"/>
    <w:rsid w:val="00F06033"/>
    <w:rsid w:val="00F06C03"/>
    <w:rsid w:val="00F14FA0"/>
    <w:rsid w:val="00F259B1"/>
    <w:rsid w:val="00F25F79"/>
    <w:rsid w:val="00F273C6"/>
    <w:rsid w:val="00F277E6"/>
    <w:rsid w:val="00F27FDB"/>
    <w:rsid w:val="00F30C88"/>
    <w:rsid w:val="00F3353F"/>
    <w:rsid w:val="00F35E58"/>
    <w:rsid w:val="00F41955"/>
    <w:rsid w:val="00F42389"/>
    <w:rsid w:val="00F459DA"/>
    <w:rsid w:val="00F461CA"/>
    <w:rsid w:val="00F5443E"/>
    <w:rsid w:val="00F55CBD"/>
    <w:rsid w:val="00F56205"/>
    <w:rsid w:val="00F56304"/>
    <w:rsid w:val="00F60E2A"/>
    <w:rsid w:val="00F65812"/>
    <w:rsid w:val="00F757CA"/>
    <w:rsid w:val="00F77026"/>
    <w:rsid w:val="00F80BE0"/>
    <w:rsid w:val="00F81B0B"/>
    <w:rsid w:val="00F869B3"/>
    <w:rsid w:val="00FA6731"/>
    <w:rsid w:val="00FB5CBC"/>
    <w:rsid w:val="00FC3356"/>
    <w:rsid w:val="00FD0EC4"/>
    <w:rsid w:val="00FD268F"/>
    <w:rsid w:val="00FD6E7C"/>
    <w:rsid w:val="00FE426A"/>
    <w:rsid w:val="00FE642D"/>
    <w:rsid w:val="00FF0228"/>
    <w:rsid w:val="00FF087F"/>
    <w:rsid w:val="00FF3FBE"/>
    <w:rsid w:val="00FF5759"/>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58D5F69F-193B-48D1-826B-289263EB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630"/>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729BAA2-4F9A-430F-89D8-552EB4DC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8</Pages>
  <Words>2291</Words>
  <Characters>12606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104</cp:revision>
  <dcterms:created xsi:type="dcterms:W3CDTF">2018-05-10T18:12:00Z</dcterms:created>
  <dcterms:modified xsi:type="dcterms:W3CDTF">2018-05-16T17:42:00Z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id="TJyNJIKT"/&gt;&lt;style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