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B9631D" w:rsidRDefault="00B9631D" w:rsidP="00B9631D">
      <w:pPr>
        <w:keepNext/>
        <w:keepLines/>
        <w:spacing w:before="240"/>
        <w:ind w:firstLine="0"/>
        <w:jc w:val="center"/>
        <w:outlineLvl w:val="0"/>
        <w:rPr>
          <w:rFonts w:eastAsiaTheme="majorEastAsia" w:cstheme="majorBidi"/>
          <w:b/>
          <w:smallCaps/>
          <w:szCs w:val="32"/>
        </w:rPr>
      </w:pPr>
      <w:bookmarkStart w:id="0" w:name="_Toc508040699"/>
      <w:r w:rsidRPr="00B9631D">
        <w:rPr>
          <w:rFonts w:eastAsiaTheme="majorEastAsia" w:cstheme="majorBidi"/>
          <w:b/>
          <w:smallCaps/>
          <w:szCs w:val="32"/>
        </w:rPr>
        <w:t xml:space="preserve">Capítulo I. El concepto del perdón </w:t>
      </w:r>
      <w:r w:rsidR="008B7B56">
        <w:rPr>
          <w:rFonts w:eastAsiaTheme="majorEastAsia" w:cstheme="majorBidi"/>
          <w:b/>
          <w:smallCaps/>
          <w:szCs w:val="32"/>
        </w:rPr>
        <w:t xml:space="preserve">real </w:t>
      </w:r>
      <w:bookmarkEnd w:id="0"/>
      <w:r w:rsidR="008B7B56">
        <w:rPr>
          <w:rFonts w:eastAsiaTheme="majorEastAsia" w:cstheme="majorBidi"/>
          <w:b/>
          <w:smallCaps/>
          <w:szCs w:val="32"/>
        </w:rPr>
        <w:t>en la tradición jurídic</w:t>
      </w:r>
      <w:r w:rsidR="00AD04AD">
        <w:rPr>
          <w:rFonts w:eastAsiaTheme="majorEastAsia" w:cstheme="majorBidi"/>
          <w:b/>
          <w:smallCaps/>
          <w:szCs w:val="32"/>
        </w:rPr>
        <w:t>o-política</w:t>
      </w:r>
      <w:r w:rsidR="008B7B56">
        <w:rPr>
          <w:rFonts w:eastAsiaTheme="majorEastAsia" w:cstheme="majorBidi"/>
          <w:b/>
          <w:smallCaps/>
          <w:szCs w:val="32"/>
        </w:rPr>
        <w:t xml:space="preserve"> </w:t>
      </w:r>
      <w:r w:rsidR="008E1FFC">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84C0B17"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 Más que un conocimiento de los “códigos de la élite”, acciones como las ejecutadas por los sublevados de Cartagena </w:t>
      </w:r>
      <w:r w:rsidR="00D0522D">
        <w:t>fueron</w:t>
      </w:r>
      <w:r w:rsidR="00BF7F72">
        <w:t xml:space="preserve"> 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2"/>
      </w:r>
    </w:p>
    <w:p w14:paraId="4C327C6F" w14:textId="01FC8AB2" w:rsidR="00B63CB5" w:rsidRPr="009600DC" w:rsidRDefault="002402EF" w:rsidP="00F42389">
      <w:r>
        <w:t xml:space="preserve">Este capítulo estará dedicado a la revisión de los patrones discursivos, simbólicos y doctrinales que construyeron el sentido del indulto desde la Baja Edad Media, pasando por </w:t>
      </w:r>
      <w:r>
        <w:lastRenderedPageBreak/>
        <w:t>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3"/>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4"/>
      </w:r>
      <w:r w:rsidR="00F42389">
        <w:t xml:space="preserve"> por lo tanto, es en la lógica compleja que justificaba divina y terrenalmente el perdón que se encuentra este enlace entre la autoridad y la clemencia</w:t>
      </w:r>
      <w:r w:rsidR="002974D2">
        <w:t xml:space="preserve"> que posteriormente puede verse manifestado en las peticiones y concesiones de indulto durante el siglo XVIII del Nuevo Reino de Granada.</w:t>
      </w:r>
    </w:p>
    <w:p w14:paraId="44A21B2F" w14:textId="38855BE1" w:rsidR="00AB4794" w:rsidRPr="00AB4794" w:rsidRDefault="00AB4794" w:rsidP="00AB4794">
      <w:pPr>
        <w:pStyle w:val="Ttulo2"/>
        <w:ind w:firstLine="0"/>
        <w:rPr>
          <w:highlight w:val="yellow"/>
        </w:rPr>
      </w:pPr>
    </w:p>
    <w:p w14:paraId="08E0D98D" w14:textId="77777777" w:rsidR="00FF75DB" w:rsidRDefault="00FF75DB" w:rsidP="002451A7">
      <w:pPr>
        <w:pStyle w:val="Ttulo2"/>
        <w:numPr>
          <w:ilvl w:val="1"/>
          <w:numId w:val="20"/>
        </w:numPr>
        <w:rPr>
          <w:highlight w:val="yellow"/>
        </w:rPr>
      </w:pPr>
      <w:r>
        <w:rPr>
          <w:highlight w:val="yellow"/>
        </w:rPr>
        <w:t xml:space="preserve"> El perdón como resultado virtuoso</w:t>
      </w:r>
    </w:p>
    <w:p w14:paraId="15AD3170" w14:textId="77777777" w:rsidR="0024383C" w:rsidRDefault="0024383C" w:rsidP="007F24F4"/>
    <w:p w14:paraId="01D9F703" w14:textId="1D285C14" w:rsidR="00B75D5F" w:rsidRDefault="00DB4B8E" w:rsidP="002A3D12">
      <w:r>
        <w:t>Para comprender el sentido amplio del perdón en el antiguo régimen conviene analiz</w:t>
      </w:r>
      <w:r w:rsidR="0026170B">
        <w:t xml:space="preserve">arlo </w:t>
      </w:r>
      <w:r w:rsidR="00FF75DB">
        <w:t>desde</w:t>
      </w:r>
      <w:r w:rsidR="00F4170E">
        <w:t xml:space="preserve"> la </w:t>
      </w:r>
      <w:r w:rsidR="00FF75DB">
        <w:t>lógica</w:t>
      </w:r>
      <w:r w:rsidR="00F4170E">
        <w:t xml:space="preserve"> </w:t>
      </w:r>
      <w:r w:rsidR="009E6782">
        <w:t>del poder político</w:t>
      </w:r>
      <w:r w:rsidR="00FF75DB">
        <w:t xml:space="preserve"> del antiguo régimen que</w:t>
      </w:r>
      <w:r w:rsidR="00F4170E">
        <w:t xml:space="preserve"> replicaba las virtudes cristianas como </w:t>
      </w:r>
      <w:r w:rsidR="009E6782">
        <w:t>parte del ejercicio de la potestad</w:t>
      </w:r>
      <w:r w:rsidR="00FF75DB">
        <w:t>, las cuales no se limitaban al fuero interno del soberano en tanto se evidenciaban en la pragmática del poder regio</w:t>
      </w:r>
      <w:r w:rsidR="00F4170E">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antimaquiavélico</w:t>
      </w:r>
      <w:r w:rsidR="00033206">
        <w:t>”</w:t>
      </w:r>
      <w:r w:rsidR="00B75D5F">
        <w:rPr>
          <w:rStyle w:val="Refdenotaalpie"/>
        </w:rPr>
        <w:footnoteReference w:id="15"/>
      </w:r>
      <w:r w:rsidR="0062417A">
        <w:t xml:space="preserve"> afirmó:</w:t>
      </w:r>
      <w:r w:rsidR="001E0330">
        <w:t xml:space="preserve"> “El ser y poder del Rey, es una participacion del ser y poder divino: y assi re</w:t>
      </w:r>
      <w:r w:rsidR="00EB3385">
        <w:t>q</w:t>
      </w:r>
      <w:r w:rsidR="001E0330">
        <w:t>uiere favor del Cielo, y divino, para poderle dignamente sustentar.”</w:t>
      </w:r>
      <w:r w:rsidR="001E0330">
        <w:rPr>
          <w:rStyle w:val="Refdenotaalpie"/>
        </w:rPr>
        <w:footnoteReference w:id="16"/>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de cierto modo es incomprensible la figura de un </w:t>
      </w:r>
      <w:r w:rsidR="00EB3385">
        <w:lastRenderedPageBreak/>
        <w:t xml:space="preserve">príncipe cristiano carente de virtudes, en </w:t>
      </w:r>
      <w:r w:rsidR="00126935">
        <w:t>cuyo</w:t>
      </w:r>
      <w:r w:rsidR="00EB3385">
        <w:t xml:space="preserve"> caso ya no sería considerado rey sino tirano.</w:t>
      </w:r>
      <w:r w:rsidR="00C24EFF">
        <w:rPr>
          <w:rStyle w:val="Refdenotaalpie"/>
        </w:rPr>
        <w:footnoteReference w:id="17"/>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18"/>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19"/>
      </w:r>
    </w:p>
    <w:p w14:paraId="3D7AB8BC" w14:textId="60832674" w:rsidR="007A7D17"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justicia ya que para que hubiese indulto se presumía culpabilidad (Rodríguez Flores) toda vez que para los casos en los que se hubiese castigado por un mal proceso, cohecho, maleficencia o cualquier otra injusticia, se podía recurrir a los procedimientos que para ello disponía el derecho como las apelaciones o las súplicas (Curia philipica, </w:t>
      </w:r>
      <w:r w:rsidR="004D05B9">
        <w:rPr>
          <w:i/>
        </w:rPr>
        <w:t>restitutio</w:t>
      </w:r>
      <w:r w:rsidR="004D05B9">
        <w:t xml:space="preserve">). El perdón servía a la justicia si respondía a la gracia o la clemencia. </w:t>
      </w:r>
      <w:bookmarkStart w:id="1" w:name="_GoBack"/>
      <w:bookmarkEnd w:id="1"/>
    </w:p>
    <w:p w14:paraId="1F67F723" w14:textId="77777777" w:rsidR="008C7F0E" w:rsidRDefault="008C7F0E" w:rsidP="002A3D12"/>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20"/>
      </w:r>
      <w:r w:rsidR="00302F7B">
        <w:t xml:space="preserve"> </w:t>
      </w:r>
      <w:r w:rsidR="00C54558">
        <w:t>En este sentido, trascendía</w:t>
      </w:r>
      <w:r w:rsidR="00302F7B">
        <w:t xml:space="preserve"> los límites ordinarios de la justicia y el gobierno pero lo hacían con la finalidad de sublimar el </w:t>
      </w:r>
      <w:r w:rsidR="00302F7B">
        <w:lastRenderedPageBreak/>
        <w:t>orden.</w:t>
      </w:r>
      <w:r w:rsidR="00302F7B">
        <w:rPr>
          <w:rStyle w:val="Refdenotaalpie"/>
        </w:rPr>
        <w:footnoteReference w:id="21"/>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22"/>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23"/>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24"/>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25"/>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26"/>
      </w:r>
      <w:r w:rsidR="0022561B">
        <w:t xml:space="preserve"> El exceso de gracia, como lo identificaron los hombres de la </w:t>
      </w:r>
      <w:r w:rsidR="0022561B">
        <w:lastRenderedPageBreak/>
        <w:t>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27"/>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28"/>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29"/>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30"/>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 xml:space="preserve">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w:t>
      </w:r>
      <w:r>
        <w:lastRenderedPageBreak/>
        <w:t>conservar el orden de la república. Esta función armonizadora de la gracia representaba una “realización de la justicia” mediante la acción al margen del derecho que redundaba en la utilidad pública.</w:t>
      </w:r>
      <w:r>
        <w:rPr>
          <w:rStyle w:val="Refdenotaalpie"/>
        </w:rPr>
        <w:footnoteReference w:id="31"/>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32"/>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33"/>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34"/>
      </w:r>
    </w:p>
    <w:p w14:paraId="63D8AD71" w14:textId="337EA6B8" w:rsidR="00C001C4" w:rsidRDefault="00BC4CEA" w:rsidP="004C226D">
      <w:pPr>
        <w:rPr>
          <w:lang w:eastAsia="es-ES"/>
        </w:rPr>
      </w:pPr>
      <w:r>
        <w:rPr>
          <w:lang w:eastAsia="es-ES"/>
        </w:rPr>
        <w:t>La clemencia era otra virtud que se consideraba necesaria para que el monarca atrajera el amor de sus vasallos.</w:t>
      </w:r>
      <w:r>
        <w:rPr>
          <w:rStyle w:val="Refdenotaalpie"/>
          <w:lang w:eastAsia="es-ES"/>
        </w:rPr>
        <w:footnoteReference w:id="35"/>
      </w:r>
      <w:r w:rsidR="00E20BD7">
        <w:rPr>
          <w:lang w:eastAsia="es-ES"/>
        </w:rPr>
        <w:t xml:space="preserve"> La definición canónica d</w:t>
      </w:r>
      <w:r w:rsidR="00682D0E">
        <w:rPr>
          <w:lang w:eastAsia="es-ES"/>
        </w:rPr>
        <w:t>e esta virtud</w:t>
      </w:r>
      <w:r w:rsidR="00E20BD7">
        <w:rPr>
          <w:lang w:eastAsia="es-ES"/>
        </w:rPr>
        <w:t xml:space="preserve"> fue tomada del libro </w:t>
      </w:r>
      <w:r w:rsidR="00E20BD7">
        <w:rPr>
          <w:i/>
          <w:lang w:eastAsia="es-ES"/>
        </w:rPr>
        <w:t>de clementia</w:t>
      </w:r>
      <w:r w:rsidR="00E20BD7">
        <w:rPr>
          <w:lang w:eastAsia="es-ES"/>
        </w:rPr>
        <w:t xml:space="preserve"> de S</w:t>
      </w:r>
      <w:r w:rsidR="00682D0E">
        <w:rPr>
          <w:lang w:eastAsia="es-ES"/>
        </w:rPr>
        <w:t>éneca</w:t>
      </w:r>
      <w:r w:rsidR="003145D6">
        <w:rPr>
          <w:lang w:eastAsia="es-ES"/>
        </w:rPr>
        <w:t>:</w:t>
      </w:r>
      <w:r w:rsidR="006D2682">
        <w:rPr>
          <w:rStyle w:val="Refdenotaalpie"/>
          <w:lang w:eastAsia="es-ES"/>
        </w:rPr>
        <w:footnoteReference w:id="36"/>
      </w:r>
      <w:r w:rsidR="003145D6">
        <w:rPr>
          <w:lang w:eastAsia="es-ES"/>
        </w:rPr>
        <w:t xml:space="preserve"> </w:t>
      </w:r>
      <w:r w:rsidR="003145D6">
        <w:t>“</w:t>
      </w:r>
      <w:r w:rsidR="003145D6" w:rsidRPr="003145D6">
        <w:rPr>
          <w:i/>
        </w:rPr>
        <w:t>Clementia est temperantia animi in potestate ulciscendi vel lenitas superioris adversus inferiorem in constituendis poenis</w:t>
      </w:r>
      <w:r w:rsidR="003145D6">
        <w:t>.”</w:t>
      </w:r>
      <w:r w:rsidR="002E15D5">
        <w:t xml:space="preserve"> Una posible traducción de la </w:t>
      </w:r>
      <w:r w:rsidR="002E15D5">
        <w:lastRenderedPageBreak/>
        <w:t>definición es:</w:t>
      </w:r>
      <w:r w:rsidR="003145D6">
        <w:t xml:space="preserve"> “La clemencia es la moderación del ánimo para eje</w:t>
      </w:r>
      <w:r w:rsidR="004F2AE6">
        <w:t>rcer la potestad de venganza</w:t>
      </w:r>
      <w:r w:rsidR="003145D6">
        <w:t>, o la blandura del superior respecto al inferior en la determinación de una pena.”</w:t>
      </w:r>
      <w:r w:rsidR="00682D0E">
        <w:rPr>
          <w:rStyle w:val="Refdenotaalpie"/>
          <w:lang w:eastAsia="es-ES"/>
        </w:rPr>
        <w:footnoteReference w:id="37"/>
      </w:r>
      <w:r w:rsidR="008072E6">
        <w:t xml:space="preserve"> </w:t>
      </w:r>
      <w:r w:rsidR="002E15D5">
        <w:t>La relevancia de esta definición se basa en la representación de varios sentidos fundamentales para la comprensión de la clemencia como una virtud de los príncipes, diferente a la mansedumbre e incluso a la misericordia, virtudes compartidas por todos l</w:t>
      </w:r>
      <w:r w:rsidR="000C1EEA">
        <w:t>os hombres. La misericordia era símil de clemencia en el príncipe puesto que éste tenía la facultad de castigar, la mansedumbre en cambio representaba el control de la ira con el prójim</w:t>
      </w:r>
      <w:r w:rsidR="00503A44">
        <w:t>o, por lo cual Santo Tomás decía que “la mansedumbre y la clemencia no eran del todo iguales.”</w:t>
      </w:r>
      <w:r w:rsidR="00751AF7" w:rsidRPr="00E40FE9">
        <w:rPr>
          <w:rStyle w:val="Refdenotaalpie"/>
        </w:rPr>
        <w:footnoteReference w:id="38"/>
      </w:r>
      <w:r w:rsidR="004C226D">
        <w:rPr>
          <w:lang w:eastAsia="es-ES"/>
        </w:rPr>
        <w:t xml:space="preserve"> Por esta razón se consideraba a la clemencia como una virtud superior del soberano, digna de alabanza como señalaba Gregorio López.</w:t>
      </w:r>
      <w:r w:rsidR="004C226D">
        <w:rPr>
          <w:rStyle w:val="Refdenotaalpie"/>
          <w:lang w:eastAsia="es-ES"/>
        </w:rPr>
        <w:footnoteReference w:id="39"/>
      </w:r>
      <w:r w:rsidR="004C226D">
        <w:rPr>
          <w:lang w:eastAsia="es-ES"/>
        </w:rPr>
        <w:t xml:space="preserve"> </w:t>
      </w:r>
    </w:p>
    <w:p w14:paraId="7A43A259" w14:textId="77777777" w:rsidR="00065F91" w:rsidRDefault="00065F91" w:rsidP="004C226D">
      <w:pPr>
        <w:rPr>
          <w:lang w:eastAsia="es-ES"/>
        </w:rPr>
      </w:pPr>
    </w:p>
    <w:p w14:paraId="0FB8193C" w14:textId="77777777" w:rsidR="00065F91" w:rsidRPr="004C226D" w:rsidRDefault="00065F91" w:rsidP="004C226D">
      <w:pPr>
        <w:rPr>
          <w:lang w:eastAsia="es-ES"/>
        </w:rPr>
      </w:pPr>
    </w:p>
    <w:p w14:paraId="68123670" w14:textId="5D85B82A" w:rsidR="00B65C1E" w:rsidRDefault="006B6B52" w:rsidP="00507B87">
      <w:pPr>
        <w:pStyle w:val="Prrafodelista"/>
        <w:numPr>
          <w:ilvl w:val="0"/>
          <w:numId w:val="22"/>
        </w:numPr>
        <w:rPr>
          <w:rFonts w:eastAsiaTheme="majorEastAsia" w:cstheme="majorBidi"/>
          <w:b/>
        </w:rPr>
      </w:pPr>
      <w:r>
        <w:rPr>
          <w:rFonts w:eastAsiaTheme="majorEastAsia" w:cstheme="majorBidi"/>
          <w:b/>
        </w:rPr>
        <w:t>Preeminencia del orden teológico-religioso</w:t>
      </w:r>
    </w:p>
    <w:p w14:paraId="7E03E21F" w14:textId="1B44F134" w:rsidR="00B77B75" w:rsidRPr="009577FC" w:rsidRDefault="00A37ED6" w:rsidP="00507B87">
      <w:r>
        <w:t xml:space="preserve">Cuando nos referimos a la preeminencia de un orden teológico-religioso apelamos </w:t>
      </w:r>
      <w:r w:rsidR="00F2452A">
        <w:t xml:space="preserve">a la concepción de una justicia como expresión de la voluntad divina, declaración del orden eterno e </w:t>
      </w:r>
      <w:r w:rsidR="00005E55">
        <w:t>inmutable</w:t>
      </w:r>
      <w:r w:rsidR="00F2452A">
        <w:t xml:space="preserve"> dado desde la creación, y a</w:t>
      </w:r>
      <w:r w:rsidR="00743A8C">
        <w:t xml:space="preserve"> la dialéctica </w:t>
      </w:r>
      <w:r w:rsidR="00F2452A">
        <w:t xml:space="preserve">del fuero </w:t>
      </w:r>
      <w:r w:rsidR="00453281">
        <w:t xml:space="preserve">interno </w:t>
      </w:r>
      <w:r w:rsidR="00743A8C">
        <w:t>y externo, entendido como lugar</w:t>
      </w:r>
      <w:r w:rsidR="00F2452A">
        <w:t xml:space="preserve"> tanto físico como simbólico en el cual se </w:t>
      </w:r>
      <w:r w:rsidR="006B20EE">
        <w:t>ejercía</w:t>
      </w:r>
      <w:r w:rsidR="00F2452A">
        <w:t xml:space="preserve"> la justicia como juicio.</w:t>
      </w:r>
      <w:r w:rsidR="00F2452A">
        <w:rPr>
          <w:rStyle w:val="Refdenotaalpie"/>
        </w:rPr>
        <w:footnoteReference w:id="40"/>
      </w:r>
      <w:r w:rsidR="006A7CFF">
        <w:t xml:space="preserve"> </w:t>
      </w:r>
      <w:r w:rsidR="008A2727" w:rsidRPr="000266F2">
        <w:rPr>
          <w:highlight w:val="yellow"/>
        </w:rPr>
        <w:t xml:space="preserve">Este orden daba sentido tanto a la comunidad cristiana, al poder monárquico, a los </w:t>
      </w:r>
      <w:r w:rsidR="000D77E0" w:rsidRPr="000266F2">
        <w:rPr>
          <w:highlight w:val="yellow"/>
        </w:rPr>
        <w:t>poderes</w:t>
      </w:r>
      <w:r w:rsidR="00005E55" w:rsidRPr="000266F2">
        <w:rPr>
          <w:highlight w:val="yellow"/>
        </w:rPr>
        <w:t xml:space="preserve"> e incluso a</w:t>
      </w:r>
      <w:r w:rsidR="00E6584F" w:rsidRPr="000266F2">
        <w:rPr>
          <w:highlight w:val="yellow"/>
        </w:rPr>
        <w:t xml:space="preserve"> los gentiles; el derecho, era la forma como dicho orden se develaba, como se entendía su funcionamiento. </w:t>
      </w:r>
      <w:r w:rsidR="009577FC" w:rsidRPr="000266F2">
        <w:rPr>
          <w:highlight w:val="yellow"/>
        </w:rPr>
        <w:t xml:space="preserve">Los derechos natural y divino comprendían el orden jurídico-moral entregado directamente por Dios a los hombres, no sujeto a arbitrio individual y </w:t>
      </w:r>
      <w:r w:rsidR="009577FC" w:rsidRPr="000266F2">
        <w:rPr>
          <w:highlight w:val="yellow"/>
        </w:rPr>
        <w:lastRenderedPageBreak/>
        <w:t>colectivo; de allí se desprendían los demás derechos, de gentes (construido por lo hombres para su convivencia), canónico (creado para la comunidad cristiana), eclesiástico, civil, municipal, señorial, entre otros</w:t>
      </w:r>
      <w:r w:rsidR="00EE7820">
        <w:rPr>
          <w:rStyle w:val="Refdenotaalpie"/>
        </w:rPr>
        <w:footnoteReference w:id="41"/>
      </w:r>
      <w:r w:rsidR="009577FC">
        <w:t>. Toda normatividad, en este sentido, era una interpretación sabia del orden en su estado simple (</w:t>
      </w:r>
      <w:r w:rsidR="009577FC">
        <w:rPr>
          <w:i/>
        </w:rPr>
        <w:t>ruda equidad</w:t>
      </w:r>
      <w:r w:rsidR="009577FC">
        <w:t>), que no era otra cosa que la “naturaleza”</w:t>
      </w:r>
      <w:r w:rsidR="00BB22D0">
        <w:t xml:space="preserve"> de las cosa</w:t>
      </w:r>
      <w:r w:rsidR="0024234E">
        <w:t>s</w:t>
      </w:r>
      <w:r w:rsidR="00BB22D0">
        <w:t>; por lo cual,</w:t>
      </w:r>
      <w:r w:rsidR="009577FC">
        <w:t xml:space="preserve"> </w:t>
      </w:r>
      <w:r w:rsidR="00D80C09">
        <w:t xml:space="preserve">se comprendía que </w:t>
      </w:r>
      <w:r w:rsidR="009577FC">
        <w:t xml:space="preserve">el derecho tenía </w:t>
      </w:r>
      <w:r w:rsidR="00D80C09">
        <w:t>“</w:t>
      </w:r>
      <w:r w:rsidR="009577FC" w:rsidRPr="00D80C09">
        <w:t>onticidad</w:t>
      </w:r>
      <w:r w:rsidR="00D80C09">
        <w:t>”</w:t>
      </w:r>
      <w:r w:rsidR="00EC1C52">
        <w:t xml:space="preserve"> y no era el resultado de la mera inventiva del legislador</w:t>
      </w:r>
      <w:r w:rsidR="009577FC">
        <w:t>.</w:t>
      </w:r>
      <w:r w:rsidR="009577FC">
        <w:rPr>
          <w:rStyle w:val="Refdenotaalpie"/>
        </w:rPr>
        <w:footnoteReference w:id="42"/>
      </w:r>
    </w:p>
    <w:p w14:paraId="46650C21" w14:textId="77777777" w:rsidR="000A1CF6" w:rsidRDefault="000A1CF6" w:rsidP="00507B87"/>
    <w:p w14:paraId="50C90F27" w14:textId="5592B74D" w:rsidR="00FD6312" w:rsidRDefault="006E24E4" w:rsidP="00507B87">
      <w:r>
        <w:t xml:space="preserve">La primacía de la divinidad </w:t>
      </w:r>
      <w:r w:rsidRPr="00912BF7">
        <w:rPr>
          <w:highlight w:val="yellow"/>
        </w:rPr>
        <w:t>se dejaba explícita</w:t>
      </w:r>
      <w:r>
        <w:t xml:space="preserve"> en la mayoría de obras doctrinales y legislativas (aún la constitución vigente colombiana declara a Dios como su protector). La más editada obra del orbe indiano</w:t>
      </w:r>
      <w:r w:rsidR="006409A3">
        <w:rPr>
          <w:rStyle w:val="Refdenotaalpie"/>
        </w:rPr>
        <w:footnoteReference w:id="43"/>
      </w:r>
      <w:r>
        <w:t xml:space="preserve">, la </w:t>
      </w:r>
      <w:r>
        <w:rPr>
          <w:i/>
        </w:rPr>
        <w:t>Curia Philipica</w:t>
      </w:r>
      <w:r>
        <w:t xml:space="preserve"> de Hevia Bolaños, iniciaba su tratado diciendo:</w:t>
      </w:r>
    </w:p>
    <w:p w14:paraId="23F59A90" w14:textId="3AF5AB54" w:rsidR="006E24E4" w:rsidRPr="006E24E4" w:rsidRDefault="006E24E4" w:rsidP="006E24E4">
      <w:pPr>
        <w:pStyle w:val="Cita"/>
      </w:pPr>
      <w:r>
        <w:t>Dios nuestro Señor es principio, medio y fin de todas las cosas, sin el qual ninguna puede ser hecha. Y así el que alguna hubiere de hacer, primero debe invocar su Santo Nombre (como le invoco) según lo hizo, y ordena el sapientísimo Rey Don Alonso el Nono, en el principio del Prólogo de sus célebre, y famosas leyes de las siete Partidas.</w:t>
      </w:r>
      <w:r>
        <w:rPr>
          <w:rStyle w:val="Refdenotaalpie"/>
        </w:rPr>
        <w:footnoteReference w:id="44"/>
      </w:r>
    </w:p>
    <w:p w14:paraId="786B8B39" w14:textId="77777777" w:rsidR="00FD6312" w:rsidRDefault="00FD6312" w:rsidP="00507B87"/>
    <w:p w14:paraId="7BBFB11F" w14:textId="77777777" w:rsidR="006E24E4" w:rsidRPr="00FD6312" w:rsidRDefault="006E24E4" w:rsidP="00507B87"/>
    <w:p w14:paraId="6DF70A82" w14:textId="1528F45D" w:rsidR="00507B87" w:rsidRPr="00507B87" w:rsidRDefault="00507B87" w:rsidP="00507B87">
      <w:r w:rsidRPr="00507B87">
        <w:rPr>
          <w:highlight w:val="yellow"/>
        </w:rPr>
        <w:t>Solórzano Pereira decía respecto a si era justo la posesión española de las indias: “si Dios es dueño de todo, está en todo, y lo govierna todo, como es de Fé […] ninguna cosa hay mas conforme á justicia, y derecho, que seguir lo que su Divina Magestad con su gran Ciencia, y Providencia ordena, y dispone.”</w:t>
      </w:r>
      <w:r w:rsidRPr="00507B87">
        <w:rPr>
          <w:rStyle w:val="Refdenotaalpie"/>
          <w:highlight w:val="yellow"/>
        </w:rPr>
        <w:footnoteReference w:id="45"/>
      </w:r>
      <w:r w:rsidR="00375EDA">
        <w:t xml:space="preserve"> </w:t>
      </w: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lastRenderedPageBreak/>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r>
        <w:t>Iurisdictio: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0C0BB5AF" w:rsidR="00132E3A" w:rsidRDefault="00F24859" w:rsidP="00866385">
      <w:r>
        <w:t>Voluntad, controlada por la razón (sentido inmanente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46"/>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6C930A92" w14:textId="77777777" w:rsidR="00242AB4" w:rsidRDefault="00242AB4" w:rsidP="00242AB4">
      <w:pPr>
        <w:pStyle w:val="Ttulo3"/>
        <w:numPr>
          <w:ilvl w:val="2"/>
          <w:numId w:val="20"/>
        </w:numPr>
      </w:pPr>
      <w:r>
        <w:lastRenderedPageBreak/>
        <w:t>Clemencia y potestad regia</w:t>
      </w:r>
    </w:p>
    <w:p w14:paraId="600981BE" w14:textId="77777777" w:rsidR="00242AB4" w:rsidRDefault="00242AB4" w:rsidP="00242AB4">
      <w:pPr>
        <w:rPr>
          <w:lang w:val="es-ES_tradnl" w:eastAsia="es-ES"/>
        </w:rPr>
      </w:pPr>
      <w:r>
        <w:rPr>
          <w:lang w:val="es-ES_tradnl" w:eastAsia="es-ES"/>
        </w:rPr>
        <w:t xml:space="preserve">La clemencia era inherente al poder monárquico, caso contrario, el poder riguroso ejercido sobre los súbditos, era la tiranía. </w:t>
      </w:r>
    </w:p>
    <w:p w14:paraId="67C335DB" w14:textId="77777777" w:rsidR="00242AB4" w:rsidRPr="00832F46" w:rsidRDefault="00242AB4" w:rsidP="00242AB4">
      <w:pPr>
        <w:rPr>
          <w:lang w:val="es-ES_tradnl" w:eastAsia="es-ES"/>
        </w:rPr>
      </w:pPr>
    </w:p>
    <w:p w14:paraId="46F5F89C" w14:textId="77777777" w:rsidR="00242AB4" w:rsidRDefault="00242AB4" w:rsidP="00242AB4">
      <w:r w:rsidRPr="00B9631D">
        <w:t xml:space="preserve">La lógica de la cultura jurisdiccional del </w:t>
      </w:r>
      <w:r w:rsidRPr="00B9631D">
        <w:rPr>
          <w:i/>
        </w:rPr>
        <w:t>ius commune</w:t>
      </w:r>
      <w:r w:rsidRPr="00B9631D">
        <w:t xml:space="preserve"> indicaba que Dios era la fuente de toda </w:t>
      </w:r>
      <w:r>
        <w:t>potestad</w:t>
      </w:r>
      <w:r w:rsidRPr="002B6C75">
        <w:rPr>
          <w:rStyle w:val="Refdenotaalpie"/>
        </w:rPr>
        <w:footnoteReference w:id="47"/>
      </w:r>
      <w:r w:rsidRPr="00B9631D">
        <w:t>, por la cual se les había dado autoridad a los pontífices y príncipes para juzgar y gobernar</w:t>
      </w:r>
      <w:r w:rsidRPr="002B6C75">
        <w:rPr>
          <w:rStyle w:val="Refdenotaalpie"/>
        </w:rPr>
        <w:footnoteReference w:id="48"/>
      </w:r>
      <w:r w:rsidRPr="00B9631D">
        <w:t xml:space="preserve">. En el caso del monarca se denominaba majestad, sinónimo de </w:t>
      </w:r>
      <w:r w:rsidRPr="00B9631D">
        <w:rPr>
          <w:i/>
        </w:rPr>
        <w:t>potestas</w:t>
      </w:r>
      <w:r w:rsidRPr="00B9631D">
        <w:t>, con la cual podía hacer uso del castigo</w:t>
      </w:r>
      <w:r w:rsidRPr="002B6C75">
        <w:rPr>
          <w:rStyle w:val="Refdenotaalpie"/>
        </w:rPr>
        <w:footnoteReference w:id="49"/>
      </w:r>
      <w:r w:rsidRPr="00B9631D">
        <w:t>, para ser temido, y de la misericordia, para ser amado</w:t>
      </w:r>
      <w:r w:rsidRPr="002B6C75">
        <w:rPr>
          <w:rStyle w:val="Refdenotaalpie"/>
        </w:rPr>
        <w:footnoteReference w:id="50"/>
      </w:r>
      <w:r w:rsidRPr="00B9631D">
        <w:t>.</w:t>
      </w:r>
      <w:r w:rsidRPr="00D976B0">
        <w:t xml:space="preserve"> </w:t>
      </w:r>
      <w:r>
        <w:t>En esta lógica, era el temor a la espada lo que hacía agradecer la clemencia, cuando el rey o sus delegados pudiendo castigar justificadamente no lo hacía estaban demostrando la grandeza del príncipe</w:t>
      </w:r>
      <w:r>
        <w:rPr>
          <w:rStyle w:val="Refdenotaalpie"/>
        </w:rPr>
        <w:footnoteReference w:id="51"/>
      </w:r>
      <w:r>
        <w:t>.</w:t>
      </w:r>
    </w:p>
    <w:p w14:paraId="654F61A5" w14:textId="77777777" w:rsidR="00242AB4" w:rsidRPr="0083523B" w:rsidRDefault="00242AB4" w:rsidP="00242AB4"/>
    <w:p w14:paraId="3161E324" w14:textId="77777777" w:rsidR="00242AB4" w:rsidRDefault="00242AB4" w:rsidP="00242AB4">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52"/>
      </w:r>
      <w:r>
        <w:t xml:space="preserve"> </w:t>
      </w:r>
      <w:r>
        <w:lastRenderedPageBreak/>
        <w:t>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53"/>
      </w:r>
    </w:p>
    <w:p w14:paraId="13539AA5" w14:textId="77777777" w:rsidR="00242AB4" w:rsidRDefault="00242AB4" w:rsidP="00242AB4"/>
    <w:p w14:paraId="0960791F" w14:textId="77777777" w:rsidR="00242AB4" w:rsidRPr="00466C1B" w:rsidRDefault="00242AB4" w:rsidP="00242AB4"/>
    <w:p w14:paraId="5513512F" w14:textId="77777777" w:rsidR="00242AB4" w:rsidRDefault="00242AB4" w:rsidP="00242AB4">
      <w:r>
        <w:t>La justicia y la misericordia se consideraba debían ir juntas en los procedimientos judiciales, como alegorizó Calderón de la Barca:</w:t>
      </w:r>
    </w:p>
    <w:p w14:paraId="611E5762" w14:textId="77777777" w:rsidR="00242AB4" w:rsidRDefault="00242AB4" w:rsidP="00242AB4">
      <w:pPr>
        <w:pStyle w:val="Cita"/>
      </w:pPr>
      <w:r>
        <w:t>Id, pues, con la circunstancia</w:t>
      </w:r>
    </w:p>
    <w:p w14:paraId="640B263D" w14:textId="77777777" w:rsidR="00242AB4" w:rsidRDefault="00242AB4" w:rsidP="00242AB4">
      <w:pPr>
        <w:pStyle w:val="Cita"/>
      </w:pPr>
      <w:r>
        <w:t>de que vas, Misericordia,</w:t>
      </w:r>
    </w:p>
    <w:p w14:paraId="1AC6D19F" w14:textId="77777777" w:rsidR="00242AB4" w:rsidRDefault="00242AB4" w:rsidP="00242AB4">
      <w:pPr>
        <w:pStyle w:val="Cita"/>
      </w:pPr>
      <w:r>
        <w:t>de Justicia acompañada,</w:t>
      </w:r>
    </w:p>
    <w:p w14:paraId="586483F9" w14:textId="77777777" w:rsidR="00242AB4" w:rsidRDefault="00242AB4" w:rsidP="00242AB4">
      <w:pPr>
        <w:pStyle w:val="Cita"/>
      </w:pPr>
      <w:r>
        <w:t xml:space="preserve">para que guardes justicia; </w:t>
      </w:r>
    </w:p>
    <w:p w14:paraId="2327BEAD" w14:textId="77777777" w:rsidR="00242AB4" w:rsidRDefault="00242AB4" w:rsidP="00242AB4">
      <w:pPr>
        <w:pStyle w:val="Cita"/>
      </w:pPr>
      <w:r>
        <w:t>y tú, Justicia, repara</w:t>
      </w:r>
    </w:p>
    <w:p w14:paraId="46CAB6CF" w14:textId="77777777" w:rsidR="00242AB4" w:rsidRDefault="00242AB4" w:rsidP="00242AB4">
      <w:pPr>
        <w:pStyle w:val="Cita"/>
      </w:pPr>
      <w:r>
        <w:t>en que con Misericordia</w:t>
      </w:r>
    </w:p>
    <w:p w14:paraId="69D3F35F" w14:textId="77777777" w:rsidR="00242AB4" w:rsidRDefault="00242AB4" w:rsidP="00242AB4">
      <w:pPr>
        <w:pStyle w:val="Cita"/>
      </w:pPr>
      <w:r>
        <w:t>vas también para guardarla;</w:t>
      </w:r>
    </w:p>
    <w:p w14:paraId="032C6AFE" w14:textId="77777777" w:rsidR="00242AB4" w:rsidRDefault="00242AB4" w:rsidP="00242AB4">
      <w:pPr>
        <w:pStyle w:val="Cita"/>
      </w:pPr>
      <w:r>
        <w:t>que no será acierto en una</w:t>
      </w:r>
    </w:p>
    <w:p w14:paraId="5A113FD4" w14:textId="77777777" w:rsidR="00242AB4" w:rsidRDefault="00242AB4" w:rsidP="00242AB4">
      <w:pPr>
        <w:pStyle w:val="Cita"/>
      </w:pPr>
      <w:r>
        <w:t>si no se da unión en ambas.</w:t>
      </w:r>
      <w:r>
        <w:rPr>
          <w:rStyle w:val="Refdenotaalpie"/>
        </w:rPr>
        <w:footnoteReference w:id="54"/>
      </w:r>
      <w:r>
        <w:t xml:space="preserve"> </w:t>
      </w:r>
    </w:p>
    <w:p w14:paraId="62CA92A4" w14:textId="77777777" w:rsidR="00242AB4" w:rsidRPr="00CE1F32" w:rsidRDefault="00242AB4" w:rsidP="00242AB4"/>
    <w:p w14:paraId="10687A45" w14:textId="77777777" w:rsidR="00242AB4" w:rsidRDefault="00242AB4" w:rsidP="00242AB4"/>
    <w:p w14:paraId="132750A2" w14:textId="77777777" w:rsidR="00242AB4" w:rsidRPr="00E857BD" w:rsidRDefault="00242AB4" w:rsidP="00242AB4">
      <w:pPr>
        <w:ind w:firstLine="0"/>
      </w:pPr>
    </w:p>
    <w:p w14:paraId="58B6C5D3" w14:textId="304DEE75" w:rsidR="00132E3A" w:rsidRDefault="00A80EDA" w:rsidP="00132E3A">
      <w:pPr>
        <w:pStyle w:val="Ttulo2"/>
      </w:pPr>
      <w:r>
        <w:t>1</w:t>
      </w:r>
      <w:r w:rsidR="00132E3A">
        <w:t>.2. Por una tipología de la clemencia y el perdón real</w:t>
      </w:r>
    </w:p>
    <w:p w14:paraId="47360E88" w14:textId="77777777" w:rsidR="00E37837" w:rsidRDefault="00E37837"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26CDA0FE" w14:textId="2088DB68" w:rsidR="00EF6AF6" w:rsidRDefault="00EF6AF6" w:rsidP="00E37837">
      <w:r>
        <w:t>Los grados de perdón: perdón,</w:t>
      </w:r>
      <w:r w:rsidR="00647AB3">
        <w:t xml:space="preserve"> disimulo, apartamiento, olvido.</w:t>
      </w:r>
    </w:p>
    <w:p w14:paraId="7FD8542A" w14:textId="77777777" w:rsidR="00E37837" w:rsidRPr="00E37837" w:rsidRDefault="00E37837" w:rsidP="00E37837"/>
    <w:p w14:paraId="10F069FF" w14:textId="7C092281" w:rsidR="00E37837" w:rsidRDefault="00A80EDA" w:rsidP="00132E3A">
      <w:pPr>
        <w:pStyle w:val="Ttulo2"/>
      </w:pPr>
      <w:r>
        <w:t>1</w:t>
      </w:r>
      <w:r w:rsidR="00E37837">
        <w:t>.3. Generalidades en el uso del perdón</w:t>
      </w:r>
    </w:p>
    <w:p w14:paraId="62D4B296" w14:textId="77777777" w:rsidR="00E37837" w:rsidRDefault="00E37837" w:rsidP="00E37837">
      <w:r>
        <w:t>Lo que se podía considerar como costumbre y buen actuar en el perdón. Una buena política de clemencia debería seguir los siguientes preceptos:</w:t>
      </w:r>
    </w:p>
    <w:p w14:paraId="45417B8B" w14:textId="77777777" w:rsidR="00E37837" w:rsidRDefault="00E37837" w:rsidP="00E37837">
      <w:r>
        <w:lastRenderedPageBreak/>
        <w:t xml:space="preserve">Promulgación: parte de la voluntad de hacer el bien, liberar de las cadenas a aquellos que sufren y no representan una amenaza para las repúblicas. </w:t>
      </w:r>
    </w:p>
    <w:p w14:paraId="19BA32CD" w14:textId="77777777" w:rsidR="00E37837" w:rsidRDefault="00E37837" w:rsidP="00E37837">
      <w:r>
        <w:t>Delitos exceptuados: ciertos delitos son exceptuados, basándose en el sentido de ser tan aberrantes que no podrían estar incluidos en la clemencia sin representar un daño al orden de la república.</w:t>
      </w:r>
    </w:p>
    <w:p w14:paraId="72CA7A23" w14:textId="77777777" w:rsidR="00E37837" w:rsidRDefault="00E37837" w:rsidP="00E37837">
      <w:r>
        <w:t>Clasificación de los indultos: generales, particulares, etc.</w:t>
      </w:r>
    </w:p>
    <w:p w14:paraId="457C60A4" w14:textId="5CBC848D" w:rsidR="00F24859" w:rsidRDefault="00F24859" w:rsidP="00E37837">
      <w:r>
        <w:t xml:space="preserve"> </w:t>
      </w:r>
    </w:p>
    <w:p w14:paraId="61D0BC0B" w14:textId="3D61F42B" w:rsidR="00F22980" w:rsidRDefault="00F22980" w:rsidP="00F22980">
      <w:pPr>
        <w:pStyle w:val="Ttulo2"/>
      </w:pPr>
      <w:r>
        <w:t>1.5. Particularidades desde la doctrina puramente indiana</w:t>
      </w:r>
    </w:p>
    <w:p w14:paraId="5FEDB5BD" w14:textId="77777777" w:rsidR="00F22980" w:rsidRDefault="00F22980" w:rsidP="00F22980"/>
    <w:p w14:paraId="203A950F" w14:textId="3A2DA53B" w:rsidR="009904B1" w:rsidRDefault="009904B1" w:rsidP="00F22980">
      <w: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w:t>
      </w:r>
      <w:r w:rsidR="001478CB">
        <w:t xml:space="preserve">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001478CB" w:rsidRPr="001478CB">
        <w:rPr>
          <w:i/>
        </w:rPr>
        <w:t>Recopilación de leyes de los reinos de las indias</w:t>
      </w:r>
      <w:r w:rsidR="001478CB">
        <w:t xml:space="preserve"> de 1680 y posteriormente en la reforma de intendentes de la segunda mitad del siglo XVIII. Del mismo modo que se habla de un derecho puramente indiano (Ots Capdequí), también es posible comprender una doctrina meramente indiana, no necesariamente producida en el continente, pero nutrida ciertamente por las informaciones que sobre este contexto llegaban a la península.</w:t>
      </w:r>
    </w:p>
    <w:p w14:paraId="7E771A01" w14:textId="77777777" w:rsidR="001478CB" w:rsidRPr="00F22980" w:rsidRDefault="001478CB" w:rsidP="00F22980"/>
    <w:p w14:paraId="1FCAE191" w14:textId="089E5E17" w:rsidR="00F22980" w:rsidRDefault="00411451" w:rsidP="00F22980">
      <w:r>
        <w:t>Zorita:</w:t>
      </w:r>
    </w:p>
    <w:p w14:paraId="0BEFC67D" w14:textId="2550D9E0" w:rsidR="00411451" w:rsidRDefault="00411451" w:rsidP="00411451">
      <w:pPr>
        <w:pStyle w:val="Cita"/>
      </w:pPr>
      <w:r>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púsose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ejcutase la ley y no con sus hijos, y que convenía que un hecho tan malo </w:t>
      </w:r>
      <w:r>
        <w:lastRenderedPageBreak/>
        <w:t>no quedase sin castigo. Ese mismo señor, llamado Nezahualpitzintli,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00755E15">
        <w:rPr>
          <w:rStyle w:val="Refdenotaalpie"/>
        </w:rPr>
        <w:footnoteReference w:id="55"/>
      </w:r>
    </w:p>
    <w:p w14:paraId="16F68F9A" w14:textId="77777777" w:rsidR="00411451" w:rsidRDefault="00411451" w:rsidP="00F22980"/>
    <w:p w14:paraId="5FC7347E" w14:textId="5593D0DA" w:rsidR="00C13903" w:rsidRDefault="00C13903" w:rsidP="00F22980">
      <w:r>
        <w:t>Según Zorita, los indios se entregaban al vicio en buena medida porque los religiosos eran blandos con ellos, negando con ello el rigor con el cual se les trataba por costumbre por sus autoridades indígenas:</w:t>
      </w:r>
    </w:p>
    <w:p w14:paraId="00FF19F7" w14:textId="42E98F29" w:rsidR="00C13903" w:rsidRDefault="00C13903" w:rsidP="00C13903">
      <w:pPr>
        <w:pStyle w:val="Cita"/>
      </w:pPr>
      <w: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14:paraId="02D1BA6D" w14:textId="37E035E6" w:rsidR="00C13903" w:rsidRPr="00C13903" w:rsidRDefault="00C13903" w:rsidP="00C13903">
      <w:pPr>
        <w:pStyle w:val="Cita"/>
      </w:pPr>
      <w: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Pr>
          <w:rStyle w:val="Refdenotaalpie"/>
        </w:rPr>
        <w:footnoteReference w:id="56"/>
      </w:r>
      <w:r>
        <w:t xml:space="preserve"> </w:t>
      </w:r>
    </w:p>
    <w:p w14:paraId="78359CC3" w14:textId="77777777" w:rsidR="00C13903" w:rsidRDefault="00C13903" w:rsidP="00F22980"/>
    <w:p w14:paraId="4E314BF3" w14:textId="2DCE04C9" w:rsidR="00123CC7" w:rsidRDefault="00123CC7" w:rsidP="00F22980">
      <w:r>
        <w:t>También:</w:t>
      </w:r>
    </w:p>
    <w:p w14:paraId="0D1305B1" w14:textId="083CD9E4" w:rsidR="00123CC7" w:rsidRDefault="00123CC7" w:rsidP="00123CC7">
      <w:pPr>
        <w:pStyle w:val="Cita"/>
      </w:pPr>
      <w:r>
        <w:t>Amonestábanles mucho que no mintiesen, y si eran viciosos en ello hendíales un poco el labio, y así usaban mucho decir y tratar verdad. Y preguntados algunos viejos por qué ahora mientes tanto, dicen que porque no hay castigo.</w:t>
      </w:r>
      <w:r>
        <w:rPr>
          <w:rStyle w:val="Refdenotaalpie"/>
        </w:rPr>
        <w:footnoteReference w:id="57"/>
      </w:r>
    </w:p>
    <w:p w14:paraId="453C3CE9" w14:textId="77777777" w:rsidR="00F22980" w:rsidRDefault="00F22980" w:rsidP="00F22980">
      <w:r>
        <w:t>Palafox…</w:t>
      </w:r>
    </w:p>
    <w:p w14:paraId="32F98A31" w14:textId="77777777" w:rsidR="00F22980" w:rsidRPr="003D4F03" w:rsidRDefault="00F22980" w:rsidP="00F22980">
      <w:r>
        <w:lastRenderedPageBreak/>
        <w:t>Echarnos una revisadita de Cañizares Esguerra…</w:t>
      </w:r>
    </w:p>
    <w:p w14:paraId="2A374195" w14:textId="77777777" w:rsidR="00F22980" w:rsidRPr="003D4F03" w:rsidRDefault="00F22980" w:rsidP="00F22980"/>
    <w:p w14:paraId="24DBCB6B" w14:textId="77777777" w:rsidR="00F22980" w:rsidRPr="003D4F03" w:rsidRDefault="00F22980" w:rsidP="00F22980"/>
    <w:p w14:paraId="1F179CFE" w14:textId="77777777" w:rsidR="00F22980" w:rsidRPr="003D4F03" w:rsidRDefault="00F22980" w:rsidP="00F22980"/>
    <w:p w14:paraId="67EE7CEF" w14:textId="77777777" w:rsidR="00F22980" w:rsidRPr="00386C4C" w:rsidRDefault="00F22980" w:rsidP="00F22980">
      <w:r>
        <w:t xml:space="preserve">Decía Saavedra Fajardo en su </w:t>
      </w:r>
      <w:r>
        <w:rPr>
          <w:i/>
        </w:rPr>
        <w:t>Idea de un príncipe político cristiano</w:t>
      </w:r>
      <w:r>
        <w:t xml:space="preserve"> que “si a todos los que excediesen se uviese de castigar, no auria aquien mandar, porque apenas ai hombre tan justo, que no aya merecido la muerte.”</w:t>
      </w:r>
      <w:r>
        <w:rPr>
          <w:rStyle w:val="Refdenotaalpie"/>
        </w:rPr>
        <w:footnoteReference w:id="58"/>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59"/>
      </w:r>
      <w:r>
        <w:t xml:space="preserve"> Se comprendía que la humanidad había sido condenada desde su origen por el pecado de Adán,</w:t>
      </w:r>
      <w:r>
        <w:rPr>
          <w:rStyle w:val="Refdenotaalpie"/>
        </w:rPr>
        <w:footnoteReference w:id="60"/>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61"/>
      </w:r>
    </w:p>
    <w:p w14:paraId="433BD3A9" w14:textId="77777777" w:rsidR="00F22980" w:rsidRDefault="00F22980" w:rsidP="00F22980">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Pr>
          <w:rStyle w:val="Refdenotaalpie"/>
        </w:rPr>
        <w:footnoteReference w:id="62"/>
      </w:r>
      <w:r>
        <w:t xml:space="preserve">. Se partía de la premisa de que la paz de las repúblicas se podría mantener mejor con actos de clemencia que de fuerza, así lo </w:t>
      </w:r>
      <w:r>
        <w:lastRenderedPageBreak/>
        <w:t xml:space="preserve">planteaba Guardiola y Sáez por ejemplo, quien en </w:t>
      </w:r>
      <w:r>
        <w:rPr>
          <w:i/>
        </w:rPr>
        <w:t>El corregidor perfecto</w:t>
      </w:r>
      <w:r>
        <w:t xml:space="preserve"> afirmó: “dice Dios por S. Matheo</w:t>
      </w:r>
      <w:r>
        <w:rPr>
          <w:rStyle w:val="Refdenotaalpie"/>
        </w:rPr>
        <w:footnoteReference w:id="63"/>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64"/>
      </w:r>
    </w:p>
    <w:p w14:paraId="6933D761" w14:textId="77777777" w:rsidR="00F22980" w:rsidRDefault="00F22980" w:rsidP="00F22980">
      <w:r>
        <w:t>Castillo de Bovadilla advertía que “por causa del mucho rigor pueden los Jueces ser privados de los Oficios;”</w:t>
      </w:r>
      <w:r>
        <w:rPr>
          <w:rStyle w:val="Refdenotaalpie"/>
        </w:rPr>
        <w:footnoteReference w:id="65"/>
      </w:r>
      <w:r>
        <w:t xml:space="preserve"> y lo complementó afirmando: “porque con violencia no puede ser estable el gobierno seglar; y la sujeción por fuerza suele acarrear libertad: porque, como dixo Cicerón, muy mal conserva la perpetuidad el miedo, para lo qual es fiel la benevolencia.”</w:t>
      </w:r>
      <w:r>
        <w:rPr>
          <w:rStyle w:val="Refdenotaalpie"/>
        </w:rPr>
        <w:footnoteReference w:id="66"/>
      </w:r>
      <w:r>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Pr>
          <w:rStyle w:val="Refdenotaalpie"/>
        </w:rPr>
        <w:footnoteReference w:id="67"/>
      </w:r>
      <w:r>
        <w:t xml:space="preserve"> Esta idea podía manifestarse de manera concreta en la súplica de un pueblo para que los libertase del juez o autoridad que se consideraba actuaba con excesivo rigor, &gt;&gt; excesos, abusos… No sólo en el apresamiento o castigo físico, también en el cobro de tributos.</w:t>
      </w:r>
    </w:p>
    <w:p w14:paraId="04DA8E0A" w14:textId="77777777" w:rsidR="00F22980" w:rsidRDefault="00F22980" w:rsidP="00F22980">
      <w:r>
        <w:t>La historiografía de los excesos de jueces y corregidores es abundante, en particular con relación al tratamiento de los indios.</w:t>
      </w:r>
    </w:p>
    <w:p w14:paraId="4F87DB64" w14:textId="77777777" w:rsidR="00F22980" w:rsidRDefault="00F22980" w:rsidP="00F22980">
      <w:r>
        <w:t xml:space="preserve">Pimienta, caso del gobernador que por riguroso fue tiránico :\ </w:t>
      </w:r>
    </w:p>
    <w:p w14:paraId="3D55F15C" w14:textId="2D532FC4" w:rsidR="00647AB3" w:rsidRDefault="00647AB3" w:rsidP="00647AB3">
      <w:pPr>
        <w:pStyle w:val="Ttulo2"/>
      </w:pPr>
      <w:r>
        <w:t>1.4. Cultura ilustrada y clemencia real</w:t>
      </w:r>
    </w:p>
    <w:p w14:paraId="43263F32" w14:textId="74EF492F" w:rsidR="00647AB3" w:rsidRPr="006B6B52" w:rsidRDefault="00647AB3" w:rsidP="00647AB3">
      <w:r w:rsidRPr="006B6B52">
        <w:t xml:space="preserve">Vía de Nápoles – </w:t>
      </w:r>
      <w:r w:rsidRPr="006B6B52">
        <w:rPr>
          <w:i/>
        </w:rPr>
        <w:t xml:space="preserve">giuridizzionalismo </w:t>
      </w:r>
      <w:r w:rsidRPr="006B6B52">
        <w:t>(cfr: Pietschmann), Beccaria.</w:t>
      </w:r>
    </w:p>
    <w:p w14:paraId="5277AC2C" w14:textId="061979DF" w:rsidR="00647AB3" w:rsidRDefault="00647AB3" w:rsidP="00647AB3">
      <w:pPr>
        <w:rPr>
          <w:lang w:val="it-IT"/>
        </w:rPr>
      </w:pPr>
      <w:r w:rsidRPr="00647AB3">
        <w:rPr>
          <w:lang w:val="fr-FR"/>
        </w:rPr>
        <w:t xml:space="preserve">Ilustración francesa – Rousseau, </w:t>
      </w:r>
      <w:r w:rsidR="003D4F03">
        <w:rPr>
          <w:lang w:val="fr-FR"/>
        </w:rPr>
        <w:t>Montes</w:t>
      </w:r>
      <w:r w:rsidRPr="00647AB3">
        <w:rPr>
          <w:lang w:val="fr-FR"/>
        </w:rPr>
        <w:t xml:space="preserve">quieu, Bodin, </w:t>
      </w:r>
      <w:r w:rsidRPr="00647AB3">
        <w:rPr>
          <w:lang w:val="it-IT"/>
        </w:rPr>
        <w:t>Caraccioli</w:t>
      </w:r>
      <w:r>
        <w:rPr>
          <w:lang w:val="it-IT"/>
        </w:rPr>
        <w:t xml:space="preserve"> (trad. 1775)</w:t>
      </w:r>
    </w:p>
    <w:p w14:paraId="1A651F07" w14:textId="281BFE69" w:rsidR="003D4F03" w:rsidRDefault="003D4F03" w:rsidP="00647AB3">
      <w:r w:rsidRPr="003D4F03">
        <w:t xml:space="preserve">Ejemplos de ilustres ilustrados – Jovellanos, </w:t>
      </w:r>
    </w:p>
    <w:p w14:paraId="54FBCAD3" w14:textId="77777777" w:rsidR="003D4F03" w:rsidRDefault="003D4F03" w:rsidP="00647AB3"/>
    <w:sectPr w:rsidR="003D4F03">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B9303" w14:textId="77777777" w:rsidR="009C21FF" w:rsidRDefault="009C21FF" w:rsidP="00B9631D">
      <w:pPr>
        <w:spacing w:line="240" w:lineRule="auto"/>
      </w:pPr>
      <w:r>
        <w:separator/>
      </w:r>
    </w:p>
  </w:endnote>
  <w:endnote w:type="continuationSeparator" w:id="0">
    <w:p w14:paraId="6732FD62" w14:textId="77777777" w:rsidR="009C21FF" w:rsidRDefault="009C21FF"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4D05B9" w:rsidRDefault="004D05B9">
        <w:pPr>
          <w:pStyle w:val="Piedepgina"/>
          <w:jc w:val="right"/>
        </w:pPr>
        <w:r>
          <w:fldChar w:fldCharType="begin"/>
        </w:r>
        <w:r>
          <w:instrText>PAGE   \* MERGEFORMAT</w:instrText>
        </w:r>
        <w:r>
          <w:fldChar w:fldCharType="separate"/>
        </w:r>
        <w:r w:rsidR="00666B3A" w:rsidRPr="00666B3A">
          <w:rPr>
            <w:noProof/>
            <w:lang w:val="es-ES"/>
          </w:rPr>
          <w:t>1</w:t>
        </w:r>
        <w:r>
          <w:fldChar w:fldCharType="end"/>
        </w:r>
      </w:p>
    </w:sdtContent>
  </w:sdt>
  <w:p w14:paraId="2E48E8B0" w14:textId="77777777" w:rsidR="004D05B9" w:rsidRDefault="004D05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46396" w14:textId="77777777" w:rsidR="009C21FF" w:rsidRDefault="009C21FF" w:rsidP="00B9631D">
      <w:pPr>
        <w:spacing w:line="240" w:lineRule="auto"/>
      </w:pPr>
      <w:r>
        <w:separator/>
      </w:r>
    </w:p>
  </w:footnote>
  <w:footnote w:type="continuationSeparator" w:id="0">
    <w:p w14:paraId="2A1DA460" w14:textId="77777777" w:rsidR="009C21FF" w:rsidRDefault="009C21FF" w:rsidP="00B9631D">
      <w:pPr>
        <w:spacing w:line="240" w:lineRule="auto"/>
      </w:pPr>
      <w:r>
        <w:continuationSeparator/>
      </w:r>
    </w:p>
  </w:footnote>
  <w:footnote w:id="1">
    <w:p w14:paraId="5A49ACA1" w14:textId="38024009" w:rsidR="004D05B9" w:rsidRDefault="004D05B9"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4D05B9" w:rsidRDefault="004D05B9"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4D05B9" w:rsidRDefault="004D05B9">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4D05B9" w:rsidRDefault="004D05B9"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4D05B9" w:rsidRDefault="004D05B9">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4D05B9" w:rsidRDefault="004D05B9">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4D05B9" w:rsidRDefault="004D05B9">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4D05B9" w:rsidRDefault="004D05B9">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4D05B9" w:rsidRDefault="004D05B9">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4D05B9" w:rsidRDefault="004D05B9">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4D05B9" w:rsidRDefault="004D05B9">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5ADE7E3D" w14:textId="7F6FD453" w:rsidR="004D05B9" w:rsidRDefault="004D05B9">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42.","noteIndex":12},"citationItems":[{"id":3381,"uris":["http://zotero.org/users/163570/items/2B6CQHEJ"],"uri":["http://zotero.org/users/163570/items/2B6CQHEJ"],"itemData":{"id":3381,"type":"book","title":"Cultura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3">
    <w:p w14:paraId="4876BA75" w14:textId="1D773D0C" w:rsidR="004D05B9" w:rsidRDefault="004D05B9">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425.","noteIndex":13},"citationItems":[{"id":5734,"uris":["http://zotero.org/users/163570/items/3PPXIUUG"],"uri":["http://zotero.org/users/163570/items/3PPXIUUG"],"itemData":{"id":5734,"type":"book","title":"Reformismo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4">
    <w:p w14:paraId="334DC05A" w14:textId="28D9A9D3" w:rsidR="004D05B9" w:rsidRDefault="004D05B9">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5">
    <w:p w14:paraId="293F495C" w14:textId="18CF8A36" w:rsidR="004D05B9" w:rsidRPr="00F35A64" w:rsidRDefault="004D05B9">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75–78.","noteIndex":16},"citationItems":[{"id":8255,"uris":["http://zotero.org/users/163570/items/Q4PKIA5Z"],"uri":["http://zotero.org/users/163570/items/Q4PKIA5Z"],"itemData":{"id":8255,"type":"book","title":"The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16">
    <w:p w14:paraId="51A12FDE" w14:textId="2128BFA4" w:rsidR="004D05B9" w:rsidRPr="001E0330" w:rsidRDefault="004D05B9">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17">
    <w:p w14:paraId="1335ECE5" w14:textId="6E7B88AE" w:rsidR="004D05B9" w:rsidRPr="00C24EFF" w:rsidRDefault="004D05B9">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18">
    <w:p w14:paraId="448F145B" w14:textId="706F5356" w:rsidR="004D05B9" w:rsidRPr="009A7156" w:rsidRDefault="004D05B9">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19">
    <w:p w14:paraId="0835D4FA" w14:textId="77469138" w:rsidR="004D05B9" w:rsidRDefault="004D05B9">
      <w:pPr>
        <w:pStyle w:val="Textonotapie"/>
      </w:pPr>
      <w:r>
        <w:rPr>
          <w:rStyle w:val="Refdenotaalpie"/>
        </w:rPr>
        <w:footnoteRef/>
      </w:r>
      <w:r>
        <w:t xml:space="preserve"> Ribadeneyra, </w:t>
      </w:r>
      <w:r>
        <w:rPr>
          <w:i/>
        </w:rPr>
        <w:t>Tratado de la religión y las virtudes</w:t>
      </w:r>
      <w:r>
        <w:t>, lib. II, cap. IX.</w:t>
      </w:r>
    </w:p>
  </w:footnote>
  <w:footnote w:id="20">
    <w:p w14:paraId="11F3A4B0" w14:textId="561F6DCA" w:rsidR="004D05B9" w:rsidRDefault="004D05B9">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20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21">
    <w:p w14:paraId="5EA2974A" w14:textId="016D56A2" w:rsidR="004D05B9" w:rsidRDefault="004D05B9">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67.","noteIndex":21},"citationItems":[{"id":8230,"uris":["http://zotero.org/users/163570/items/TCD7A8EM"],"uri":["http://zotero.org/users/163570/items/TCD7A8EM"],"itemData":{"id":8230,"type":"chapter","title":"Orden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22">
    <w:p w14:paraId="28F2A1EE" w14:textId="419C4726" w:rsidR="004D05B9" w:rsidRDefault="004D05B9">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23">
    <w:p w14:paraId="765A4B8A" w14:textId="18DCB2BE" w:rsidR="004D05B9" w:rsidRDefault="004D05B9">
      <w:pPr>
        <w:pStyle w:val="Textonotapie"/>
      </w:pPr>
      <w:r>
        <w:rPr>
          <w:rStyle w:val="Refdenotaalpie"/>
        </w:rPr>
        <w:footnoteRef/>
      </w:r>
      <w:r>
        <w:t xml:space="preserve"> </w:t>
      </w:r>
      <w:r>
        <w:fldChar w:fldCharType="begin"/>
      </w:r>
      <w:r>
        <w:instrText xml:space="preserve"> ADDIN ZOTERO_ITEM CSL_CITATION {"citationID":"ie9CeY7u","properties":{"formattedCitation":"Ag\\uc0\\u252{}ero Nazar, \\uc0\\u8220{}Las categor\\uc0\\u237{}as b\\uc0\\u225{}sicas de la cultura jurisdiccional\\uc0\\u8221{}, 45.","plainCitation":"Agüero Nazar, “Las categorías básicas de la cultura jurisdiccional”, 45.","noteIndex":23},"citationItems":[{"id":5999,"uris":["http://zotero.org/users/163570/items/HQHICPD6"],"uri":["http://zotero.org/users/163570/items/HQHICPD6"],"itemData":{"id":5999,"type":"chapter","title":"Las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2D4546">
        <w:rPr>
          <w:rFonts w:cs="Times New Roman"/>
          <w:szCs w:val="24"/>
        </w:rPr>
        <w:t>Agüero Nazar, “Las categorías básicas de la cultura jurisdiccional”, 45.</w:t>
      </w:r>
      <w:r>
        <w:fldChar w:fldCharType="end"/>
      </w:r>
    </w:p>
  </w:footnote>
  <w:footnote w:id="24">
    <w:p w14:paraId="79021727" w14:textId="0D3F2378" w:rsidR="004D05B9" w:rsidRPr="00BA76C0" w:rsidRDefault="004D05B9">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25">
    <w:p w14:paraId="0B7D8553" w14:textId="24AEEC08" w:rsidR="004D05B9" w:rsidRDefault="004D05B9">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151–76.","noteIndex":25},"citationItems":[{"id":8246,"uris":["http://zotero.org/users/163570/items/YR6E2SPQ"],"uri":["http://zotero.org/users/163570/items/YR6E2SPQ"],"itemData":{"id":8246,"type":"paper-conference","title":"Justicia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26">
    <w:p w14:paraId="2CBAA388" w14:textId="0EFDB417" w:rsidR="004D05B9" w:rsidRDefault="004D05B9">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27">
    <w:p w14:paraId="4AB2DC3B" w14:textId="6B830B89" w:rsidR="004D05B9" w:rsidRDefault="004D05B9">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315–20.","noteIndex":26},"citationItems":[{"id":8248,"uris":["http://zotero.org/users/163570/items/YEN73JLK"],"uri":["http://zotero.org/users/163570/items/YEN73JLK"],"itemData":{"id":8248,"type":"book","title":"Necesidad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28">
    <w:p w14:paraId="0B2564F6" w14:textId="513C456C" w:rsidR="004D05B9" w:rsidRDefault="004D05B9">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2016).","noteIndex":27},"citationItems":[{"id":8250,"uris":["http://zotero.org/users/163570/items/TIWVX7J9"],"uri":["http://zotero.org/users/163570/items/TIWVX7J9"],"itemData":{"id":8250,"type":"book","title":"Mérito,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29">
    <w:p w14:paraId="7DD94F36" w14:textId="6D19CB41" w:rsidR="004D05B9" w:rsidRPr="008F36FD" w:rsidRDefault="004D05B9">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Mar\\uc0\\u237{}a Inmaculada Rodr\\uc0\\u237{}guez Flores, {\\i{}El perd\\uc0\\u243{}n real en Castilla (siglos XIII-XVIII)} (Salamanca: Universidad de Salamanca, 1971), 66\\uc0\\u8211{}69.","plainCitation":"Rudy Chaulet, Crimes, rixes et bruits d’épées: homicides pardonnés en Castille au siècle d’or, Espagne médiévale et moderne 11 (Montpellier: Presses Universitaires de la Méditerranée, 2007), 375–76; María Inmaculada Rodríguez Flores, El perdón real en Castilla (siglos XIII-XVIII) (Salamanca: Universidad de Salamanca, 1971), 66–69.","noteIndex":28},"citationItems":[{"id":8002,"uris":["http://zotero.org/users/163570/items/GERVJL77"],"uri":["http://zotero.org/users/163570/items/GERVJL77"],"itemData":{"id":8002,"type":"book","title":"Crimes,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C03F2">
        <w:rPr>
          <w:rFonts w:cs="Times New Roman"/>
          <w:szCs w:val="24"/>
          <w:lang w:val="fr-FR"/>
        </w:rPr>
        <w:t xml:space="preserve">Rudy Chaulet, </w:t>
      </w:r>
      <w:r w:rsidRPr="00EC03F2">
        <w:rPr>
          <w:rFonts w:cs="Times New Roman"/>
          <w:i/>
          <w:iCs/>
          <w:szCs w:val="24"/>
          <w:lang w:val="fr-FR"/>
        </w:rPr>
        <w:t>Crimes, rixes et bruits d’épées: homicides pardonnés en Castille au siècle d’or</w:t>
      </w:r>
      <w:r w:rsidRPr="00EC03F2">
        <w:rPr>
          <w:rFonts w:cs="Times New Roman"/>
          <w:szCs w:val="24"/>
          <w:lang w:val="fr-FR"/>
        </w:rPr>
        <w:t xml:space="preserve">, Espagne médiévale et moderne 11 (Montpellier: Presses Universitaires de la Méditerranée, 2007), 375–76; María Inmaculada Rodríguez Flores, </w:t>
      </w:r>
      <w:r w:rsidRPr="00EC03F2">
        <w:rPr>
          <w:rFonts w:cs="Times New Roman"/>
          <w:i/>
          <w:iCs/>
          <w:szCs w:val="24"/>
          <w:lang w:val="fr-FR"/>
        </w:rPr>
        <w:t>El perdón real en Castilla (siglos XIII-XVIII)</w:t>
      </w:r>
      <w:r w:rsidRPr="00EC03F2">
        <w:rPr>
          <w:rFonts w:cs="Times New Roman"/>
          <w:szCs w:val="24"/>
          <w:lang w:val="fr-FR"/>
        </w:rPr>
        <w:t xml:space="preserve"> (Salamanca: Universidad de Salamanca, 1971), 66–69.</w:t>
      </w:r>
      <w:r>
        <w:fldChar w:fldCharType="end"/>
      </w:r>
    </w:p>
  </w:footnote>
  <w:footnote w:id="30">
    <w:p w14:paraId="5285D108" w14:textId="47FC5427" w:rsidR="004D05B9" w:rsidRDefault="004D05B9">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249–50.","noteIndex":29},"citationItems":[{"id":8027,"uris":["http://zotero.org/users/163570/items/WNQSRIKP"],"uri":["http://zotero.org/users/163570/items/WNQSRIKP"],"itemData":{"id":8027,"type":"book","title":"La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31">
    <w:p w14:paraId="782BC615" w14:textId="66BE5F63" w:rsidR="004D05B9" w:rsidRDefault="004D05B9"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67.","noteIndex":30},"citationItems":[{"id":8246,"uris":["http://zotero.org/users/163570/items/YR6E2SPQ"],"uri":["http://zotero.org/users/163570/items/YR6E2SPQ"],"itemData":{"id":8246,"type":"paper-conference","title":"Justicia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32">
    <w:p w14:paraId="2CF4D1B5" w14:textId="697A2340" w:rsidR="004D05B9" w:rsidRDefault="004D05B9">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326–27.","noteIndex":31},"citationItems":[{"id":5913,"uris":["http://zotero.org/users/163570/items/2BICB3CT"],"uri":["http://zotero.org/users/163570/items/2BICB3CT"],"itemData":{"id":5913,"type":"article-journal","title":"El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33">
    <w:p w14:paraId="50EA41B8" w14:textId="7EF4D8E8" w:rsidR="004D05B9" w:rsidRDefault="004D05B9">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34">
    <w:p w14:paraId="7C5A3E76" w14:textId="64564A5B" w:rsidR="004D05B9" w:rsidRDefault="004D05B9">
      <w:pPr>
        <w:pStyle w:val="Textonotapie"/>
      </w:pPr>
      <w:r>
        <w:rPr>
          <w:rStyle w:val="Refdenotaalpie"/>
        </w:rPr>
        <w:footnoteRef/>
      </w:r>
      <w:r>
        <w:t xml:space="preserve"> Saavedra Fajardo, emp. 11, lema “ex pulsu noscitur”. Las referencias bíblicas tomadas por Saavedra son Eccl. 5:4 y Eccl. 4:34.</w:t>
      </w:r>
    </w:p>
  </w:footnote>
  <w:footnote w:id="35">
    <w:p w14:paraId="0F965408" w14:textId="2290B6B0" w:rsidR="004D05B9" w:rsidRPr="009A28F3" w:rsidRDefault="004D05B9">
      <w:pPr>
        <w:pStyle w:val="Textonotapie"/>
      </w:pPr>
      <w:r>
        <w:rPr>
          <w:rStyle w:val="Refdenotaalpie"/>
        </w:rPr>
        <w:footnoteRef/>
      </w:r>
      <w:r>
        <w:t xml:space="preserve"> Para adquirir más amor que reputación diría Giovanni Botero. </w:t>
      </w:r>
      <w:r>
        <w:rPr>
          <w:i/>
        </w:rPr>
        <w:t>Diez libros de la razón de estado</w:t>
      </w:r>
      <w:r>
        <w:t>, 15.</w:t>
      </w:r>
    </w:p>
  </w:footnote>
  <w:footnote w:id="36">
    <w:p w14:paraId="047EEAF1" w14:textId="307C322E" w:rsidR="004D05B9" w:rsidRPr="008018E8" w:rsidRDefault="004D05B9" w:rsidP="005137D0">
      <w:pPr>
        <w:pStyle w:val="Textonotapie"/>
        <w:rPr>
          <w:i/>
        </w:rPr>
      </w:pPr>
      <w:r>
        <w:rPr>
          <w:rStyle w:val="Refdenotaalpie"/>
        </w:rPr>
        <w:footnoteRef/>
      </w:r>
      <w:r>
        <w:t xml:space="preserve"> Véase por ejemplo la definición de la voz clemencia en el diccionario de autoridades: “Es, según Séneca, Blandúra y templanza del ánimo en el Príncipe, ò en el Superiór que tiene potestad de tomar venganza y castigar.” </w:t>
      </w:r>
      <w:r>
        <w:rPr>
          <w:i/>
        </w:rPr>
        <w:t>Diccionario de la lengua castellana, en que se explica…</w:t>
      </w:r>
    </w:p>
  </w:footnote>
  <w:footnote w:id="37">
    <w:p w14:paraId="25F60DC1" w14:textId="331B3FB7" w:rsidR="004D05B9" w:rsidRPr="004F2AE6" w:rsidRDefault="004D05B9">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38">
    <w:p w14:paraId="4E14F5B5" w14:textId="5A6CADAB" w:rsidR="004D05B9" w:rsidRPr="00751AF7" w:rsidRDefault="004D05B9" w:rsidP="00751AF7">
      <w:pPr>
        <w:pStyle w:val="Textonotapie"/>
      </w:pPr>
      <w:r w:rsidRPr="00E40FE9">
        <w:rPr>
          <w:rStyle w:val="Refdenotaalpie"/>
        </w:rPr>
        <w:footnoteRef/>
      </w:r>
      <w:r w:rsidRPr="0056155B">
        <w:t xml:space="preserve"> </w:t>
      </w:r>
      <w:r>
        <w:t>“</w:t>
      </w:r>
      <w:r w:rsidRPr="0056155B">
        <w:t>Ergo mansuetudo et clementia non sunt penitus idem.</w:t>
      </w:r>
      <w:r>
        <w:t xml:space="preserve">” </w:t>
      </w:r>
      <w:r w:rsidRPr="00751AF7">
        <w:rPr>
          <w:i/>
        </w:rPr>
        <w:t>Summa Theologiae</w:t>
      </w:r>
      <w:r w:rsidRPr="00751AF7">
        <w:t>, IIª-IIae, q. 157 a. 1 s. c.</w:t>
      </w:r>
    </w:p>
  </w:footnote>
  <w:footnote w:id="39">
    <w:p w14:paraId="1CCEA82E" w14:textId="0FE0311F" w:rsidR="004D05B9" w:rsidRDefault="004D05B9">
      <w:pPr>
        <w:pStyle w:val="Textonotapie"/>
      </w:pPr>
      <w:r>
        <w:rPr>
          <w:rStyle w:val="Refdenotaalpie"/>
        </w:rPr>
        <w:footnoteRef/>
      </w:r>
      <w:r>
        <w:t xml:space="preserve"> En el índice de materias realizado por Gregorio López a sus glosas decía: “Clementia maximè in Principe, quantùm sit bona, et aludabilis.” (La clemencia, en tanto es buena y admirable, especialmente en el Príncipe). Y en el mismo sentido citaba a Demóstenes: “Nulla de virtutibus tuis generosior misericordia, vel admirabilior clementia, neque per aliud Deo propior accederé potes.” (ninguna virtud es más noble que la misericordia o más admirable que la clemencia, y por ninguna otra puede acercarse más a Dios.) Glosa </w:t>
      </w:r>
      <w:r>
        <w:rPr>
          <w:i/>
        </w:rPr>
        <w:t>Los reyes</w:t>
      </w:r>
      <w:r>
        <w:t xml:space="preserve"> a </w:t>
      </w:r>
      <w:r>
        <w:rPr>
          <w:i/>
        </w:rPr>
        <w:t>Partidas</w:t>
      </w:r>
      <w:r>
        <w:t xml:space="preserve"> 3, tit. XXIV, proemio. En el “Comendador Griego” de Hernán Núñez de Toledo (1499 o 1505), según la cita del diccionario de autoridades (voz “clemencia”), se decía que “la cleméncia es necessaria en los Reyes y Príncipes mäs que otra virtud algúna”. </w:t>
      </w:r>
    </w:p>
  </w:footnote>
  <w:footnote w:id="40">
    <w:p w14:paraId="161AC6C4" w14:textId="5F038791" w:rsidR="004D05B9" w:rsidRDefault="004D05B9">
      <w:pPr>
        <w:pStyle w:val="Textonotapie"/>
      </w:pPr>
      <w:r>
        <w:rPr>
          <w:rStyle w:val="Refdenotaalpie"/>
        </w:rPr>
        <w:footnoteRef/>
      </w:r>
      <w:r>
        <w:t xml:space="preserve">  “Fuero, es el lugar del juicio, donde se trata de lo que pertenece al derecho y justicia.” </w:t>
      </w:r>
      <w:r w:rsidRPr="006211F4">
        <w:rPr>
          <w:highlight w:val="yellow"/>
        </w:rPr>
        <w:t xml:space="preserve">Juan de Hevia Bolaños, </w:t>
      </w:r>
      <w:r w:rsidRPr="006211F4">
        <w:rPr>
          <w:i/>
          <w:highlight w:val="yellow"/>
        </w:rPr>
        <w:t>Curia Philipica</w:t>
      </w:r>
      <w:r w:rsidRPr="006211F4">
        <w:rPr>
          <w:highlight w:val="yellow"/>
        </w:rPr>
        <w:t>, nueva impresión (Madrid: oficina de Ram</w:t>
      </w:r>
      <w:r>
        <w:rPr>
          <w:highlight w:val="yellow"/>
        </w:rPr>
        <w:t>ón Ruiz, 1797), t</w:t>
      </w:r>
      <w:r w:rsidRPr="006211F4">
        <w:rPr>
          <w:highlight w:val="yellow"/>
        </w:rPr>
        <w:t xml:space="preserve">. </w:t>
      </w:r>
      <w:r w:rsidRPr="00453281">
        <w:rPr>
          <w:highlight w:val="yellow"/>
        </w:rPr>
        <w:t>I, p. I, §5, núm. 1.</w:t>
      </w:r>
      <w:r>
        <w:t xml:space="preserve"> </w:t>
      </w:r>
      <w:r>
        <w:fldChar w:fldCharType="begin"/>
      </w:r>
      <w:r>
        <w:instrText xml:space="preserve"> ADDIN ZOTERO_ITEM CSL_CITATION {"citationID":"ilgtznzv","properties":{"formattedCitation":"Paolo Prodi, {\\i{}Una historia de la justicia: de la pluralidad de fueros al dualismo moderno entre conciencia y derecho}, trad. Luciano Padilla L\\uc0\\u243{}pez (Madrid: Katz Editores, 2008), 16.","plainCitation":"Paolo Prodi, Una historia de la justicia: de la pluralidad de fueros al dualismo moderno entre conciencia y derecho, trad. Luciano Padilla López (Madrid: Katz Editores, 2008), 16.","noteIndex":36},"citationItems":[{"id":3390,"uris":["http://zotero.org/users/163570/items/C54QSDGR"],"uri":["http://zotero.org/users/163570/items/C54QSDGR"],"itemData":{"id":3390,"type":"book","title":"Una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López","given":"Luciano"}],"issued":{"date-parts":[["2008"]]}},"locator":"16","label":"page"}],"schema":"https://github.com/citation-style-language/schema/raw/master/csl-citation.json"} </w:instrText>
      </w:r>
      <w:r>
        <w:fldChar w:fldCharType="separate"/>
      </w:r>
      <w:r w:rsidRPr="00304BCC">
        <w:rPr>
          <w:rFonts w:cs="Times New Roman"/>
          <w:szCs w:val="24"/>
        </w:rPr>
        <w:t xml:space="preserve">Paolo Prodi, </w:t>
      </w:r>
      <w:r w:rsidRPr="00304BCC">
        <w:rPr>
          <w:rFonts w:cs="Times New Roman"/>
          <w:i/>
          <w:iCs/>
          <w:szCs w:val="24"/>
        </w:rPr>
        <w:t>Una historia de la justicia: de la pluralidad de fueros al dualismo moderno entre conciencia y derecho</w:t>
      </w:r>
      <w:r w:rsidRPr="00304BCC">
        <w:rPr>
          <w:rFonts w:cs="Times New Roman"/>
          <w:szCs w:val="24"/>
        </w:rPr>
        <w:t>, trad. Luciano Padilla López (Madrid: Katz Editores, 2008), 16.</w:t>
      </w:r>
      <w:r>
        <w:fldChar w:fldCharType="end"/>
      </w:r>
    </w:p>
  </w:footnote>
  <w:footnote w:id="41">
    <w:p w14:paraId="23D053B7" w14:textId="7290350E" w:rsidR="004D05B9" w:rsidRPr="00EE7820" w:rsidRDefault="004D05B9">
      <w:pPr>
        <w:pStyle w:val="Textonotapie"/>
      </w:pPr>
      <w:r>
        <w:rPr>
          <w:rStyle w:val="Refdenotaalpie"/>
        </w:rPr>
        <w:footnoteRef/>
      </w:r>
      <w:r>
        <w:t xml:space="preserve"> “Toda la ley, aun la civil, afirma Tiberio Deciano, puede ser considerada divina en cuanto ‘</w:t>
      </w:r>
      <w:r>
        <w:rPr>
          <w:i/>
        </w:rPr>
        <w:t>per ora Principium promulgata</w:t>
      </w:r>
      <w:r>
        <w:t xml:space="preserve">’ y, por tanto, la causa formal del derecho es la ley.” </w:t>
      </w:r>
      <w:r>
        <w:fldChar w:fldCharType="begin"/>
      </w:r>
      <w:r>
        <w:instrText xml:space="preserve"> ADDIN ZOTERO_ITEM CSL_CITATION {"citationID":"XGA0dLl4","properties":{"formattedCitation":"Prodi, 378.","plainCitation":"Prodi, 378.","noteIndex":37},"citationItems":[{"id":3390,"uris":["http://zotero.org/users/163570/items/C54QSDGR"],"uri":["http://zotero.org/users/163570/items/C54QSDGR"],"itemData":{"id":3390,"type":"book","title":"Una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López","given":"Luciano"}],"issued":{"date-parts":[["2008"]]}},"locator":"378","label":"page"}],"schema":"https://github.com/citation-style-language/schema/raw/master/csl-citation.json"} </w:instrText>
      </w:r>
      <w:r>
        <w:fldChar w:fldCharType="separate"/>
      </w:r>
      <w:r w:rsidRPr="00F1286E">
        <w:rPr>
          <w:rFonts w:cs="Times New Roman"/>
          <w:szCs w:val="24"/>
        </w:rPr>
        <w:t>Prodi, 378.</w:t>
      </w:r>
      <w:r>
        <w:fldChar w:fldCharType="end"/>
      </w:r>
      <w:r>
        <w:t xml:space="preserve"> </w:t>
      </w:r>
    </w:p>
  </w:footnote>
  <w:footnote w:id="42">
    <w:p w14:paraId="59933058" w14:textId="34AAAABD" w:rsidR="004D05B9" w:rsidRPr="009577FC" w:rsidRDefault="004D05B9" w:rsidP="009577FC">
      <w:pPr>
        <w:pStyle w:val="Textonotapie"/>
      </w:pPr>
      <w:r>
        <w:rPr>
          <w:rStyle w:val="Refdenotaalpie"/>
        </w:rPr>
        <w:footnoteRef/>
      </w:r>
      <w:r w:rsidRPr="009577FC">
        <w:t xml:space="preserve"> </w:t>
      </w:r>
      <w:r>
        <w:fldChar w:fldCharType="begin"/>
      </w:r>
      <w:r>
        <w:instrText xml:space="preserve"> ADDIN ZOTERO_ITEM CSL_CITATION {"citationID":"15cvlaIv","properties":{"formattedCitation":"Paolo Grossi, {\\i{}Mitolog\\uc0\\u237{}a jur\\uc0\\u237{}dica de la modernidad}, trad. Manuel Mart\\uc0\\u237{}nez Neira (Madrid: Trotta, 2003), 27; Jes\\uc0\\u250{}s Vallejo, {\\i{}Ruda equidad, ley consumada: concepci\\uc0\\u243{}n de la potestad normativa, 1250-1350}, Historia de la sociedad pol\\uc0\\u237{}tica (Madrid: Centro de Estudios Constitucionales, 1992).","plainCitation":"Paolo Grossi, Mitología jurídica de la modernidad, trad. Manuel Martínez Neira (Madrid: Trotta, 2003), 27; Jesús Vallejo, Ruda equidad, ley consumada: concepción de la potestad normativa, 1250-1350, Historia de la sociedad política (Madrid: Centro de Estudios Constitucionales, 1992).","noteIndex":38},"citationItems":[{"id":6118,"uris":["http://zotero.org/users/163570/items/W58CJST8"],"uri":["http://zotero.org/users/163570/items/W58CJST8"],"itemData":{"id":6118,"type":"book","title":"Mitología jurídica de la modernidad","publisher":"Trotta","publisher-place":"Madrid","number-of-pages":"93","event-place":"Madrid","ISBN":"84-8164-599-0","language":"es","author":[{"family":"Grossi","given":"Paolo"}],"translator":[{"family":"Martínez Neira","given":"Manuel"}],"issued":{"date-parts":[["2003"]]}},"locator":"27","label":"page"},{"id":6120,"uris":["http://zotero.org/users/163570/items/GN6C6UGH"],"uri":["http://zotero.org/users/163570/items/GN6C6UGH"],"itemData":{"id":6120,"type":"book","title":"Ruda equidad, ley consumada: concepción de la potestad normativa, 1250-1350","collection-title":"Historia de la sociedad política","publisher":"Centro de Estudios Constitucionales","publisher-place":"Madrid","number-of-pages":"476","source":"Library of Congress ISBN","event-place":"Madrid","ISBN":"978-84-259-0924-5","call-number":"KJC390 .V35 1992","shortTitle":"Ruda equidad, ley consumada","language":"es","author":[{"family":"Vallejo","given":"Jesús"}],"issued":{"date-parts":[["1992"]]}},"label":"page"}],"schema":"https://github.com/citation-style-language/schema/raw/master/csl-citation.json"} </w:instrText>
      </w:r>
      <w:r>
        <w:fldChar w:fldCharType="separate"/>
      </w:r>
      <w:r w:rsidRPr="00EE7820">
        <w:rPr>
          <w:rFonts w:cs="Times New Roman"/>
          <w:szCs w:val="24"/>
        </w:rPr>
        <w:t xml:space="preserve">Paolo Grossi, </w:t>
      </w:r>
      <w:r w:rsidRPr="00EE7820">
        <w:rPr>
          <w:rFonts w:cs="Times New Roman"/>
          <w:i/>
          <w:iCs/>
          <w:szCs w:val="24"/>
        </w:rPr>
        <w:t>Mitología jurídica de la modernidad</w:t>
      </w:r>
      <w:r w:rsidRPr="00EE7820">
        <w:rPr>
          <w:rFonts w:cs="Times New Roman"/>
          <w:szCs w:val="24"/>
        </w:rPr>
        <w:t xml:space="preserve">, trad. Manuel Martínez Neira (Madrid: Trotta, 2003), 27; Jesús Vallejo, </w:t>
      </w:r>
      <w:r w:rsidRPr="00EE7820">
        <w:rPr>
          <w:rFonts w:cs="Times New Roman"/>
          <w:i/>
          <w:iCs/>
          <w:szCs w:val="24"/>
        </w:rPr>
        <w:t>Ruda equidad, ley consumada: concepción de la potestad normativa, 1250-1350</w:t>
      </w:r>
      <w:r w:rsidRPr="00EE7820">
        <w:rPr>
          <w:rFonts w:cs="Times New Roman"/>
          <w:szCs w:val="24"/>
        </w:rPr>
        <w:t>, Historia de la sociedad política (Madrid: Centro de Estudios Constitucionales, 1992).</w:t>
      </w:r>
      <w:r>
        <w:fldChar w:fldCharType="end"/>
      </w:r>
    </w:p>
  </w:footnote>
  <w:footnote w:id="43">
    <w:p w14:paraId="788EE939" w14:textId="70F32350" w:rsidR="004D05B9" w:rsidRDefault="004D05B9">
      <w:pPr>
        <w:pStyle w:val="Textonotapie"/>
      </w:pPr>
      <w:r>
        <w:rPr>
          <w:rStyle w:val="Refdenotaalpie"/>
        </w:rPr>
        <w:footnoteRef/>
      </w:r>
      <w:r>
        <w:t xml:space="preserve"> </w:t>
      </w:r>
      <w:r>
        <w:fldChar w:fldCharType="begin"/>
      </w:r>
      <w:r>
        <w:instrText xml:space="preserve"> ADDIN ZOTERO_ITEM CSL_CITATION {"citationID":"o3vaFw1E","properties":{"formattedCitation":"Santos Manuel Coronas Gonz\\uc0\\u225{}lez, \\uc0\\u8220{}Hevia Bola\\uc0\\u241{}os y la Curia Philipica\\uc0\\u8221{}, {\\i{}Anuario de historia del derecho espa\\uc0\\u241{}ol}, n\\uc0\\u250{}m. 77 (2007): 77.","plainCitation":"Santos Manuel Coronas González, “Hevia Bolaños y la Curia Philipica”, Anuario de historia del derecho español, núm. 77 (2007): 77.","noteIndex":39},"citationItems":[{"id":8237,"uris":["http://zotero.org/users/163570/items/IAE9CDQX"],"uri":["http://zotero.org/users/163570/items/IAE9CDQX"],"itemData":{"id":8237,"type":"article-journal","title":"Hevia Bolaños y la Curia Philipica","container-title":"Anuario de historia del derecho español","page":"77-93","issue":"77","author":[{"family":"Coronas González","given":"Santos Manuel"}],"issued":{"date-parts":[["2007"]]}},"locator":"77","label":"page"}],"schema":"https://github.com/citation-style-language/schema/raw/master/csl-citation.json"} </w:instrText>
      </w:r>
      <w:r>
        <w:fldChar w:fldCharType="separate"/>
      </w:r>
      <w:r w:rsidRPr="00912BF7">
        <w:rPr>
          <w:rFonts w:cs="Times New Roman"/>
          <w:szCs w:val="24"/>
        </w:rPr>
        <w:t xml:space="preserve">Santos Manuel Coronas González, “Hevia Bolaños y la Curia Philipica”, </w:t>
      </w:r>
      <w:r w:rsidRPr="00912BF7">
        <w:rPr>
          <w:rFonts w:cs="Times New Roman"/>
          <w:i/>
          <w:iCs/>
          <w:szCs w:val="24"/>
        </w:rPr>
        <w:t>Anuario de historia del derecho español</w:t>
      </w:r>
      <w:r w:rsidRPr="00912BF7">
        <w:rPr>
          <w:rFonts w:cs="Times New Roman"/>
          <w:szCs w:val="24"/>
        </w:rPr>
        <w:t>, núm. 77 (2007): 77.</w:t>
      </w:r>
      <w:r>
        <w:fldChar w:fldCharType="end"/>
      </w:r>
    </w:p>
  </w:footnote>
  <w:footnote w:id="44">
    <w:p w14:paraId="7DBA8250" w14:textId="7BDA3DE8" w:rsidR="004D05B9" w:rsidRPr="00453281" w:rsidRDefault="004D05B9">
      <w:pPr>
        <w:pStyle w:val="Textonotapie"/>
        <w:rPr>
          <w:lang w:val="it-IT"/>
        </w:rPr>
      </w:pPr>
      <w:r>
        <w:rPr>
          <w:rStyle w:val="Refdenotaalpie"/>
        </w:rPr>
        <w:footnoteRef/>
      </w:r>
      <w:r w:rsidRPr="00453281">
        <w:rPr>
          <w:lang w:val="it-IT"/>
        </w:rPr>
        <w:t xml:space="preserve"> </w:t>
      </w:r>
      <w:r w:rsidRPr="00453281">
        <w:rPr>
          <w:highlight w:val="yellow"/>
          <w:lang w:val="it-IT"/>
        </w:rPr>
        <w:t xml:space="preserve">Hevia Bolaños, </w:t>
      </w:r>
      <w:r w:rsidRPr="00453281">
        <w:rPr>
          <w:i/>
          <w:highlight w:val="yellow"/>
          <w:lang w:val="it-IT"/>
        </w:rPr>
        <w:t>Curia Philipica</w:t>
      </w:r>
      <w:r w:rsidRPr="00453281">
        <w:rPr>
          <w:highlight w:val="yellow"/>
          <w:lang w:val="it-IT"/>
        </w:rPr>
        <w:t>, t. I, p. I, §1, núm. 1.</w:t>
      </w:r>
    </w:p>
  </w:footnote>
  <w:footnote w:id="45">
    <w:p w14:paraId="562A1A2B" w14:textId="059EAA0E" w:rsidR="004D05B9" w:rsidRPr="00D27351" w:rsidRDefault="004D05B9">
      <w:pPr>
        <w:pStyle w:val="Textonotapie"/>
        <w:rPr>
          <w:lang w:val="it-IT"/>
        </w:rPr>
      </w:pPr>
      <w:r>
        <w:rPr>
          <w:rStyle w:val="Refdenotaalpie"/>
        </w:rPr>
        <w:footnoteRef/>
      </w:r>
      <w:r w:rsidRPr="006409A3">
        <w:rPr>
          <w:lang w:val="it-IT"/>
        </w:rPr>
        <w:t xml:space="preserve"> Solórzano Pereira, Política indiana, lib. </w:t>
      </w:r>
      <w:r w:rsidRPr="00D27351">
        <w:rPr>
          <w:lang w:val="it-IT"/>
        </w:rPr>
        <w:t>I, cap. ix, núm. 8.</w:t>
      </w:r>
    </w:p>
  </w:footnote>
  <w:footnote w:id="46">
    <w:p w14:paraId="38459F24" w14:textId="5B672F2E" w:rsidR="004D05B9" w:rsidRDefault="004D05B9">
      <w:pPr>
        <w:pStyle w:val="Textonotapie"/>
      </w:pPr>
      <w:r>
        <w:rPr>
          <w:rStyle w:val="Refdenotaalpie"/>
        </w:rPr>
        <w:footnoteRef/>
      </w:r>
      <w:r w:rsidRPr="00912BF7">
        <w:t xml:space="preserve"> </w:t>
      </w:r>
      <w:r>
        <w:fldChar w:fldCharType="begin"/>
      </w:r>
      <w:r>
        <w:instrText xml:space="preserve"> ADDIN ZOTERO_ITEM CSL_CITATION {"citationID":"fI73Vgkx","properties":{"formattedCitation":"Prodi, {\\i{}Una historia de la justicia}, 42.","plainCitation":"Prodi, Una historia de la justicia, 42.","noteIndex":42},"citationItems":[{"id":3390,"uris":["http://zotero.org/users/163570/items/C54QSDGR"],"uri":["http://zotero.org/users/163570/items/C54QSDGR"],"itemData":{"id":3390,"type":"book","title":"Una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B068AB">
        <w:rPr>
          <w:rFonts w:cs="Times New Roman"/>
          <w:szCs w:val="24"/>
        </w:rPr>
        <w:t xml:space="preserve">Prodi, </w:t>
      </w:r>
      <w:r w:rsidRPr="00B068AB">
        <w:rPr>
          <w:rFonts w:cs="Times New Roman"/>
          <w:i/>
          <w:iCs/>
          <w:szCs w:val="24"/>
        </w:rPr>
        <w:t>Una historia de la justicia</w:t>
      </w:r>
      <w:r w:rsidRPr="00B068AB">
        <w:rPr>
          <w:rFonts w:cs="Times New Roman"/>
          <w:szCs w:val="24"/>
        </w:rPr>
        <w:t>, 42.</w:t>
      </w:r>
      <w:r>
        <w:fldChar w:fldCharType="end"/>
      </w:r>
    </w:p>
  </w:footnote>
  <w:footnote w:id="47">
    <w:p w14:paraId="664D06BB" w14:textId="77777777" w:rsidR="004D05B9" w:rsidRPr="00573862" w:rsidRDefault="004D05B9" w:rsidP="00242AB4">
      <w:pPr>
        <w:pStyle w:val="Textonotapie"/>
      </w:pPr>
      <w:r w:rsidRPr="002B6C75">
        <w:rPr>
          <w:rStyle w:val="Refdenotaalpie"/>
        </w:rPr>
        <w:footnoteRef/>
      </w:r>
      <w:r>
        <w:t xml:space="preserve">  Se cita allí la máxima evangélica que rezaba “Ninguna autoridad tendrías contra mí si no se te hubiera dado desde arriba”</w:t>
      </w:r>
      <w:r w:rsidRPr="00AE5979">
        <w:t xml:space="preserve">. </w:t>
      </w:r>
      <w:r>
        <w:t>Jn 19:11</w:t>
      </w:r>
      <w:r w:rsidRPr="00AE5979">
        <w:t>.</w:t>
      </w:r>
    </w:p>
  </w:footnote>
  <w:footnote w:id="48">
    <w:p w14:paraId="34081065" w14:textId="77777777" w:rsidR="004D05B9" w:rsidRPr="00573862" w:rsidRDefault="004D05B9" w:rsidP="00242AB4">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49">
    <w:p w14:paraId="3469D213" w14:textId="77777777" w:rsidR="004D05B9" w:rsidRPr="002A7410" w:rsidRDefault="004D05B9" w:rsidP="00242AB4">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50">
    <w:p w14:paraId="5AAD0582" w14:textId="77777777" w:rsidR="004D05B9" w:rsidRPr="00C34A5D" w:rsidRDefault="004D05B9" w:rsidP="00242AB4">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51">
    <w:p w14:paraId="3AB92791" w14:textId="77777777" w:rsidR="004D05B9" w:rsidRPr="00653A46" w:rsidRDefault="004D05B9" w:rsidP="00242AB4">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52">
    <w:p w14:paraId="6C2FA942" w14:textId="32E86BE6" w:rsidR="004D05B9" w:rsidRDefault="004D05B9" w:rsidP="00242AB4">
      <w:pPr>
        <w:pStyle w:val="Textonotapie"/>
      </w:pPr>
      <w:r>
        <w:rPr>
          <w:rStyle w:val="Refdenotaalpie"/>
        </w:rPr>
        <w:footnoteRef/>
      </w:r>
      <w:r>
        <w:t xml:space="preserve"> </w:t>
      </w:r>
      <w:r>
        <w:fldChar w:fldCharType="begin"/>
      </w:r>
      <w:r>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64.","noteIndex":48},"citationItems":[{"id":8219,"uris":["http://zotero.org/users/163570/items/FSB4WV2J"],"uri":["http://zotero.org/users/163570/items/FSB4WV2J"],"itemData":{"id":8219,"type":"book","title":"Vigilar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53">
    <w:p w14:paraId="7B7D4308" w14:textId="77777777" w:rsidR="004D05B9" w:rsidRPr="005A04A0" w:rsidRDefault="004D05B9" w:rsidP="00242AB4">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54">
    <w:p w14:paraId="0F818611" w14:textId="49761D3F" w:rsidR="004D05B9" w:rsidRDefault="004D05B9" w:rsidP="00242AB4">
      <w:pPr>
        <w:pStyle w:val="Textonotapie"/>
      </w:pPr>
      <w:r>
        <w:rPr>
          <w:rStyle w:val="Refdenotaalpie"/>
        </w:rPr>
        <w:footnoteRef/>
      </w:r>
      <w:r>
        <w:t xml:space="preserve"> </w:t>
      </w:r>
      <w:r>
        <w:fldChar w:fldCharType="begin"/>
      </w:r>
      <w:r>
        <w:instrText xml:space="preserve"> ADDIN ZOTERO_ITEM CSL_CITATION {"citationID":"BJMXXsYz","properties":{"formattedCitation":"Calder\\uc0\\u243{}n de la Barca, {\\i{}El indulto general}, vv. 1257\\uc0\\u8211{}1265.","plainCitation":"Calderón de la Barca, El indulto general, vv. 1257–1265.","noteIndex":50},"citationItems":[{"id":8192,"uris":["http://zotero.org/users/163570/items/AY4587QQ"],"uri":["http://zotero.org/users/163570/items/AY4587QQ"],"itemData":{"id":8192,"type":"book","title":"El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55">
    <w:p w14:paraId="29C328FD" w14:textId="1A5E1F8B" w:rsidR="004D05B9" w:rsidRPr="00755E15" w:rsidRDefault="004D05B9">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56">
    <w:p w14:paraId="2F808296" w14:textId="6367E4F0" w:rsidR="004D05B9" w:rsidRDefault="004D05B9">
      <w:pPr>
        <w:pStyle w:val="Textonotapie"/>
      </w:pPr>
      <w:r>
        <w:rPr>
          <w:rStyle w:val="Refdenotaalpie"/>
        </w:rPr>
        <w:footnoteRef/>
      </w:r>
      <w:r>
        <w:t xml:space="preserve"> Zorita, 59.</w:t>
      </w:r>
    </w:p>
  </w:footnote>
  <w:footnote w:id="57">
    <w:p w14:paraId="217FAAD7" w14:textId="3E5B4536" w:rsidR="004D05B9" w:rsidRDefault="004D05B9">
      <w:pPr>
        <w:pStyle w:val="Textonotapie"/>
      </w:pPr>
      <w:r>
        <w:rPr>
          <w:rStyle w:val="Refdenotaalpie"/>
        </w:rPr>
        <w:footnoteRef/>
      </w:r>
      <w:r>
        <w:t xml:space="preserve"> Zorita, 65.</w:t>
      </w:r>
    </w:p>
  </w:footnote>
  <w:footnote w:id="58">
    <w:p w14:paraId="6815931B" w14:textId="6DD0AA76" w:rsidR="004D05B9" w:rsidRPr="00137320" w:rsidRDefault="004D05B9" w:rsidP="00F22980">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9">
    <w:p w14:paraId="1EB953B1" w14:textId="1EE2F2AB" w:rsidR="004D05B9" w:rsidRDefault="004D05B9" w:rsidP="00F22980">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14.","noteIndex":55},"citationItems":[{"id":8214,"uris":["http://zotero.org/users/163570/items/6KAVYLUY"],"uri":["http://zotero.org/users/163570/items/6KAVYLUY"],"itemData":{"id":8214,"type":"article-journal","title":"«In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201.","noteIndex":55},"citationItems":[{"id":8216,"uris":["http://zotero.org/users/163570/items/UAKUXGM3"],"uri":["http://zotero.org/users/163570/items/UAKUXGM3"],"itemData":{"id":8216,"type":"article-journal","title":"El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60">
    <w:p w14:paraId="46CC81D2" w14:textId="3D9D4250" w:rsidR="004D05B9" w:rsidRDefault="004D05B9" w:rsidP="00F22980">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9–10.","noteIndex":56},"citationItems":[{"id":8192,"uris":["http://zotero.org/users/163570/items/AY4587QQ"],"uri":["http://zotero.org/users/163570/items/AY4587QQ"],"itemData":{"id":8192,"type":"book","title":"El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61">
    <w:p w14:paraId="2E9D2AEF" w14:textId="78CD62D7" w:rsidR="004D05B9" w:rsidRDefault="004D05B9" w:rsidP="00F22980">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12–13.","noteIndex":57},"citationItems":[{"id":8214,"uris":["http://zotero.org/users/163570/items/6KAVYLUY"],"uri":["http://zotero.org/users/163570/items/6KAVYLUY"],"itemData":{"id":8214,"type":"article-journal","title":"«In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62">
    <w:p w14:paraId="5E84DDE7" w14:textId="1A3F8CC3" w:rsidR="004D05B9" w:rsidRDefault="004D05B9" w:rsidP="00F22980">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12.","noteIndex":58},"citationItems":[{"id":8214,"uris":["http://zotero.org/users/163570/items/6KAVYLUY"],"uri":["http://zotero.org/users/163570/items/6KAVYLUY"],"itemData":{"id":8214,"type":"article-journal","title":"«In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63">
    <w:p w14:paraId="2A41C0E9" w14:textId="77777777" w:rsidR="004D05B9" w:rsidRDefault="004D05B9" w:rsidP="00F22980">
      <w:pPr>
        <w:pStyle w:val="Textonotapie"/>
      </w:pPr>
      <w:r>
        <w:rPr>
          <w:rStyle w:val="Refdenotaalpie"/>
        </w:rPr>
        <w:footnoteRef/>
      </w:r>
      <w:r>
        <w:t xml:space="preserve"> Referencia en el original a tres citas bíblicas: Mt 12:7, Sal 106, Pr 3:3.</w:t>
      </w:r>
    </w:p>
  </w:footnote>
  <w:footnote w:id="64">
    <w:p w14:paraId="379263E4" w14:textId="77777777" w:rsidR="004D05B9" w:rsidRPr="0020271B" w:rsidRDefault="004D05B9" w:rsidP="00F22980">
      <w:pPr>
        <w:pStyle w:val="Textonotapie"/>
      </w:pPr>
      <w:r>
        <w:rPr>
          <w:rStyle w:val="Refdenotaalpie"/>
        </w:rPr>
        <w:footnoteRef/>
      </w:r>
      <w:r>
        <w:t xml:space="preserve"> Guardiola y Sáez, </w:t>
      </w:r>
      <w:r>
        <w:rPr>
          <w:i/>
        </w:rPr>
        <w:t>El corregidor perfecto</w:t>
      </w:r>
      <w:r>
        <w:t xml:space="preserve">, parte II, </w:t>
      </w:r>
      <w:r w:rsidRPr="0020271B">
        <w:t>§</w:t>
      </w:r>
      <w:r>
        <w:t xml:space="preserve"> IV, núm. 33.</w:t>
      </w:r>
    </w:p>
  </w:footnote>
  <w:footnote w:id="65">
    <w:p w14:paraId="060EF2FB" w14:textId="77777777" w:rsidR="004D05B9" w:rsidRPr="00C054C4" w:rsidRDefault="004D05B9" w:rsidP="00F22980">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6">
    <w:p w14:paraId="068C2FCC" w14:textId="77777777" w:rsidR="004D05B9" w:rsidRDefault="004D05B9" w:rsidP="00F22980">
      <w:pPr>
        <w:pStyle w:val="Textonotapie"/>
      </w:pPr>
      <w:r>
        <w:rPr>
          <w:rStyle w:val="Refdenotaalpie"/>
        </w:rPr>
        <w:footnoteRef/>
      </w:r>
      <w:r>
        <w:t xml:space="preserve"> Castillo de Bovadilla, lib. III, cap. XII, núm. 7.</w:t>
      </w:r>
    </w:p>
  </w:footnote>
  <w:footnote w:id="67">
    <w:p w14:paraId="4B1269D1" w14:textId="77777777" w:rsidR="004D05B9" w:rsidRPr="00364BD5" w:rsidRDefault="004D05B9" w:rsidP="00F22980">
      <w:pPr>
        <w:pStyle w:val="Textonotapie"/>
        <w:rPr>
          <w:lang w:val="fr-FR"/>
        </w:rPr>
      </w:pPr>
      <w:r>
        <w:rPr>
          <w:rStyle w:val="Refdenotaalpie"/>
        </w:rPr>
        <w:footnoteRef/>
      </w:r>
      <w:r>
        <w:t xml:space="preserve"> Castillo de Bovadilla, lib. </w:t>
      </w:r>
      <w:r w:rsidRPr="00F05BA7">
        <w:t xml:space="preserve">III, cap. </w:t>
      </w:r>
      <w:r w:rsidRPr="00364BD5">
        <w:rPr>
          <w:lang w:val="fr-FR"/>
        </w:rPr>
        <w:t>XII, núm. 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9"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19"/>
  </w:num>
  <w:num w:numId="2">
    <w:abstractNumId w:val="5"/>
  </w:num>
  <w:num w:numId="3">
    <w:abstractNumId w:val="16"/>
  </w:num>
  <w:num w:numId="4">
    <w:abstractNumId w:val="11"/>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
  </w:num>
  <w:num w:numId="9">
    <w:abstractNumId w:val="10"/>
  </w:num>
  <w:num w:numId="10">
    <w:abstractNumId w:val="9"/>
  </w:num>
  <w:num w:numId="11">
    <w:abstractNumId w:val="1"/>
  </w:num>
  <w:num w:numId="12">
    <w:abstractNumId w:val="17"/>
  </w:num>
  <w:num w:numId="13">
    <w:abstractNumId w:val="6"/>
  </w:num>
  <w:num w:numId="14">
    <w:abstractNumId w:val="14"/>
  </w:num>
  <w:num w:numId="15">
    <w:abstractNumId w:val="8"/>
  </w:num>
  <w:num w:numId="16">
    <w:abstractNumId w:val="12"/>
  </w:num>
  <w:num w:numId="17">
    <w:abstractNumId w:val="13"/>
  </w:num>
  <w:num w:numId="18">
    <w:abstractNumId w:val="2"/>
  </w:num>
  <w:num w:numId="19">
    <w:abstractNumId w:val="7"/>
  </w:num>
  <w:num w:numId="20">
    <w:abstractNumId w:val="4"/>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EAA"/>
    <w:rsid w:val="00004051"/>
    <w:rsid w:val="00005E55"/>
    <w:rsid w:val="000068F8"/>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4D95"/>
    <w:rsid w:val="000602A4"/>
    <w:rsid w:val="00065B9B"/>
    <w:rsid w:val="00065F91"/>
    <w:rsid w:val="00067D02"/>
    <w:rsid w:val="000778C1"/>
    <w:rsid w:val="0008025F"/>
    <w:rsid w:val="00087B96"/>
    <w:rsid w:val="00087BC1"/>
    <w:rsid w:val="000A1CF6"/>
    <w:rsid w:val="000A2FB1"/>
    <w:rsid w:val="000A6590"/>
    <w:rsid w:val="000A6ADA"/>
    <w:rsid w:val="000A7C05"/>
    <w:rsid w:val="000A7CAE"/>
    <w:rsid w:val="000B13F6"/>
    <w:rsid w:val="000B1ACC"/>
    <w:rsid w:val="000B2B81"/>
    <w:rsid w:val="000B36F5"/>
    <w:rsid w:val="000B4007"/>
    <w:rsid w:val="000C1053"/>
    <w:rsid w:val="000C1EEA"/>
    <w:rsid w:val="000C3630"/>
    <w:rsid w:val="000C3722"/>
    <w:rsid w:val="000C3B4D"/>
    <w:rsid w:val="000C5699"/>
    <w:rsid w:val="000C59B5"/>
    <w:rsid w:val="000C7CFA"/>
    <w:rsid w:val="000D0722"/>
    <w:rsid w:val="000D289E"/>
    <w:rsid w:val="000D3181"/>
    <w:rsid w:val="000D77E0"/>
    <w:rsid w:val="000D7C7C"/>
    <w:rsid w:val="000E2090"/>
    <w:rsid w:val="000E4B53"/>
    <w:rsid w:val="000E7114"/>
    <w:rsid w:val="000F01DD"/>
    <w:rsid w:val="000F2BAD"/>
    <w:rsid w:val="000F3839"/>
    <w:rsid w:val="000F415D"/>
    <w:rsid w:val="000F59E1"/>
    <w:rsid w:val="00102968"/>
    <w:rsid w:val="0010513E"/>
    <w:rsid w:val="00111F38"/>
    <w:rsid w:val="00112B69"/>
    <w:rsid w:val="00113798"/>
    <w:rsid w:val="0011469E"/>
    <w:rsid w:val="00116273"/>
    <w:rsid w:val="00117822"/>
    <w:rsid w:val="00117A9C"/>
    <w:rsid w:val="00122329"/>
    <w:rsid w:val="00123602"/>
    <w:rsid w:val="00123CC7"/>
    <w:rsid w:val="00126935"/>
    <w:rsid w:val="00127A9C"/>
    <w:rsid w:val="001309A5"/>
    <w:rsid w:val="00131A0A"/>
    <w:rsid w:val="00132E3A"/>
    <w:rsid w:val="00134E68"/>
    <w:rsid w:val="00137320"/>
    <w:rsid w:val="00142E02"/>
    <w:rsid w:val="0014412D"/>
    <w:rsid w:val="00146FD9"/>
    <w:rsid w:val="001478CB"/>
    <w:rsid w:val="001530D7"/>
    <w:rsid w:val="001544D0"/>
    <w:rsid w:val="001573BA"/>
    <w:rsid w:val="00160A4C"/>
    <w:rsid w:val="0016104C"/>
    <w:rsid w:val="00164B64"/>
    <w:rsid w:val="0016649F"/>
    <w:rsid w:val="00170F83"/>
    <w:rsid w:val="001754C2"/>
    <w:rsid w:val="001917AB"/>
    <w:rsid w:val="00191C85"/>
    <w:rsid w:val="00191E14"/>
    <w:rsid w:val="001B2249"/>
    <w:rsid w:val="001B4764"/>
    <w:rsid w:val="001B61B0"/>
    <w:rsid w:val="001B79A8"/>
    <w:rsid w:val="001D4E85"/>
    <w:rsid w:val="001D58D7"/>
    <w:rsid w:val="001E0330"/>
    <w:rsid w:val="001E15B1"/>
    <w:rsid w:val="001E16B2"/>
    <w:rsid w:val="001E1BEF"/>
    <w:rsid w:val="001E394C"/>
    <w:rsid w:val="001E5979"/>
    <w:rsid w:val="001F55DA"/>
    <w:rsid w:val="001F6A3F"/>
    <w:rsid w:val="001F7A79"/>
    <w:rsid w:val="0020271B"/>
    <w:rsid w:val="002056AD"/>
    <w:rsid w:val="00211A92"/>
    <w:rsid w:val="00213058"/>
    <w:rsid w:val="00220385"/>
    <w:rsid w:val="0022561B"/>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423E"/>
    <w:rsid w:val="002724A4"/>
    <w:rsid w:val="00273647"/>
    <w:rsid w:val="00281C75"/>
    <w:rsid w:val="00285218"/>
    <w:rsid w:val="002858B2"/>
    <w:rsid w:val="00285AB4"/>
    <w:rsid w:val="002974D2"/>
    <w:rsid w:val="002A1714"/>
    <w:rsid w:val="002A1C33"/>
    <w:rsid w:val="002A1EB5"/>
    <w:rsid w:val="002A3D12"/>
    <w:rsid w:val="002A4B7D"/>
    <w:rsid w:val="002A6BED"/>
    <w:rsid w:val="002A6D37"/>
    <w:rsid w:val="002A6F16"/>
    <w:rsid w:val="002A7C29"/>
    <w:rsid w:val="002B4F9E"/>
    <w:rsid w:val="002B6C75"/>
    <w:rsid w:val="002B71A0"/>
    <w:rsid w:val="002C0CF3"/>
    <w:rsid w:val="002C31D4"/>
    <w:rsid w:val="002C36EE"/>
    <w:rsid w:val="002C53AF"/>
    <w:rsid w:val="002C5578"/>
    <w:rsid w:val="002C58DF"/>
    <w:rsid w:val="002D17B5"/>
    <w:rsid w:val="002D344A"/>
    <w:rsid w:val="002D4546"/>
    <w:rsid w:val="002D535C"/>
    <w:rsid w:val="002E1398"/>
    <w:rsid w:val="002E15D5"/>
    <w:rsid w:val="002F071D"/>
    <w:rsid w:val="002F1F37"/>
    <w:rsid w:val="002F2950"/>
    <w:rsid w:val="00301BE4"/>
    <w:rsid w:val="00302F7B"/>
    <w:rsid w:val="0030389A"/>
    <w:rsid w:val="00304BCC"/>
    <w:rsid w:val="00311A3C"/>
    <w:rsid w:val="00312258"/>
    <w:rsid w:val="00312A9B"/>
    <w:rsid w:val="00312EF0"/>
    <w:rsid w:val="00314027"/>
    <w:rsid w:val="003142C3"/>
    <w:rsid w:val="003145D6"/>
    <w:rsid w:val="00325A34"/>
    <w:rsid w:val="003268DD"/>
    <w:rsid w:val="003307D4"/>
    <w:rsid w:val="00330F81"/>
    <w:rsid w:val="00331B59"/>
    <w:rsid w:val="00336BAF"/>
    <w:rsid w:val="00341052"/>
    <w:rsid w:val="00341DA2"/>
    <w:rsid w:val="0034339A"/>
    <w:rsid w:val="0034609E"/>
    <w:rsid w:val="00353440"/>
    <w:rsid w:val="0036187F"/>
    <w:rsid w:val="00363556"/>
    <w:rsid w:val="00364BD5"/>
    <w:rsid w:val="00364D51"/>
    <w:rsid w:val="00375EDA"/>
    <w:rsid w:val="00375F6B"/>
    <w:rsid w:val="003767F0"/>
    <w:rsid w:val="00376AB6"/>
    <w:rsid w:val="00377315"/>
    <w:rsid w:val="0038402C"/>
    <w:rsid w:val="00386C4C"/>
    <w:rsid w:val="00394194"/>
    <w:rsid w:val="00395402"/>
    <w:rsid w:val="003971E3"/>
    <w:rsid w:val="00397844"/>
    <w:rsid w:val="003A1A84"/>
    <w:rsid w:val="003A2A8E"/>
    <w:rsid w:val="003A3E26"/>
    <w:rsid w:val="003A4475"/>
    <w:rsid w:val="003A6E80"/>
    <w:rsid w:val="003A739E"/>
    <w:rsid w:val="003B2520"/>
    <w:rsid w:val="003B564E"/>
    <w:rsid w:val="003B607F"/>
    <w:rsid w:val="003B65A6"/>
    <w:rsid w:val="003C401E"/>
    <w:rsid w:val="003D4F03"/>
    <w:rsid w:val="003D6EAE"/>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459E"/>
    <w:rsid w:val="004308E1"/>
    <w:rsid w:val="00432FBA"/>
    <w:rsid w:val="00444FE7"/>
    <w:rsid w:val="0045090F"/>
    <w:rsid w:val="00450953"/>
    <w:rsid w:val="00452E15"/>
    <w:rsid w:val="00453281"/>
    <w:rsid w:val="00461A7A"/>
    <w:rsid w:val="004628C3"/>
    <w:rsid w:val="00464785"/>
    <w:rsid w:val="00464AD6"/>
    <w:rsid w:val="00466519"/>
    <w:rsid w:val="00466C1B"/>
    <w:rsid w:val="004704C7"/>
    <w:rsid w:val="00472190"/>
    <w:rsid w:val="004726B7"/>
    <w:rsid w:val="004735B6"/>
    <w:rsid w:val="0047512A"/>
    <w:rsid w:val="004755E2"/>
    <w:rsid w:val="00484FB4"/>
    <w:rsid w:val="00491039"/>
    <w:rsid w:val="00494234"/>
    <w:rsid w:val="004956DE"/>
    <w:rsid w:val="00497A7D"/>
    <w:rsid w:val="004A1A9C"/>
    <w:rsid w:val="004A1C86"/>
    <w:rsid w:val="004B11E4"/>
    <w:rsid w:val="004B3411"/>
    <w:rsid w:val="004B3B57"/>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500348"/>
    <w:rsid w:val="00503A44"/>
    <w:rsid w:val="0050477D"/>
    <w:rsid w:val="00507B87"/>
    <w:rsid w:val="005137D0"/>
    <w:rsid w:val="005166E9"/>
    <w:rsid w:val="00516F63"/>
    <w:rsid w:val="00520895"/>
    <w:rsid w:val="00523356"/>
    <w:rsid w:val="00525F67"/>
    <w:rsid w:val="005306EA"/>
    <w:rsid w:val="00533D9A"/>
    <w:rsid w:val="00537AE8"/>
    <w:rsid w:val="005433D6"/>
    <w:rsid w:val="005440D9"/>
    <w:rsid w:val="00545629"/>
    <w:rsid w:val="00565B64"/>
    <w:rsid w:val="005666D8"/>
    <w:rsid w:val="00567C76"/>
    <w:rsid w:val="00570D59"/>
    <w:rsid w:val="00572F2C"/>
    <w:rsid w:val="00577FF2"/>
    <w:rsid w:val="00580E83"/>
    <w:rsid w:val="005844AE"/>
    <w:rsid w:val="00590FCC"/>
    <w:rsid w:val="00592AD1"/>
    <w:rsid w:val="005935C1"/>
    <w:rsid w:val="00593D82"/>
    <w:rsid w:val="00594ACD"/>
    <w:rsid w:val="00595B83"/>
    <w:rsid w:val="005A12A8"/>
    <w:rsid w:val="005A4693"/>
    <w:rsid w:val="005A53FF"/>
    <w:rsid w:val="005B055C"/>
    <w:rsid w:val="005B05B1"/>
    <w:rsid w:val="005B2C6F"/>
    <w:rsid w:val="005D3FA1"/>
    <w:rsid w:val="005D46DD"/>
    <w:rsid w:val="005E4727"/>
    <w:rsid w:val="005E6CE4"/>
    <w:rsid w:val="005E7BAC"/>
    <w:rsid w:val="005F1025"/>
    <w:rsid w:val="005F746C"/>
    <w:rsid w:val="00601520"/>
    <w:rsid w:val="0060289C"/>
    <w:rsid w:val="00602CC3"/>
    <w:rsid w:val="00604337"/>
    <w:rsid w:val="00604C80"/>
    <w:rsid w:val="006126EC"/>
    <w:rsid w:val="006128BA"/>
    <w:rsid w:val="00613890"/>
    <w:rsid w:val="006211F4"/>
    <w:rsid w:val="0062417A"/>
    <w:rsid w:val="00625740"/>
    <w:rsid w:val="00627034"/>
    <w:rsid w:val="00632255"/>
    <w:rsid w:val="00632A67"/>
    <w:rsid w:val="00636256"/>
    <w:rsid w:val="00637FA8"/>
    <w:rsid w:val="006409A3"/>
    <w:rsid w:val="00645E07"/>
    <w:rsid w:val="00647AB3"/>
    <w:rsid w:val="00650140"/>
    <w:rsid w:val="00653A46"/>
    <w:rsid w:val="0065409B"/>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6D37"/>
    <w:rsid w:val="00677069"/>
    <w:rsid w:val="00682D0E"/>
    <w:rsid w:val="00683C91"/>
    <w:rsid w:val="00685D0C"/>
    <w:rsid w:val="0069009E"/>
    <w:rsid w:val="00693857"/>
    <w:rsid w:val="006A0C4B"/>
    <w:rsid w:val="006A5213"/>
    <w:rsid w:val="006A672D"/>
    <w:rsid w:val="006A70E5"/>
    <w:rsid w:val="006A7CFF"/>
    <w:rsid w:val="006B1DAE"/>
    <w:rsid w:val="006B20EE"/>
    <w:rsid w:val="006B51F8"/>
    <w:rsid w:val="006B6B52"/>
    <w:rsid w:val="006B6E95"/>
    <w:rsid w:val="006D096D"/>
    <w:rsid w:val="006D2579"/>
    <w:rsid w:val="006D2682"/>
    <w:rsid w:val="006E11ED"/>
    <w:rsid w:val="006E24E4"/>
    <w:rsid w:val="006E2B23"/>
    <w:rsid w:val="006E2B46"/>
    <w:rsid w:val="006E3973"/>
    <w:rsid w:val="006E4054"/>
    <w:rsid w:val="006E7B3C"/>
    <w:rsid w:val="006E7C4B"/>
    <w:rsid w:val="006F0199"/>
    <w:rsid w:val="006F0C1E"/>
    <w:rsid w:val="006F43A5"/>
    <w:rsid w:val="006F5E81"/>
    <w:rsid w:val="006F7E08"/>
    <w:rsid w:val="0070048C"/>
    <w:rsid w:val="00700CBA"/>
    <w:rsid w:val="00700D25"/>
    <w:rsid w:val="00701E31"/>
    <w:rsid w:val="00703095"/>
    <w:rsid w:val="0070628F"/>
    <w:rsid w:val="00707D96"/>
    <w:rsid w:val="007126D3"/>
    <w:rsid w:val="00714366"/>
    <w:rsid w:val="00720197"/>
    <w:rsid w:val="00724125"/>
    <w:rsid w:val="00724F89"/>
    <w:rsid w:val="00725B91"/>
    <w:rsid w:val="007319E7"/>
    <w:rsid w:val="00734344"/>
    <w:rsid w:val="0073488D"/>
    <w:rsid w:val="00734A1B"/>
    <w:rsid w:val="00736260"/>
    <w:rsid w:val="00736368"/>
    <w:rsid w:val="00743A8C"/>
    <w:rsid w:val="007441DB"/>
    <w:rsid w:val="00751AF7"/>
    <w:rsid w:val="0075433A"/>
    <w:rsid w:val="00755042"/>
    <w:rsid w:val="00755CE8"/>
    <w:rsid w:val="00755E15"/>
    <w:rsid w:val="00762FE7"/>
    <w:rsid w:val="0076306D"/>
    <w:rsid w:val="00767801"/>
    <w:rsid w:val="00767A73"/>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D1F5B"/>
    <w:rsid w:val="007D4515"/>
    <w:rsid w:val="007D7629"/>
    <w:rsid w:val="007D7D42"/>
    <w:rsid w:val="007D7E74"/>
    <w:rsid w:val="007E5CB7"/>
    <w:rsid w:val="007E7B8A"/>
    <w:rsid w:val="007F1766"/>
    <w:rsid w:val="007F24F4"/>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7352"/>
    <w:rsid w:val="00891315"/>
    <w:rsid w:val="00892BDA"/>
    <w:rsid w:val="00892D06"/>
    <w:rsid w:val="00893F33"/>
    <w:rsid w:val="008958FE"/>
    <w:rsid w:val="00897132"/>
    <w:rsid w:val="008979B9"/>
    <w:rsid w:val="008A21B7"/>
    <w:rsid w:val="008A2727"/>
    <w:rsid w:val="008A2DA7"/>
    <w:rsid w:val="008B1E67"/>
    <w:rsid w:val="008B7B56"/>
    <w:rsid w:val="008C09F0"/>
    <w:rsid w:val="008C2CAC"/>
    <w:rsid w:val="008C7F0E"/>
    <w:rsid w:val="008D23B4"/>
    <w:rsid w:val="008D5F8A"/>
    <w:rsid w:val="008D71A0"/>
    <w:rsid w:val="008D7B48"/>
    <w:rsid w:val="008E1FFC"/>
    <w:rsid w:val="008E55EA"/>
    <w:rsid w:val="008F1007"/>
    <w:rsid w:val="008F36FD"/>
    <w:rsid w:val="008F377B"/>
    <w:rsid w:val="008F628B"/>
    <w:rsid w:val="009002A6"/>
    <w:rsid w:val="009045B6"/>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77FC"/>
    <w:rsid w:val="009600DC"/>
    <w:rsid w:val="00960C69"/>
    <w:rsid w:val="00963F3A"/>
    <w:rsid w:val="00964F52"/>
    <w:rsid w:val="00967F83"/>
    <w:rsid w:val="0097273C"/>
    <w:rsid w:val="009759D1"/>
    <w:rsid w:val="009904B1"/>
    <w:rsid w:val="00994EC9"/>
    <w:rsid w:val="00996F83"/>
    <w:rsid w:val="009A28F3"/>
    <w:rsid w:val="009A50FD"/>
    <w:rsid w:val="009A5A86"/>
    <w:rsid w:val="009A707D"/>
    <w:rsid w:val="009A7156"/>
    <w:rsid w:val="009B147C"/>
    <w:rsid w:val="009B3BC4"/>
    <w:rsid w:val="009B5CD1"/>
    <w:rsid w:val="009C21FF"/>
    <w:rsid w:val="009C502A"/>
    <w:rsid w:val="009C68C7"/>
    <w:rsid w:val="009C75E0"/>
    <w:rsid w:val="009D1930"/>
    <w:rsid w:val="009D1FB7"/>
    <w:rsid w:val="009D49BD"/>
    <w:rsid w:val="009E4287"/>
    <w:rsid w:val="009E48AE"/>
    <w:rsid w:val="009E6782"/>
    <w:rsid w:val="009E76D2"/>
    <w:rsid w:val="009E7C29"/>
    <w:rsid w:val="00A00775"/>
    <w:rsid w:val="00A06B11"/>
    <w:rsid w:val="00A07920"/>
    <w:rsid w:val="00A1012F"/>
    <w:rsid w:val="00A11957"/>
    <w:rsid w:val="00A277B2"/>
    <w:rsid w:val="00A3241E"/>
    <w:rsid w:val="00A37ED6"/>
    <w:rsid w:val="00A44824"/>
    <w:rsid w:val="00A46D07"/>
    <w:rsid w:val="00A50404"/>
    <w:rsid w:val="00A51D3A"/>
    <w:rsid w:val="00A56C33"/>
    <w:rsid w:val="00A60385"/>
    <w:rsid w:val="00A6066F"/>
    <w:rsid w:val="00A65238"/>
    <w:rsid w:val="00A65548"/>
    <w:rsid w:val="00A76EFA"/>
    <w:rsid w:val="00A77E24"/>
    <w:rsid w:val="00A8093A"/>
    <w:rsid w:val="00A80EDA"/>
    <w:rsid w:val="00A90C68"/>
    <w:rsid w:val="00A916BC"/>
    <w:rsid w:val="00A92165"/>
    <w:rsid w:val="00A94EC6"/>
    <w:rsid w:val="00A96226"/>
    <w:rsid w:val="00A97FB0"/>
    <w:rsid w:val="00AA511A"/>
    <w:rsid w:val="00AA7B98"/>
    <w:rsid w:val="00AB12F3"/>
    <w:rsid w:val="00AB186B"/>
    <w:rsid w:val="00AB236F"/>
    <w:rsid w:val="00AB263E"/>
    <w:rsid w:val="00AB3F05"/>
    <w:rsid w:val="00AB4794"/>
    <w:rsid w:val="00AB4D57"/>
    <w:rsid w:val="00AB5A40"/>
    <w:rsid w:val="00AC0576"/>
    <w:rsid w:val="00AD04AD"/>
    <w:rsid w:val="00AD7100"/>
    <w:rsid w:val="00AE284D"/>
    <w:rsid w:val="00AE3608"/>
    <w:rsid w:val="00AE3978"/>
    <w:rsid w:val="00AE48AE"/>
    <w:rsid w:val="00AE68EA"/>
    <w:rsid w:val="00AF057A"/>
    <w:rsid w:val="00AF29A2"/>
    <w:rsid w:val="00AF455D"/>
    <w:rsid w:val="00B011C4"/>
    <w:rsid w:val="00B0400F"/>
    <w:rsid w:val="00B068AB"/>
    <w:rsid w:val="00B169BD"/>
    <w:rsid w:val="00B20DA2"/>
    <w:rsid w:val="00B2236D"/>
    <w:rsid w:val="00B22F55"/>
    <w:rsid w:val="00B247B2"/>
    <w:rsid w:val="00B27F31"/>
    <w:rsid w:val="00B30064"/>
    <w:rsid w:val="00B3156A"/>
    <w:rsid w:val="00B32981"/>
    <w:rsid w:val="00B33E35"/>
    <w:rsid w:val="00B354EA"/>
    <w:rsid w:val="00B402E3"/>
    <w:rsid w:val="00B45562"/>
    <w:rsid w:val="00B45861"/>
    <w:rsid w:val="00B530AB"/>
    <w:rsid w:val="00B5325E"/>
    <w:rsid w:val="00B5399E"/>
    <w:rsid w:val="00B54A63"/>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2B4D"/>
    <w:rsid w:val="00B844BB"/>
    <w:rsid w:val="00B90477"/>
    <w:rsid w:val="00B91863"/>
    <w:rsid w:val="00B92233"/>
    <w:rsid w:val="00B931C3"/>
    <w:rsid w:val="00B95181"/>
    <w:rsid w:val="00B9631D"/>
    <w:rsid w:val="00B97549"/>
    <w:rsid w:val="00BA2C62"/>
    <w:rsid w:val="00BA35EF"/>
    <w:rsid w:val="00BA76C0"/>
    <w:rsid w:val="00BB134C"/>
    <w:rsid w:val="00BB22D0"/>
    <w:rsid w:val="00BB378A"/>
    <w:rsid w:val="00BB38A4"/>
    <w:rsid w:val="00BB67EA"/>
    <w:rsid w:val="00BB7363"/>
    <w:rsid w:val="00BC18E6"/>
    <w:rsid w:val="00BC4CEA"/>
    <w:rsid w:val="00BC72A7"/>
    <w:rsid w:val="00BC74C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64B8"/>
    <w:rsid w:val="00C125B2"/>
    <w:rsid w:val="00C12723"/>
    <w:rsid w:val="00C12C3F"/>
    <w:rsid w:val="00C132DC"/>
    <w:rsid w:val="00C13903"/>
    <w:rsid w:val="00C13C32"/>
    <w:rsid w:val="00C15674"/>
    <w:rsid w:val="00C170C2"/>
    <w:rsid w:val="00C17FF8"/>
    <w:rsid w:val="00C2352E"/>
    <w:rsid w:val="00C24D3C"/>
    <w:rsid w:val="00C24EFF"/>
    <w:rsid w:val="00C256D3"/>
    <w:rsid w:val="00C27768"/>
    <w:rsid w:val="00C3030E"/>
    <w:rsid w:val="00C36C1C"/>
    <w:rsid w:val="00C37831"/>
    <w:rsid w:val="00C46E67"/>
    <w:rsid w:val="00C50376"/>
    <w:rsid w:val="00C50A72"/>
    <w:rsid w:val="00C52CE9"/>
    <w:rsid w:val="00C52EEA"/>
    <w:rsid w:val="00C54558"/>
    <w:rsid w:val="00C54BF5"/>
    <w:rsid w:val="00C61EB3"/>
    <w:rsid w:val="00C76389"/>
    <w:rsid w:val="00C76800"/>
    <w:rsid w:val="00C921B6"/>
    <w:rsid w:val="00C976C5"/>
    <w:rsid w:val="00CA595E"/>
    <w:rsid w:val="00CA790F"/>
    <w:rsid w:val="00CB0A86"/>
    <w:rsid w:val="00CB7418"/>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10DAC"/>
    <w:rsid w:val="00D10FC2"/>
    <w:rsid w:val="00D112FD"/>
    <w:rsid w:val="00D1457C"/>
    <w:rsid w:val="00D14DD0"/>
    <w:rsid w:val="00D15002"/>
    <w:rsid w:val="00D17382"/>
    <w:rsid w:val="00D215CF"/>
    <w:rsid w:val="00D22DD7"/>
    <w:rsid w:val="00D27351"/>
    <w:rsid w:val="00D27FF1"/>
    <w:rsid w:val="00D3066E"/>
    <w:rsid w:val="00D31176"/>
    <w:rsid w:val="00D31A81"/>
    <w:rsid w:val="00D333CD"/>
    <w:rsid w:val="00D33C44"/>
    <w:rsid w:val="00D3631A"/>
    <w:rsid w:val="00D37198"/>
    <w:rsid w:val="00D4023B"/>
    <w:rsid w:val="00D40432"/>
    <w:rsid w:val="00D45972"/>
    <w:rsid w:val="00D46BE8"/>
    <w:rsid w:val="00D5570B"/>
    <w:rsid w:val="00D60460"/>
    <w:rsid w:val="00D62165"/>
    <w:rsid w:val="00D70071"/>
    <w:rsid w:val="00D70251"/>
    <w:rsid w:val="00D70380"/>
    <w:rsid w:val="00D70E0A"/>
    <w:rsid w:val="00D72814"/>
    <w:rsid w:val="00D7332C"/>
    <w:rsid w:val="00D77D3A"/>
    <w:rsid w:val="00D80C09"/>
    <w:rsid w:val="00D93561"/>
    <w:rsid w:val="00D9361C"/>
    <w:rsid w:val="00D959A8"/>
    <w:rsid w:val="00D976B0"/>
    <w:rsid w:val="00DA2B30"/>
    <w:rsid w:val="00DA4530"/>
    <w:rsid w:val="00DB06F0"/>
    <w:rsid w:val="00DB2964"/>
    <w:rsid w:val="00DB33BE"/>
    <w:rsid w:val="00DB4B8E"/>
    <w:rsid w:val="00DB7584"/>
    <w:rsid w:val="00DC02A4"/>
    <w:rsid w:val="00DC1368"/>
    <w:rsid w:val="00DC2BC8"/>
    <w:rsid w:val="00DD1BDD"/>
    <w:rsid w:val="00DE0693"/>
    <w:rsid w:val="00DE1962"/>
    <w:rsid w:val="00DE1BA5"/>
    <w:rsid w:val="00DE2DBC"/>
    <w:rsid w:val="00DE7BFE"/>
    <w:rsid w:val="00DF146F"/>
    <w:rsid w:val="00DF1E2D"/>
    <w:rsid w:val="00DF40D9"/>
    <w:rsid w:val="00DF48C3"/>
    <w:rsid w:val="00DF4FE9"/>
    <w:rsid w:val="00DF61A5"/>
    <w:rsid w:val="00DF6D11"/>
    <w:rsid w:val="00E016C9"/>
    <w:rsid w:val="00E02848"/>
    <w:rsid w:val="00E04A38"/>
    <w:rsid w:val="00E076C9"/>
    <w:rsid w:val="00E157B4"/>
    <w:rsid w:val="00E16316"/>
    <w:rsid w:val="00E20BD7"/>
    <w:rsid w:val="00E25A99"/>
    <w:rsid w:val="00E25D17"/>
    <w:rsid w:val="00E26E5A"/>
    <w:rsid w:val="00E316B7"/>
    <w:rsid w:val="00E32BA0"/>
    <w:rsid w:val="00E335DE"/>
    <w:rsid w:val="00E37837"/>
    <w:rsid w:val="00E44201"/>
    <w:rsid w:val="00E44EC0"/>
    <w:rsid w:val="00E453AC"/>
    <w:rsid w:val="00E45B98"/>
    <w:rsid w:val="00E46A1D"/>
    <w:rsid w:val="00E517E4"/>
    <w:rsid w:val="00E6584F"/>
    <w:rsid w:val="00E66448"/>
    <w:rsid w:val="00E673DE"/>
    <w:rsid w:val="00E73C16"/>
    <w:rsid w:val="00E746A1"/>
    <w:rsid w:val="00E8285F"/>
    <w:rsid w:val="00E857BD"/>
    <w:rsid w:val="00E973D3"/>
    <w:rsid w:val="00EA06BC"/>
    <w:rsid w:val="00EA3413"/>
    <w:rsid w:val="00EA3933"/>
    <w:rsid w:val="00EA4F65"/>
    <w:rsid w:val="00EB2B2F"/>
    <w:rsid w:val="00EB311F"/>
    <w:rsid w:val="00EB3385"/>
    <w:rsid w:val="00EB3702"/>
    <w:rsid w:val="00EB6DE4"/>
    <w:rsid w:val="00EC03F2"/>
    <w:rsid w:val="00EC1C52"/>
    <w:rsid w:val="00EC3176"/>
    <w:rsid w:val="00EC4EBB"/>
    <w:rsid w:val="00EC526A"/>
    <w:rsid w:val="00EC55B0"/>
    <w:rsid w:val="00EE1FE2"/>
    <w:rsid w:val="00EE5DEF"/>
    <w:rsid w:val="00EE7820"/>
    <w:rsid w:val="00EF00DF"/>
    <w:rsid w:val="00EF1C63"/>
    <w:rsid w:val="00EF1D5B"/>
    <w:rsid w:val="00EF6AF6"/>
    <w:rsid w:val="00EF718A"/>
    <w:rsid w:val="00F0198D"/>
    <w:rsid w:val="00F05BA7"/>
    <w:rsid w:val="00F06033"/>
    <w:rsid w:val="00F06C03"/>
    <w:rsid w:val="00F1286E"/>
    <w:rsid w:val="00F14FA0"/>
    <w:rsid w:val="00F22980"/>
    <w:rsid w:val="00F2452A"/>
    <w:rsid w:val="00F24859"/>
    <w:rsid w:val="00F259B1"/>
    <w:rsid w:val="00F25F79"/>
    <w:rsid w:val="00F273C6"/>
    <w:rsid w:val="00F277E6"/>
    <w:rsid w:val="00F27FDB"/>
    <w:rsid w:val="00F30C88"/>
    <w:rsid w:val="00F32962"/>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7244B"/>
    <w:rsid w:val="00F757CA"/>
    <w:rsid w:val="00F77026"/>
    <w:rsid w:val="00F80BE0"/>
    <w:rsid w:val="00F81B0B"/>
    <w:rsid w:val="00F869B3"/>
    <w:rsid w:val="00FA12F3"/>
    <w:rsid w:val="00FA249B"/>
    <w:rsid w:val="00FA65B3"/>
    <w:rsid w:val="00FA6731"/>
    <w:rsid w:val="00FB5CBC"/>
    <w:rsid w:val="00FC3356"/>
    <w:rsid w:val="00FD0EC4"/>
    <w:rsid w:val="00FD268F"/>
    <w:rsid w:val="00FD6312"/>
    <w:rsid w:val="00FD6E7C"/>
    <w:rsid w:val="00FD7684"/>
    <w:rsid w:val="00FE426A"/>
    <w:rsid w:val="00FE642D"/>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58D5F69F-193B-48D1-826B-289263EB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A797599-B084-4120-8A7B-44AE2D1D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13429</TotalTime>
  <Pages>18</Pages>
  <Words>5208</Words>
  <Characters>28649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334</cp:revision>
  <dcterms:created xsi:type="dcterms:W3CDTF">2018-05-10T18:12:00Z</dcterms:created>
  <dcterms:modified xsi:type="dcterms:W3CDTF">2018-05-28T17:55:00Z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id="ViYe45Cx"/&gt;&lt;style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