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El concepto del perdón </w:t>
      </w:r>
      <w:r w:rsidR="008B7B56" w:rsidRPr="000F0EAD">
        <w:rPr>
          <w:rFonts w:eastAsiaTheme="majorEastAsia" w:cstheme="majorBidi"/>
          <w:b/>
          <w:smallCaps/>
          <w:szCs w:val="32"/>
        </w:rPr>
        <w:t xml:space="preserve">real </w:t>
      </w:r>
      <w:bookmarkEnd w:id="0"/>
      <w:r w:rsidR="008B7B56" w:rsidRPr="000F0EAD">
        <w:rPr>
          <w:rFonts w:eastAsiaTheme="majorEastAsia" w:cstheme="majorBidi"/>
          <w:b/>
          <w:smallCaps/>
          <w:szCs w:val="32"/>
        </w:rPr>
        <w:t>en la tradición jurídic</w:t>
      </w:r>
      <w:r w:rsidR="00AD04AD" w:rsidRPr="000F0EAD">
        <w:rPr>
          <w:rFonts w:eastAsiaTheme="majorEastAsia" w:cstheme="majorBidi"/>
          <w:b/>
          <w:smallCaps/>
          <w:szCs w:val="32"/>
        </w:rPr>
        <w:t>o-política</w:t>
      </w:r>
      <w:r w:rsidR="008B7B56" w:rsidRPr="000F0EAD">
        <w:rPr>
          <w:rFonts w:eastAsiaTheme="majorEastAsia" w:cstheme="majorBidi"/>
          <w:b/>
          <w:smallCaps/>
          <w:szCs w:val="32"/>
        </w:rPr>
        <w:t xml:space="preserve"> </w:t>
      </w:r>
      <w:r w:rsidR="008E1FFC" w:rsidRPr="000F0EAD">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761D8165"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antes que se originase una nueva sublevación, mas no</w:t>
      </w:r>
      <w:r w:rsidR="00F81B0B">
        <w:rPr>
          <w:rFonts w:eastAsia="Calibri" w:cs="Times New Roman"/>
          <w:iCs/>
        </w:rPr>
        <w:t xml:space="preserve">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w:t>
      </w:r>
      <w:r w:rsidR="009600DC" w:rsidRPr="009600DC">
        <w:lastRenderedPageBreak/>
        <w:t>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7DCD135D"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conocimiento de los “códigos de la élite”,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78434C4D"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4CDEECB4" w:rsidR="000F0EAD" w:rsidRDefault="000F0EAD" w:rsidP="00F32E78">
      <w:pPr>
        <w:pStyle w:val="Ttulo2"/>
        <w:numPr>
          <w:ilvl w:val="1"/>
          <w:numId w:val="28"/>
        </w:numPr>
      </w:pPr>
      <w:r>
        <w:t>Clemencia, castigo y la naturaleza de la potestad regia</w:t>
      </w:r>
    </w:p>
    <w:p w14:paraId="78AE79A6" w14:textId="77777777" w:rsidR="008C6989" w:rsidRDefault="008C6989" w:rsidP="008C6989"/>
    <w:p w14:paraId="411C59D6" w14:textId="39DA1768" w:rsidR="008C6989" w:rsidRDefault="008C6989" w:rsidP="008C6989">
      <w:r w:rsidRPr="00B9631D">
        <w:t xml:space="preserve">La lógica de la cultura jurisdiccional del </w:t>
      </w:r>
      <w:r w:rsidRPr="00B9631D">
        <w:rPr>
          <w:i/>
        </w:rPr>
        <w:t>ius commune</w:t>
      </w:r>
      <w:r w:rsidRPr="00B9631D">
        <w:t xml:space="preserve"> indicaba que Dios era la fuente de toda </w:t>
      </w:r>
      <w:r w:rsidRPr="00D14DD0">
        <w:t>jurisdicción</w:t>
      </w:r>
      <w:r w:rsidR="00895690">
        <w:t>,</w:t>
      </w:r>
      <w:r w:rsidRPr="002B6C75">
        <w:rPr>
          <w:rStyle w:val="Refdenotaalpie"/>
        </w:rPr>
        <w:footnoteReference w:id="16"/>
      </w:r>
      <w:r w:rsidRPr="00B9631D">
        <w:t xml:space="preserve"> por la cual se les había dado </w:t>
      </w:r>
      <w:r w:rsidR="00E03A47">
        <w:rPr>
          <w:i/>
        </w:rPr>
        <w:t>auctoritas</w:t>
      </w:r>
      <w:r w:rsidRPr="00B9631D">
        <w:t xml:space="preserve"> a los pontífices y príncipes para juzgar y gobernar</w:t>
      </w:r>
      <w:r w:rsidR="00895690">
        <w:t>.</w:t>
      </w:r>
      <w:r w:rsidRPr="002B6C75">
        <w:rPr>
          <w:rStyle w:val="Refdenotaalpie"/>
        </w:rPr>
        <w:footnoteReference w:id="17"/>
      </w:r>
      <w:r w:rsidRPr="00B9631D">
        <w:t xml:space="preserve"> En el caso del monarca se denominaba majestad, sinónimo de </w:t>
      </w:r>
      <w:r w:rsidRPr="00B9631D">
        <w:rPr>
          <w:i/>
        </w:rPr>
        <w:t>potestas</w:t>
      </w:r>
      <w:r w:rsidRPr="00B9631D">
        <w:t>, con la cual podía hacer uso del castigo</w:t>
      </w:r>
      <w:r w:rsidR="00895690">
        <w:t>,</w:t>
      </w:r>
      <w:r w:rsidRPr="002B6C75">
        <w:rPr>
          <w:rStyle w:val="Refdenotaalpie"/>
        </w:rPr>
        <w:footnoteReference w:id="18"/>
      </w:r>
      <w:r w:rsidRPr="00B9631D">
        <w:t xml:space="preserve"> para ser temido, y de la misericordia, para </w:t>
      </w:r>
      <w:r w:rsidRPr="00B9631D">
        <w:lastRenderedPageBreak/>
        <w:t>ser amado</w:t>
      </w:r>
      <w:r w:rsidR="00895690">
        <w:t>.</w:t>
      </w:r>
      <w:r w:rsidRPr="002B6C75">
        <w:rPr>
          <w:rStyle w:val="Refdenotaalpie"/>
        </w:rPr>
        <w:footnoteReference w:id="19"/>
      </w:r>
      <w:r w:rsidRPr="00B9631D">
        <w:t xml:space="preserve"> Como característica de una regalía mayor y correspondiente a la suma potestad, el soberano no podía desprenderse del “derecho mayestático” de indultar en ningún vasallo “ni por prescripción, costumbre o privilegio</w:t>
      </w:r>
      <w:r w:rsidR="00895690">
        <w:t>.</w:t>
      </w:r>
      <w:r w:rsidRPr="00B9631D">
        <w:t>”</w:t>
      </w:r>
      <w:r w:rsidRPr="002B6C75">
        <w:rPr>
          <w:rStyle w:val="Refdenotaalpie"/>
        </w:rPr>
        <w:footnoteReference w:id="20"/>
      </w:r>
      <w:r w:rsidRPr="00B9631D">
        <w:t xml:space="preserve"> De allí se desprende que se considerara al derecho de conceder indultos “una de las mas preciosas Regalías que adornan la corona de los Soberanos”, sobre todo porque conllevaba la potestad de remitir o conmutar la pena de aquellos que eran legítimos acreedores de la misma</w:t>
      </w:r>
      <w:r w:rsidR="00895690">
        <w:t>.</w:t>
      </w:r>
      <w:r w:rsidRPr="002B6C75">
        <w:rPr>
          <w:rStyle w:val="Refdenotaalpie"/>
        </w:rPr>
        <w:footnoteReference w:id="21"/>
      </w:r>
    </w:p>
    <w:p w14:paraId="7E123004" w14:textId="1277C32A" w:rsidR="0057471E" w:rsidRPr="003773DB" w:rsidRDefault="003773DB" w:rsidP="008C6989">
      <w:r>
        <w:t>Los tres latinajos utilizados en el párrafo anterior no tienen una intencionalidad meramente retórica, pretenden llamar la atención acerca del origen medieval (</w:t>
      </w:r>
      <w:r>
        <w:rPr>
          <w:i/>
        </w:rPr>
        <w:t>ius commune</w:t>
      </w:r>
      <w:r>
        <w:t>) de la diferenciación entre autoridad y potestad</w:t>
      </w:r>
      <w:r w:rsidR="003D54BA">
        <w:t>.</w:t>
      </w:r>
      <w:r w:rsidR="007C7C94">
        <w:rPr>
          <w:rStyle w:val="Refdenotaalpie"/>
        </w:rPr>
        <w:footnoteReference w:id="22"/>
      </w:r>
      <w:r w:rsidR="003D54BA">
        <w:t xml:space="preserve"> ¿Por qué razón traer a colación una dicotomía de la Edad Media a una investigación del siglo XVIII americano? </w:t>
      </w:r>
      <w:r w:rsidR="005A77FF">
        <w:t>A</w:t>
      </w:r>
      <w:r w:rsidR="003D54BA">
        <w:t xml:space="preserve">unque el mundo hispánico dieciochesco, en particular desde el reinado de Carlos III, se caracterizó como un periodo de reforma administrativa, la discusión ideológica que se ha considerado aneja al reformismo, denominada como Ilustración, no planteó cambios radicales al régimen jurídico tradicional y pluralista de la monarquía. El reformismo planteó modificaciones al orden jurídico-político tradicional que se llevaron avante cautelosamente, sin cuestionar el origen divino de la “constitución histórica” de la monarquía. Al respecto, Pedro Ruíz Torres ha </w:t>
      </w:r>
      <w:r w:rsidR="008E21DD">
        <w:t>señalado</w:t>
      </w:r>
      <w:r w:rsidR="003D54BA">
        <w:t xml:space="preserve"> que los ilustrados reformistas pretendieron reforzar el poder soberano del monarca</w:t>
      </w:r>
      <w:r w:rsidR="008E21DD">
        <w:t xml:space="preserve"> controlando el ejercicio de las facultades delegadas en las autoridades regias, una dinámica que Carlos Garriga ha denominado como la “</w:t>
      </w:r>
      <w:r w:rsidR="002F3FD6">
        <w:t>administrativización de la monarquía;”</w:t>
      </w:r>
      <w:r w:rsidR="00126721">
        <w:rPr>
          <w:rStyle w:val="Refdenotaalpie"/>
        </w:rPr>
        <w:footnoteReference w:id="23"/>
      </w:r>
      <w:r w:rsidR="008E21DD">
        <w:t xml:space="preserve"> sin embargo, tal pretensión tuvo menos impacto en España que en otras naciones europeas, </w:t>
      </w:r>
      <w:r w:rsidR="002B7F68">
        <w:t>según</w:t>
      </w:r>
      <w:r w:rsidR="008E21DD">
        <w:t xml:space="preserve"> Ruíz Torres: “aquí la impronta jurisdiccional continuó siendo muy manifiesta […] De ahí el corto avance en el sentido de una monarquía administrativa y </w:t>
      </w:r>
      <w:r w:rsidR="008E21DD">
        <w:lastRenderedPageBreak/>
        <w:t>centralizada y la fuerte impronta jurisdiccional que siguió manifestándose en la Constitución de 1812.”</w:t>
      </w:r>
      <w:r w:rsidR="00126721">
        <w:rPr>
          <w:rStyle w:val="Refdenotaalpie"/>
        </w:rPr>
        <w:footnoteReference w:id="24"/>
      </w:r>
      <w:r w:rsidR="005A77FF">
        <w:t xml:space="preserve"> </w:t>
      </w:r>
    </w:p>
    <w:p w14:paraId="68A4712C" w14:textId="0B2505A4" w:rsidR="003773DB" w:rsidRDefault="003773DB" w:rsidP="008C6989">
      <w:bookmarkStart w:id="1" w:name="_GoBack"/>
      <w:bookmarkEnd w:id="1"/>
    </w:p>
    <w:p w14:paraId="1AC909CF" w14:textId="77777777" w:rsidR="0057471E" w:rsidRPr="008C6989" w:rsidRDefault="0057471E" w:rsidP="008C6989"/>
    <w:p w14:paraId="6F99CDE2" w14:textId="77777777" w:rsidR="000F0EAD" w:rsidRDefault="000F0EAD" w:rsidP="000F0EAD">
      <w:pPr>
        <w:rPr>
          <w:lang w:val="es-ES_tradnl" w:eastAsia="es-ES"/>
        </w:rPr>
      </w:pPr>
      <w:r w:rsidRPr="008F5280">
        <w:rPr>
          <w:highlight w:val="yellow"/>
          <w:lang w:val="es-ES_tradnl" w:eastAsia="es-ES"/>
        </w:rPr>
        <w:t>¿Por qué dios le otorga al príncipe su poder? Para castigar y perdonar. Según Mariana, las sociedades y la potestad regia surgen con el propósito de protegerse de los peligros de la violencia y los asesinatos, es decir, de los abusos de los fuertes a los débiles.</w:t>
      </w:r>
      <w:r w:rsidRPr="008F5280">
        <w:rPr>
          <w:rStyle w:val="Refdenotaalpie"/>
          <w:highlight w:val="yellow"/>
          <w:lang w:val="es-ES_tradnl" w:eastAsia="es-ES"/>
        </w:rPr>
        <w:footnoteReference w:id="25"/>
      </w:r>
      <w:r>
        <w:rPr>
          <w:lang w:val="es-ES_tradnl" w:eastAsia="es-ES"/>
        </w:rPr>
        <w:t xml:space="preserve"> El castigo como demostración de la fuerza del príncipe tendría como origen evitar que los “malvados” actuaran contra los “buenos”, pero si todo fuese temor, el rey no podría atraer el amor de los súbditos, por ello dios le otorgó la clemencia como modo de canalizar su compasión y atraer el amor.</w:t>
      </w:r>
    </w:p>
    <w:p w14:paraId="7A7C4205" w14:textId="77777777" w:rsidR="000F0EAD" w:rsidRDefault="000F0EAD" w:rsidP="000F0EAD">
      <w:pPr>
        <w:rPr>
          <w:lang w:val="es-ES_tradnl" w:eastAsia="es-ES"/>
        </w:rPr>
      </w:pPr>
    </w:p>
    <w:p w14:paraId="0BFDC1D1" w14:textId="77777777" w:rsidR="000F0EAD" w:rsidRDefault="000F0EAD" w:rsidP="000F0EAD">
      <w:pPr>
        <w:rPr>
          <w:lang w:val="es-ES_tradnl" w:eastAsia="es-ES"/>
        </w:rPr>
      </w:pPr>
      <w:r>
        <w:rPr>
          <w:lang w:val="es-ES_tradnl" w:eastAsia="es-ES"/>
        </w:rPr>
        <w:t xml:space="preserve">La clemencia era inherente al poder monárquico, caso contrario, el poder riguroso ejercido sobre los súbditos, era la tiranía. </w:t>
      </w:r>
    </w:p>
    <w:p w14:paraId="2101161E" w14:textId="77777777" w:rsidR="000F0EAD" w:rsidRPr="00832F46" w:rsidRDefault="000F0EAD" w:rsidP="000F0EAD">
      <w:pPr>
        <w:rPr>
          <w:lang w:val="es-ES_tradnl" w:eastAsia="es-ES"/>
        </w:rPr>
      </w:pPr>
    </w:p>
    <w:p w14:paraId="41BA304D" w14:textId="77777777" w:rsidR="000F0EAD" w:rsidRDefault="000F0EAD" w:rsidP="000F0EAD">
      <w:r w:rsidRPr="00B9631D">
        <w:t xml:space="preserve">La lógica de la cultura jurisdiccional del </w:t>
      </w:r>
      <w:r w:rsidRPr="00B9631D">
        <w:rPr>
          <w:i/>
        </w:rPr>
        <w:t>ius commune</w:t>
      </w:r>
      <w:r w:rsidRPr="00B9631D">
        <w:t xml:space="preserve"> indicaba que Dios era la fuente de toda </w:t>
      </w:r>
      <w:r>
        <w:t>potestad</w:t>
      </w:r>
      <w:r w:rsidRPr="002B6C75">
        <w:rPr>
          <w:rStyle w:val="Refdenotaalpie"/>
        </w:rPr>
        <w:footnoteReference w:id="26"/>
      </w:r>
      <w:r w:rsidRPr="00B9631D">
        <w:t>, por la cual se les había dado autoridad a los pontífices y príncipes para juzgar y gobernar</w:t>
      </w:r>
      <w:r w:rsidRPr="002B6C75">
        <w:rPr>
          <w:rStyle w:val="Refdenotaalpie"/>
        </w:rPr>
        <w:footnoteReference w:id="27"/>
      </w:r>
      <w:r w:rsidRPr="00B9631D">
        <w:t xml:space="preserve">. En el caso del monarca se denominaba majestad, sinónimo de </w:t>
      </w:r>
      <w:r w:rsidRPr="00B9631D">
        <w:rPr>
          <w:i/>
        </w:rPr>
        <w:t>potestas</w:t>
      </w:r>
      <w:r w:rsidRPr="00B9631D">
        <w:t>, con la cual podía hacer uso del castigo</w:t>
      </w:r>
      <w:r w:rsidRPr="002B6C75">
        <w:rPr>
          <w:rStyle w:val="Refdenotaalpie"/>
        </w:rPr>
        <w:footnoteReference w:id="28"/>
      </w:r>
      <w:r w:rsidRPr="00B9631D">
        <w:t>, para ser temido, y de la misericordia, para ser amado</w:t>
      </w:r>
      <w:r w:rsidRPr="002B6C75">
        <w:rPr>
          <w:rStyle w:val="Refdenotaalpie"/>
        </w:rPr>
        <w:footnoteReference w:id="29"/>
      </w:r>
      <w:r w:rsidRPr="00B9631D">
        <w:t>.</w:t>
      </w:r>
      <w:r w:rsidRPr="00D976B0">
        <w:t xml:space="preserve"> </w:t>
      </w:r>
      <w:r>
        <w:t xml:space="preserve">En esta lógica, era el temor a la espada lo que hacía agradecer la clemencia, cuando </w:t>
      </w:r>
      <w:r>
        <w:lastRenderedPageBreak/>
        <w:t>el rey o sus delegados pudiendo castigar justificadamente no lo hacía estaban demostrando la grandeza del príncipe</w:t>
      </w:r>
      <w:r>
        <w:rPr>
          <w:rStyle w:val="Refdenotaalpie"/>
        </w:rPr>
        <w:footnoteReference w:id="30"/>
      </w:r>
      <w:r>
        <w:t>.</w:t>
      </w:r>
    </w:p>
    <w:p w14:paraId="1EDBC4AE" w14:textId="77777777" w:rsidR="000F0EAD" w:rsidRPr="0083523B" w:rsidRDefault="000F0EAD" w:rsidP="000F0EAD"/>
    <w:p w14:paraId="7014FE5B" w14:textId="77777777" w:rsidR="000F0EAD" w:rsidRDefault="000F0EAD" w:rsidP="000F0EAD">
      <w:r>
        <w:t>Por otra parte, el poder del rey no se vería disminuido por ejecutar actos de clemencia, al contrario, representaba la posibilidad de demostrar la magnificencia de la potestad regia, incomparable con ningún agente de la monarquía. Como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Pr>
          <w:rStyle w:val="Refdenotaalpie"/>
        </w:rPr>
        <w:footnoteReference w:id="31"/>
      </w:r>
      <w:r>
        <w:t xml:space="preserve"> De allí la idea, tomada de Séneca y difundida vía Tomás de Aquino, según la cual perdonar consistía</w:t>
      </w:r>
      <w:r w:rsidRPr="00B9631D">
        <w:t xml:space="preserve"> en no castigar a quien merecía serlo, es decir, </w:t>
      </w:r>
      <w:r>
        <w:t>en</w:t>
      </w:r>
      <w:r w:rsidRPr="00B9631D">
        <w:t xml:space="preserve"> la remisión de un castigo que debía ser</w:t>
      </w:r>
      <w:r>
        <w:t>, en justicia,</w:t>
      </w:r>
      <w:r w:rsidRPr="00B9631D">
        <w:t xml:space="preserve"> infligido</w:t>
      </w:r>
      <w:r>
        <w:t>.</w:t>
      </w:r>
      <w:r w:rsidRPr="002B6C75">
        <w:rPr>
          <w:rStyle w:val="Refdenotaalpie"/>
        </w:rPr>
        <w:footnoteReference w:id="32"/>
      </w:r>
    </w:p>
    <w:p w14:paraId="706EDD45" w14:textId="77777777" w:rsidR="000F0EAD" w:rsidRDefault="000F0EAD" w:rsidP="000F0EAD"/>
    <w:p w14:paraId="682B95C7" w14:textId="77777777" w:rsidR="000F0EAD" w:rsidRPr="00466C1B" w:rsidRDefault="000F0EAD" w:rsidP="000F0EAD"/>
    <w:p w14:paraId="6B1DDAEB" w14:textId="77777777" w:rsidR="000F0EAD" w:rsidRDefault="000F0EAD" w:rsidP="000F0EAD">
      <w:r>
        <w:t>La justicia y la misericordia se consideraba debían ir juntas en los procedimientos judiciales, como alegorizó Calderón de la Barca:</w:t>
      </w:r>
    </w:p>
    <w:p w14:paraId="73644B3A" w14:textId="77777777" w:rsidR="000F0EAD" w:rsidRDefault="000F0EAD" w:rsidP="000F0EAD">
      <w:pPr>
        <w:pStyle w:val="Cita"/>
      </w:pPr>
      <w:r>
        <w:t>Id, pues, con la circunstancia</w:t>
      </w:r>
    </w:p>
    <w:p w14:paraId="69A6D299" w14:textId="77777777" w:rsidR="000F0EAD" w:rsidRDefault="000F0EAD" w:rsidP="000F0EAD">
      <w:pPr>
        <w:pStyle w:val="Cita"/>
      </w:pPr>
      <w:r>
        <w:t>de que vas, Misericordia,</w:t>
      </w:r>
    </w:p>
    <w:p w14:paraId="3FEA3264" w14:textId="77777777" w:rsidR="000F0EAD" w:rsidRDefault="000F0EAD" w:rsidP="000F0EAD">
      <w:pPr>
        <w:pStyle w:val="Cita"/>
      </w:pPr>
      <w:r>
        <w:t>de Justicia acompañada,</w:t>
      </w:r>
    </w:p>
    <w:p w14:paraId="169BF501" w14:textId="77777777" w:rsidR="000F0EAD" w:rsidRDefault="000F0EAD" w:rsidP="000F0EAD">
      <w:pPr>
        <w:pStyle w:val="Cita"/>
      </w:pPr>
      <w:r>
        <w:t xml:space="preserve">para que guardes justicia; </w:t>
      </w:r>
    </w:p>
    <w:p w14:paraId="7812F68F" w14:textId="77777777" w:rsidR="000F0EAD" w:rsidRDefault="000F0EAD" w:rsidP="000F0EAD">
      <w:pPr>
        <w:pStyle w:val="Cita"/>
      </w:pPr>
      <w:r>
        <w:t>y tú, Justicia, repara</w:t>
      </w:r>
    </w:p>
    <w:p w14:paraId="0A89CBEE" w14:textId="77777777" w:rsidR="000F0EAD" w:rsidRDefault="000F0EAD" w:rsidP="000F0EAD">
      <w:pPr>
        <w:pStyle w:val="Cita"/>
      </w:pPr>
      <w:r>
        <w:t>en que con Misericordia</w:t>
      </w:r>
    </w:p>
    <w:p w14:paraId="6361263A" w14:textId="77777777" w:rsidR="000F0EAD" w:rsidRDefault="000F0EAD" w:rsidP="000F0EAD">
      <w:pPr>
        <w:pStyle w:val="Cita"/>
      </w:pPr>
      <w:r>
        <w:t>vas también para guardarla;</w:t>
      </w:r>
    </w:p>
    <w:p w14:paraId="210464D3" w14:textId="77777777" w:rsidR="000F0EAD" w:rsidRDefault="000F0EAD" w:rsidP="000F0EAD">
      <w:pPr>
        <w:pStyle w:val="Cita"/>
      </w:pPr>
      <w:r>
        <w:t>que no será acierto en una</w:t>
      </w:r>
    </w:p>
    <w:p w14:paraId="409CBFC1" w14:textId="77777777" w:rsidR="000F0EAD" w:rsidRDefault="000F0EAD" w:rsidP="000F0EAD">
      <w:pPr>
        <w:pStyle w:val="Cita"/>
      </w:pPr>
      <w:r>
        <w:t>si no se da unión en ambas.</w:t>
      </w:r>
      <w:r>
        <w:rPr>
          <w:rStyle w:val="Refdenotaalpie"/>
        </w:rPr>
        <w:footnoteReference w:id="33"/>
      </w:r>
      <w:r>
        <w:t xml:space="preserve"> </w:t>
      </w:r>
    </w:p>
    <w:p w14:paraId="5875256E" w14:textId="77777777" w:rsidR="000F0EAD" w:rsidRPr="00CE1F32" w:rsidRDefault="000F0EAD" w:rsidP="000F0EAD"/>
    <w:p w14:paraId="2129D065" w14:textId="77777777" w:rsidR="000F0EAD" w:rsidRDefault="000F0EAD" w:rsidP="000F0EAD"/>
    <w:p w14:paraId="08E0D98D" w14:textId="26633446" w:rsidR="00FF75DB" w:rsidRDefault="00FF75DB" w:rsidP="00F32E78">
      <w:pPr>
        <w:pStyle w:val="Ttulo2"/>
        <w:numPr>
          <w:ilvl w:val="1"/>
          <w:numId w:val="28"/>
        </w:numPr>
        <w:rPr>
          <w:highlight w:val="yellow"/>
        </w:rPr>
      </w:pPr>
      <w:r>
        <w:rPr>
          <w:highlight w:val="yellow"/>
        </w:rPr>
        <w:lastRenderedPageBreak/>
        <w:t>El perdón como resultado virtuoso</w:t>
      </w:r>
      <w:r w:rsidR="00ED6883">
        <w:rPr>
          <w:highlight w:val="yellow"/>
        </w:rPr>
        <w:t xml:space="preserve"> de la clemencia y la gracia</w:t>
      </w:r>
    </w:p>
    <w:p w14:paraId="15AD3170" w14:textId="77777777" w:rsidR="0024383C" w:rsidRDefault="0024383C" w:rsidP="007F24F4"/>
    <w:p w14:paraId="01D9F703" w14:textId="1005844F" w:rsidR="00B75D5F"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El príncipe debía recurrir a las virtudes para gobernar en justicia porque su obra no se consideraba exclusivamente terrena, en este sentido vale la premisa del jesuita Pedro de Ribadeneyr</w:t>
      </w:r>
      <w:r w:rsidR="0062417A">
        <w:t xml:space="preserve">a, quien en su tratado </w:t>
      </w:r>
      <w:r w:rsidR="00033206">
        <w:t>“</w:t>
      </w:r>
      <w:r w:rsidR="0062417A">
        <w:t>anti</w:t>
      </w:r>
      <w:r w:rsidR="000E0A21">
        <w:t>-</w:t>
      </w:r>
      <w:r w:rsidR="0062417A">
        <w:t>maquiavélico</w:t>
      </w:r>
      <w:r w:rsidR="00033206">
        <w:t>”</w:t>
      </w:r>
      <w:r w:rsidR="00B75D5F">
        <w:rPr>
          <w:rStyle w:val="Refdenotaalpie"/>
        </w:rPr>
        <w:footnoteReference w:id="34"/>
      </w:r>
      <w:r w:rsidR="0062417A">
        <w:t xml:space="preserve"> afirmó:</w:t>
      </w:r>
      <w:r w:rsidR="001E0330">
        <w:t xml:space="preserve"> “El ser y poder del Rey, es una participacion del ser y poder divino: y assi re</w:t>
      </w:r>
      <w:r w:rsidR="00EB3385">
        <w:t>q</w:t>
      </w:r>
      <w:r w:rsidR="001E0330">
        <w:t>uiere favor del Cielo, y divino, para poderle dignamente sustentar.”</w:t>
      </w:r>
      <w:r w:rsidR="001E0330">
        <w:rPr>
          <w:rStyle w:val="Refdenotaalpie"/>
        </w:rPr>
        <w:footnoteReference w:id="35"/>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36"/>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37"/>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38"/>
      </w:r>
    </w:p>
    <w:p w14:paraId="2164512C" w14:textId="3F47BA5D" w:rsidR="0012263D" w:rsidRDefault="006B51F8" w:rsidP="002A3D12">
      <w:r>
        <w:lastRenderedPageBreak/>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39"/>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40"/>
      </w:r>
      <w:r w:rsidR="006746FE">
        <w:t xml:space="preserve"> </w:t>
      </w:r>
      <w:r w:rsidR="0012263D">
        <w:t xml:space="preserve">La complejidad de la intrincada red de virtudes 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6746FE">
        <w:t xml:space="preserve">Desde esta perspectiva se pretende desambiguar, hasta cierto punto, la compleja polisemia de términos que dependiendo del contexto de enunciación pueden confundirse, verbigracia la gracia, clemencia, misericordia, bondad, perdón e indulto. </w:t>
      </w:r>
    </w:p>
    <w:p w14:paraId="1F67F723" w14:textId="7D473C84" w:rsidR="008C7F0E" w:rsidRDefault="003D647C" w:rsidP="002A3D12">
      <w:r>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555B42CF" w:rsidR="001858CC" w:rsidRDefault="00F65E56" w:rsidP="00C05F45">
      <w:r>
        <w:lastRenderedPageBreak/>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41"/>
      </w:r>
      <w:r w:rsidR="009639EA">
        <w:t xml:space="preserve"> remite a su frase</w:t>
      </w:r>
      <w:r>
        <w:t>: “</w:t>
      </w:r>
      <w:r w:rsidRPr="003145D6">
        <w:rPr>
          <w:i/>
        </w:rPr>
        <w:t>Clementia est temperantia animi in potestate ulciscendi vel lenitas superioris adversus inferiorem in constituendis poenis</w:t>
      </w:r>
      <w:r>
        <w:t xml:space="preserve">.” </w:t>
      </w:r>
      <w:r w:rsidR="00CC2DB7">
        <w:t>(</w:t>
      </w:r>
      <w:r>
        <w:t xml:space="preserve">“La clemencia es la moderación del ánimo para ejercer la potestad de venganza, o la blandura del superior respecto al inferior </w:t>
      </w:r>
      <w:r w:rsidR="00CC2DB7">
        <w:t>en la determinación de una pena</w:t>
      </w:r>
      <w:r>
        <w:t>”</w:t>
      </w:r>
      <w:r w:rsidR="00CC2DB7">
        <w:t>).</w:t>
      </w:r>
      <w:r>
        <w:rPr>
          <w:rStyle w:val="Refdenotaalpie"/>
          <w:lang w:eastAsia="es-ES"/>
        </w:rPr>
        <w:footnoteReference w:id="42"/>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43"/>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44"/>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45"/>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46"/>
      </w:r>
      <w:r w:rsidR="003100C2" w:rsidRPr="003100C2">
        <w:rPr>
          <w:rStyle w:val="Refdenotaalpie"/>
        </w:rPr>
        <w:t xml:space="preserve"> </w:t>
      </w:r>
      <w:r w:rsidR="005779E7" w:rsidRPr="00B9631D">
        <w:lastRenderedPageBreak/>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47"/>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48"/>
      </w:r>
      <w:r w:rsidR="00FE4247">
        <w:t xml:space="preserve"> </w:t>
      </w:r>
    </w:p>
    <w:p w14:paraId="016B5DF5" w14:textId="5E430A01"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49"/>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 “</w:t>
      </w:r>
      <w:r w:rsidR="004A499C" w:rsidRPr="00FB1454">
        <w:rPr>
          <w:i/>
        </w:rPr>
        <w:t>Misericordia, et veritas, custodiunt Regem, et roboratur clementia thronus illius</w:t>
      </w:r>
      <w:r w:rsidR="00AA0E9B" w:rsidRPr="00FB1454">
        <w:rPr>
          <w:i/>
        </w:rPr>
        <w:t>.</w:t>
      </w:r>
      <w:r w:rsidR="004A499C" w:rsidRPr="00B9631D">
        <w:t>”</w:t>
      </w:r>
      <w:r w:rsidR="004A499C" w:rsidRPr="002B6C75">
        <w:rPr>
          <w:rStyle w:val="Refdenotaalpie"/>
        </w:rPr>
        <w:footnoteReference w:id="50"/>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51"/>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52"/>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w:t>
      </w:r>
      <w:r w:rsidR="004A499C" w:rsidRPr="00B9631D">
        <w:lastRenderedPageBreak/>
        <w:t>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53"/>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54"/>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55"/>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56"/>
      </w:r>
      <w:r>
        <w:t xml:space="preserve"> Se comprendía que la humanidad había sido condenada desde su origen por el pecado de Adán,</w:t>
      </w:r>
      <w:r>
        <w:rPr>
          <w:rStyle w:val="Refdenotaalpie"/>
        </w:rPr>
        <w:footnoteReference w:id="57"/>
      </w:r>
      <w:r>
        <w:t xml:space="preserve"> por lo cual era imposible encontrar un “hombre justo” de quien se pudiera presumir estaba libre de culpa. Los indicios eran suficientes para que el juez usara su arbitrio y estipulara una pena ordinaria aunque solo se hubiese demostrado la </w:t>
      </w:r>
      <w:r>
        <w:lastRenderedPageBreak/>
        <w:t>“semiculpabilidad” del reo, es decir, cuando a pesar de haber seguido el proceso inquisitorial persistía la duda de su actuación delictiva.</w:t>
      </w:r>
      <w:r>
        <w:rPr>
          <w:rStyle w:val="Refdenotaalpie"/>
        </w:rPr>
        <w:footnoteReference w:id="58"/>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59"/>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60"/>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61"/>
      </w:r>
    </w:p>
    <w:p w14:paraId="768667A4" w14:textId="78813616"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62"/>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63"/>
      </w:r>
      <w:r w:rsidR="0042190A" w:rsidRPr="00B9631D">
        <w:t xml:space="preserve"> la cual consideraba que </w:t>
      </w:r>
      <w:r w:rsidR="0042190A" w:rsidRPr="00B9631D">
        <w:lastRenderedPageBreak/>
        <w:t xml:space="preserve">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64"/>
      </w:r>
      <w:r w:rsidR="0042190A" w:rsidRPr="00B9631D">
        <w:t>.</w:t>
      </w:r>
      <w:r w:rsidR="008E4E99">
        <w:t xml:space="preserve"> Castillo de Bovadilla advertía que “por causa del mucho rigor pueden los Jueces ser privados de los Oficios;”</w:t>
      </w:r>
      <w:r w:rsidR="008E4E99">
        <w:rPr>
          <w:rStyle w:val="Refdenotaalpie"/>
        </w:rPr>
        <w:footnoteReference w:id="65"/>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66"/>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Pr>
          <w:rStyle w:val="Refdenotaalpie"/>
        </w:rPr>
        <w:footnoteReference w:id="67"/>
      </w:r>
      <w:r w:rsidR="008E4E99">
        <w:t xml:space="preserve"> </w:t>
      </w:r>
    </w:p>
    <w:p w14:paraId="620693C6" w14:textId="7F1F4384"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68"/>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69"/>
      </w:r>
      <w:r w:rsidRPr="00B9631D">
        <w:t xml:space="preserve"> ya que la lógica punitiva de la tradición jurídica de occidente concebía el castigo no en términos de restitución del daño sino como una estrategia </w:t>
      </w:r>
      <w:r w:rsidRPr="00B9631D">
        <w:lastRenderedPageBreak/>
        <w:t>para la prevención de los futuros crímenes</w:t>
      </w:r>
      <w:r w:rsidR="00766A7E">
        <w:t>.</w:t>
      </w:r>
      <w:r w:rsidRPr="002B6C75">
        <w:rPr>
          <w:rStyle w:val="Refdenotaalpie"/>
        </w:rPr>
        <w:footnoteReference w:id="70"/>
      </w:r>
      <w:r w:rsidRPr="00B9631D">
        <w:t xml:space="preserve"> La justicia penal parte del principio que si los hombres se gobernaran de acuerdo a la ley natural, divina y humana, no sería necesario la imposición de las penas, mas siendo lo contrario, fue necesario imponer la penas “</w:t>
      </w:r>
      <w:r w:rsidRPr="00766A7E">
        <w:rPr>
          <w:i/>
        </w:rPr>
        <w:t>ut quos non allicit amor, coerceat timor</w:t>
      </w:r>
      <w:r w:rsidR="00766A7E">
        <w:t>.</w:t>
      </w:r>
      <w:r w:rsidRPr="00B9631D">
        <w:t>”</w:t>
      </w:r>
      <w:r w:rsidRPr="002B6C75">
        <w:rPr>
          <w:rStyle w:val="Refdenotaalpie"/>
        </w:rPr>
        <w:footnoteReference w:id="71"/>
      </w:r>
      <w:r w:rsidRPr="00B9631D">
        <w:t xml:space="preserve"> En este sentido, la misericordia excesiva se opondría a la justicia y se equipararía a la crueldad y la tiranía</w:t>
      </w:r>
      <w:r w:rsidR="009971E4">
        <w:t>,</w:t>
      </w:r>
      <w:r w:rsidRPr="002B6C75">
        <w:rPr>
          <w:rStyle w:val="Refdenotaalpie"/>
        </w:rPr>
        <w:footnoteReference w:id="72"/>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2B6C75">
        <w:rPr>
          <w:rStyle w:val="Refdenotaalpie"/>
        </w:rPr>
        <w:footnoteReference w:id="73"/>
      </w:r>
      <w:r w:rsidRPr="00B9631D">
        <w:t xml:space="preserve"> lo cual contradeciría un principio básico de la clemencia real que radicaba en surgir de la mera voluntad del monarca</w:t>
      </w:r>
      <w:r w:rsidR="009971E4">
        <w:t>.</w:t>
      </w:r>
      <w:r w:rsidRPr="002B6C75">
        <w:rPr>
          <w:rStyle w:val="Refdenotaalpie"/>
        </w:rPr>
        <w:footnoteReference w:id="74"/>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75"/>
      </w:r>
      <w:r w:rsidRPr="00B9631D">
        <w:t xml:space="preserve"> Según Andrés Men</w:t>
      </w:r>
      <w:r>
        <w:t>d</w:t>
      </w:r>
      <w:r w:rsidRPr="00B9631D">
        <w:t xml:space="preserve">o, perdonar a los culpados de delitos graves no era piedad sino </w:t>
      </w:r>
      <w:r w:rsidRPr="00B9631D">
        <w:lastRenderedPageBreak/>
        <w:t>“clemencia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76"/>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77"/>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78"/>
      </w:r>
      <w:r w:rsidRPr="00B9631D">
        <w:t>. Además, la severidad no contradeciría la misericordia puesto que la aplicación recta de justicia no implicaba dureza de corazón</w:t>
      </w:r>
      <w:r w:rsidRPr="002B6C75">
        <w:rPr>
          <w:rStyle w:val="Refdenotaalpie"/>
        </w:rPr>
        <w:footnoteReference w:id="79"/>
      </w:r>
      <w:r w:rsidRPr="00B9631D">
        <w:t>.</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80"/>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81"/>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82"/>
      </w:r>
      <w:r w:rsidR="00341052">
        <w:t xml:space="preserve"> En el mismo sentido, el rey </w:t>
      </w:r>
      <w:r w:rsidR="00676D37">
        <w:t xml:space="preserve">demostraba su amor, beneficio y liberalidad </w:t>
      </w:r>
      <w:r w:rsidR="00947E39">
        <w:t xml:space="preserve">a través de las </w:t>
      </w:r>
      <w:r w:rsidR="00947E39">
        <w:lastRenderedPageBreak/>
        <w:t>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83"/>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84"/>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85"/>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86"/>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87"/>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w:t>
      </w:r>
      <w:r w:rsidR="006709BF">
        <w:lastRenderedPageBreak/>
        <w:t xml:space="preserve">adversos que tuvo el abuso de dicha </w:t>
      </w:r>
      <w:r w:rsidR="002A1C33">
        <w:t>regalía</w:t>
      </w:r>
      <w:r w:rsidR="006709BF">
        <w:t>.</w:t>
      </w:r>
      <w:r w:rsidR="000C7CFA">
        <w:rPr>
          <w:rStyle w:val="Refdenotaalpie"/>
        </w:rPr>
        <w:footnoteReference w:id="88"/>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89"/>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90"/>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91"/>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92"/>
      </w:r>
      <w:r w:rsidR="00DF61A5">
        <w:t xml:space="preserve"> Volviendo al caso que sirvió como introducción a este capítulo, </w:t>
      </w:r>
      <w:r w:rsidR="00EC526A">
        <w:t xml:space="preserve">la </w:t>
      </w:r>
      <w:r w:rsidR="00EC526A">
        <w:lastRenderedPageBreak/>
        <w:t>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93"/>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94"/>
      </w:r>
    </w:p>
    <w:p w14:paraId="63D8AD71" w14:textId="033AF581" w:rsidR="00C001C4" w:rsidRDefault="00C001C4" w:rsidP="004C226D">
      <w:pPr>
        <w:rPr>
          <w:lang w:eastAsia="es-ES"/>
        </w:rPr>
      </w:pPr>
    </w:p>
    <w:p w14:paraId="4F31F4A9" w14:textId="77777777" w:rsidR="00B65C1E" w:rsidRDefault="00B65C1E" w:rsidP="00211A92">
      <w:pPr>
        <w:ind w:left="927" w:firstLine="0"/>
        <w:rPr>
          <w:rFonts w:eastAsiaTheme="majorEastAsia" w:cstheme="majorBidi"/>
        </w:rPr>
      </w:pPr>
    </w:p>
    <w:p w14:paraId="1DBF4E77" w14:textId="77777777" w:rsidR="00B65C1E" w:rsidRDefault="00B65C1E" w:rsidP="00211A92">
      <w:pPr>
        <w:ind w:left="927" w:firstLine="0"/>
        <w:rPr>
          <w:rFonts w:eastAsiaTheme="majorEastAsia" w:cstheme="majorBidi"/>
        </w:rPr>
      </w:pPr>
    </w:p>
    <w:p w14:paraId="4FC097A4" w14:textId="59DF56CF" w:rsidR="00211A92" w:rsidRDefault="00B65C1E" w:rsidP="00211A92">
      <w:pPr>
        <w:ind w:left="927" w:firstLine="0"/>
      </w:pPr>
      <w:r>
        <w:rPr>
          <w:rFonts w:eastAsiaTheme="majorEastAsia" w:cstheme="majorBidi"/>
        </w:rPr>
        <w:br/>
      </w:r>
      <w:r w:rsidR="00211A92">
        <w:t>Binomios pecado-delito, misericordia-crueldad, etc.</w:t>
      </w:r>
    </w:p>
    <w:p w14:paraId="53F1582D" w14:textId="1ADECB98" w:rsidR="00211A92" w:rsidRDefault="00211A92" w:rsidP="00211A92">
      <w:pPr>
        <w:ind w:left="927" w:firstLine="0"/>
      </w:pPr>
      <w:r>
        <w:t>Dualidad fuero interno y externo:</w:t>
      </w:r>
    </w:p>
    <w:p w14:paraId="6CD0A1DF" w14:textId="0DBCC2B2" w:rsidR="00211A92" w:rsidRDefault="00211A92" w:rsidP="00211A92">
      <w:pPr>
        <w:ind w:left="927" w:firstLine="0"/>
      </w:pPr>
      <w:r>
        <w:tab/>
        <w:t>El perdón manifestado como una constricción del fuero interno, la manifestación del deseo por liberarse del pecado o ganar indulgencias para la salvación. Desde el fuero externo, el liberarse de la pena, recuperar el favor real.</w:t>
      </w:r>
    </w:p>
    <w:p w14:paraId="05F73AEA" w14:textId="443CB756" w:rsidR="00211A92" w:rsidRDefault="00211A92" w:rsidP="006B6B52">
      <w:pPr>
        <w:pStyle w:val="Prrafodelista"/>
        <w:numPr>
          <w:ilvl w:val="0"/>
          <w:numId w:val="20"/>
        </w:numPr>
      </w:pPr>
      <w:r>
        <w:t>Orden jurídico tradicional</w:t>
      </w:r>
    </w:p>
    <w:p w14:paraId="34C07539" w14:textId="18A4991D" w:rsidR="00211A92" w:rsidRDefault="00211A92" w:rsidP="00211A92">
      <w:pPr>
        <w:ind w:left="927" w:firstLine="0"/>
      </w:pPr>
      <w:r>
        <w:t>Ordenes: derecho divino, natural y de gentes</w:t>
      </w:r>
    </w:p>
    <w:p w14:paraId="2466D921" w14:textId="35400096" w:rsidR="00211A92" w:rsidRDefault="00211A92" w:rsidP="00211A92">
      <w:pPr>
        <w:ind w:left="927" w:firstLine="0"/>
      </w:pPr>
      <w:r>
        <w:tab/>
        <w:t>El perdón ¿es derecho divino, natural, de gentes?</w:t>
      </w:r>
    </w:p>
    <w:p w14:paraId="685236BB" w14:textId="42E20742" w:rsidR="00211A92" w:rsidRDefault="00211A92" w:rsidP="006B6B52">
      <w:pPr>
        <w:pStyle w:val="Prrafodelista"/>
        <w:numPr>
          <w:ilvl w:val="0"/>
          <w:numId w:val="20"/>
        </w:numPr>
      </w:pPr>
      <w:r>
        <w:t>Orden jurídico pluralista</w:t>
      </w:r>
    </w:p>
    <w:p w14:paraId="2727F4AB" w14:textId="556CDCBF" w:rsidR="00211A92" w:rsidRDefault="00211A92" w:rsidP="00211A92">
      <w:pPr>
        <w:pStyle w:val="Prrafodelista"/>
        <w:ind w:left="927" w:firstLine="0"/>
      </w:pPr>
      <w:r>
        <w:lastRenderedPageBreak/>
        <w:t>Nobleza y perdón</w:t>
      </w:r>
    </w:p>
    <w:p w14:paraId="2663958C" w14:textId="6DCBC4F5" w:rsidR="00211A92" w:rsidRDefault="00211A92" w:rsidP="00211A92">
      <w:pPr>
        <w:pStyle w:val="Prrafodelista"/>
        <w:ind w:left="927" w:firstLine="0"/>
      </w:pPr>
      <w:r>
        <w:t>Condición miserable y perdón</w:t>
      </w:r>
    </w:p>
    <w:p w14:paraId="3D868C93" w14:textId="569E40CD" w:rsidR="00211A92" w:rsidRDefault="00211A92" w:rsidP="006B6B52">
      <w:pPr>
        <w:pStyle w:val="Prrafodelista"/>
        <w:numPr>
          <w:ilvl w:val="0"/>
          <w:numId w:val="20"/>
        </w:numPr>
      </w:pPr>
      <w:r>
        <w:t>Orden jurídico probabilista</w:t>
      </w:r>
    </w:p>
    <w:p w14:paraId="51EB9ACB" w14:textId="10FE0A79" w:rsidR="00211A92" w:rsidRDefault="00211A92" w:rsidP="00211A92">
      <w:pPr>
        <w:pStyle w:val="Prrafodelista"/>
        <w:ind w:left="927" w:firstLine="0"/>
      </w:pPr>
      <w:r>
        <w:t>Casuismo y clemencia.</w:t>
      </w:r>
    </w:p>
    <w:p w14:paraId="7CE4848B" w14:textId="77777777" w:rsidR="00211A92" w:rsidRDefault="00211A92" w:rsidP="00211A92"/>
    <w:p w14:paraId="29A8147C" w14:textId="0AEC0200" w:rsidR="00211A92" w:rsidRDefault="00211A92" w:rsidP="00211A92">
      <w:r>
        <w:t>PODER POLÍTICO</w:t>
      </w:r>
    </w:p>
    <w:p w14:paraId="57AC6002" w14:textId="55E093F3" w:rsidR="00211A92" w:rsidRDefault="00211A92" w:rsidP="00211A92">
      <w:r>
        <w:t>Iurisdictio: Dios le entregó a la majestad real el brazo del rigor y el amor, la potestad de castigar para ser temido y la de perdonar para ser amado.</w:t>
      </w:r>
    </w:p>
    <w:p w14:paraId="1FF6B092" w14:textId="7B4B7BF2" w:rsidR="00211A92" w:rsidRDefault="00211A92" w:rsidP="00211A92">
      <w:r>
        <w:t>Con la primera gana el respeto, hace valer la potestad, con la segunda garantiza su autoridad, demuestra su magnificencia.</w:t>
      </w:r>
    </w:p>
    <w:p w14:paraId="2398B2FC" w14:textId="77777777" w:rsidR="00211A92" w:rsidRDefault="00211A92" w:rsidP="00211A92"/>
    <w:p w14:paraId="19DEE87B" w14:textId="4B10A97C" w:rsidR="00211A92" w:rsidRDefault="00211A92" w:rsidP="00211A92">
      <w:r>
        <w:t>La gracia: ejercicio del poder político: “había de servir para perfeccionar y no para destruir el orden constituido” -&gt; utilidad pública.</w:t>
      </w:r>
    </w:p>
    <w:p w14:paraId="1EC4D1E7" w14:textId="0C0BB5AF" w:rsidR="00132E3A" w:rsidRDefault="00F24859" w:rsidP="00866385">
      <w:r>
        <w:t>Voluntad, controlada por la razón (sentido inmanente del orden)</w:t>
      </w:r>
      <w:r w:rsidR="00866385">
        <w:t>.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rsidR="00B068AB">
        <w:t>”</w:t>
      </w:r>
      <w:r w:rsidR="00B068AB">
        <w:rPr>
          <w:rStyle w:val="Refdenotaalpie"/>
        </w:rPr>
        <w:footnoteReference w:id="95"/>
      </w:r>
    </w:p>
    <w:p w14:paraId="29CB3B5D" w14:textId="77777777" w:rsidR="00132E3A" w:rsidRDefault="00132E3A" w:rsidP="00211A92">
      <w:r>
        <w:t>Princeps diferente al tirano. El primero lo caracteriza la clemencia, al segundo la rigurosidad, el primero actúa según la prudencia (</w:t>
      </w:r>
      <w:r>
        <w:rPr>
          <w:i/>
        </w:rPr>
        <w:t>virtus</w:t>
      </w:r>
      <w:r>
        <w:t xml:space="preserve">), el segundo según su interés, el vicio. </w:t>
      </w:r>
    </w:p>
    <w:p w14:paraId="4A91A96E" w14:textId="77777777" w:rsidR="00132E3A" w:rsidRDefault="00132E3A" w:rsidP="00211A92"/>
    <w:p w14:paraId="58B6C5D3" w14:textId="38832942" w:rsidR="00132E3A" w:rsidRDefault="0064159E" w:rsidP="00F32E78">
      <w:pPr>
        <w:pStyle w:val="Ttulo2"/>
        <w:numPr>
          <w:ilvl w:val="1"/>
          <w:numId w:val="28"/>
        </w:numPr>
      </w:pPr>
      <w:r>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96"/>
      </w:r>
      <w:r w:rsidR="00AF1BA2" w:rsidRPr="009956C8">
        <w:t xml:space="preserve">. Como señaló Murillo </w:t>
      </w:r>
      <w:r w:rsidR="00AF1BA2" w:rsidRPr="009956C8">
        <w:lastRenderedPageBreak/>
        <w:t>Velarde</w:t>
      </w:r>
      <w:r w:rsidR="00AF1BA2" w:rsidRPr="009956C8">
        <w:rPr>
          <w:vertAlign w:val="superscript"/>
        </w:rPr>
        <w:footnoteReference w:id="97"/>
      </w:r>
      <w:r w:rsidR="00AF1BA2" w:rsidRPr="009956C8">
        <w:t xml:space="preserve">, esta forma era característica de la legislación castellana y con ella se pretendía precisar la compleja polisemia relacionada con dicha gracia, transferida al derecho hispano por vía del lenguaje del </w:t>
      </w:r>
      <w:r w:rsidR="00AF1BA2" w:rsidRPr="009956C8">
        <w:rPr>
          <w:i/>
        </w:rPr>
        <w:t>ius commune</w:t>
      </w:r>
      <w:r w:rsidR="00AF1BA2" w:rsidRPr="009956C8">
        <w:t xml:space="preserve">. </w:t>
      </w:r>
      <w:r w:rsidR="00AF1BA2" w:rsidRPr="00AF1BA2">
        <w:rPr>
          <w:highlight w:val="yellow"/>
        </w:rPr>
        <w:t>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libertad de los reos juzga que estos no debieron seguir sufriendo su pena</w:t>
      </w:r>
      <w:r w:rsidR="00AF1BA2" w:rsidRPr="00AF1BA2">
        <w:rPr>
          <w:highlight w:val="yellow"/>
          <w:vertAlign w:val="superscript"/>
        </w:rPr>
        <w:footnoteReference w:id="98"/>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 xml:space="preserve">No obstante, aunque tanto en los indultos públicos y generales, como en los privados y particulares, el Soberano puede perdonar, y perdona al reo la pena impuesta por la ley, le lava de la infamia y absuelve del crímen, no perdona la pena que debe aplicarse </w:t>
      </w:r>
      <w:r w:rsidRPr="009956C8">
        <w:lastRenderedPageBreak/>
        <w:t>á la parte ofendida, ú agraviada, ni priva á esta de sus derechos y acciones particulares y propias[...]</w:t>
      </w:r>
      <w:r w:rsidRPr="009956C8">
        <w:rPr>
          <w:vertAlign w:val="superscript"/>
        </w:rPr>
        <w:footnoteReference w:id="99"/>
      </w:r>
    </w:p>
    <w:p w14:paraId="356ED45F" w14:textId="77777777" w:rsidR="00AF1BA2" w:rsidRPr="009956C8" w:rsidRDefault="00AF1BA2" w:rsidP="00AF1BA2"/>
    <w:p w14:paraId="43046F46" w14:textId="77D603B8" w:rsidR="0064159E" w:rsidRDefault="00AF1BA2" w:rsidP="00AF1BA2">
      <w:r w:rsidRPr="009956C8">
        <w:t>La diferencia es sutil pero no baladí. Con el indulto se modificaba la pena, se suavizaba, pero con el perdón se regresaba la honra, por ende, alguien que era liberado de la prisión 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100"/>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t>Los grados de perdón: perdón,</w:t>
      </w:r>
      <w:r w:rsidR="00647AB3">
        <w:t xml:space="preserve"> disimulo, apartamiento, olvido.</w:t>
      </w:r>
    </w:p>
    <w:p w14:paraId="12F94284" w14:textId="77777777" w:rsidR="00AF11C2" w:rsidRDefault="00AF11C2" w:rsidP="00090E5A"/>
    <w:p w14:paraId="6E70C344" w14:textId="3289F245" w:rsidR="009956C8" w:rsidRDefault="00526429" w:rsidP="00526429">
      <w:pPr>
        <w:pStyle w:val="Ttulo2"/>
      </w:pPr>
      <w:r>
        <w:t>Conclusión</w:t>
      </w:r>
    </w:p>
    <w:p w14:paraId="484D52AA" w14:textId="2383D8F0" w:rsidR="00526429" w:rsidRPr="00E37837" w:rsidRDefault="00526429" w:rsidP="00E37837">
      <w:r>
        <w:t xml:space="preserve">¿Este modelo de clemencia con fuerte raigambre medieval fue el que llevó a los soldados de los regimientos apostados en Cartagena a hacer el despliegue que llevaron a cabo? Podría responderse que en parte. La comprensión de un orden divino atado al perdón consistía no en una afrenta u oposición a la potestad regia sino, al contrario, la ratificación de su autoridad. El repetido lema “viva el rey, muera el mal gobierno” se esgrimió en sublevaciones y rebeliones por todo el orbe hispánico; la </w:t>
      </w:r>
    </w:p>
    <w:sectPr w:rsidR="00526429" w:rsidRPr="00E3783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68DA5" w14:textId="77777777" w:rsidR="00F31457" w:rsidRDefault="00F31457" w:rsidP="00B9631D">
      <w:pPr>
        <w:spacing w:line="240" w:lineRule="auto"/>
      </w:pPr>
      <w:r>
        <w:separator/>
      </w:r>
    </w:p>
  </w:endnote>
  <w:endnote w:type="continuationSeparator" w:id="0">
    <w:p w14:paraId="0E821500" w14:textId="77777777" w:rsidR="00F31457" w:rsidRDefault="00F31457"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EndPr/>
    <w:sdtContent>
      <w:p w14:paraId="7AEB41D1" w14:textId="77777777" w:rsidR="00AC086E" w:rsidRDefault="00AC086E">
        <w:pPr>
          <w:pStyle w:val="Piedepgina"/>
          <w:jc w:val="right"/>
        </w:pPr>
        <w:r>
          <w:fldChar w:fldCharType="begin"/>
        </w:r>
        <w:r>
          <w:instrText>PAGE   \* MERGEFORMAT</w:instrText>
        </w:r>
        <w:r>
          <w:fldChar w:fldCharType="separate"/>
        </w:r>
        <w:r w:rsidR="00D516C3" w:rsidRPr="00D516C3">
          <w:rPr>
            <w:noProof/>
            <w:lang w:val="es-ES"/>
          </w:rPr>
          <w:t>1</w:t>
        </w:r>
        <w:r>
          <w:fldChar w:fldCharType="end"/>
        </w:r>
      </w:p>
    </w:sdtContent>
  </w:sdt>
  <w:p w14:paraId="2E48E8B0" w14:textId="77777777" w:rsidR="00AC086E" w:rsidRDefault="00AC08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5BCCF" w14:textId="77777777" w:rsidR="00F31457" w:rsidRDefault="00F31457" w:rsidP="00B9631D">
      <w:pPr>
        <w:spacing w:line="240" w:lineRule="auto"/>
      </w:pPr>
      <w:r>
        <w:separator/>
      </w:r>
    </w:p>
  </w:footnote>
  <w:footnote w:type="continuationSeparator" w:id="0">
    <w:p w14:paraId="5A791E21" w14:textId="77777777" w:rsidR="00F31457" w:rsidRDefault="00F31457" w:rsidP="00B9631D">
      <w:pPr>
        <w:spacing w:line="240" w:lineRule="auto"/>
      </w:pPr>
      <w:r>
        <w:continuationSeparator/>
      </w:r>
    </w:p>
  </w:footnote>
  <w:footnote w:id="1">
    <w:p w14:paraId="5A49ACA1" w14:textId="38024009" w:rsidR="00AC086E" w:rsidRDefault="00AC086E"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AC086E" w:rsidRDefault="00AC086E"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AC086E" w:rsidRDefault="00AC086E">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AC086E" w:rsidRDefault="00AC086E"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AC086E" w:rsidRDefault="00AC086E">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AC086E" w:rsidRDefault="00AC086E">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AC086E" w:rsidRDefault="00AC086E">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AC086E" w:rsidRDefault="00AC086E">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AC086E" w:rsidRDefault="00AC086E">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AC086E" w:rsidRDefault="00AC086E">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AC086E" w:rsidRDefault="00AC086E">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424D66FD" w14:textId="70B09CB0" w:rsidR="00AC086E" w:rsidRPr="00201290" w:rsidRDefault="00AC086E">
      <w:pPr>
        <w:pStyle w:val="Textonotapie"/>
      </w:pPr>
      <w:r>
        <w:rPr>
          <w:rStyle w:val="Refdenotaalpie"/>
        </w:rPr>
        <w:footnoteRef/>
      </w:r>
      <w:r>
        <w:t xml:space="preserve"> Imitación no en el sentido de equiparación con la divinidad sino de ordenar las acciones terrenas acorde con las enseñanzas de dios. Al respecto es en suma esclarecedor el capítulo primero de Tomás de Kempis, </w:t>
      </w:r>
      <w:r>
        <w:rPr>
          <w:i/>
        </w:rPr>
        <w:t>De la imitación de Cristo ó menosprecio del mundo</w:t>
      </w:r>
      <w:r>
        <w:t xml:space="preserve">, trad. Luis de Granada (Madrid: por la viuda de Barco Lopez, 1821).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37BC2FC9" w:rsidR="00AC086E" w:rsidRDefault="00AC086E">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4">
    <w:p w14:paraId="4876BA75" w14:textId="711D38D0" w:rsidR="00AC086E" w:rsidRDefault="00AC086E">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AC086E" w:rsidRDefault="00AC086E">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160EAB2E" w14:textId="77777777" w:rsidR="008C6989" w:rsidRPr="00573862" w:rsidRDefault="008C6989" w:rsidP="008C6989">
      <w:pPr>
        <w:pStyle w:val="Textonotapie"/>
      </w:pPr>
      <w:r w:rsidRPr="002B6C75">
        <w:rPr>
          <w:rStyle w:val="Refdenotaalpie"/>
        </w:rPr>
        <w:footnoteRef/>
      </w:r>
      <w:r>
        <w:t xml:space="preserve">  Se citaba allí la máxima evangélica que rezaba “Ninguna autoridad tendrías contra mí si no se te hubiera dado desde arriba”</w:t>
      </w:r>
      <w:r w:rsidRPr="00AE5979">
        <w:t xml:space="preserve">. </w:t>
      </w:r>
      <w:r>
        <w:t>Juan 19:11</w:t>
      </w:r>
      <w:r w:rsidRPr="00AE5979">
        <w:t>.</w:t>
      </w:r>
    </w:p>
  </w:footnote>
  <w:footnote w:id="17">
    <w:p w14:paraId="4BC9B889" w14:textId="77777777" w:rsidR="008C6989" w:rsidRPr="00573862" w:rsidRDefault="008C6989" w:rsidP="008C6989">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Rom 13:1. Murillo Velarde, </w:t>
      </w:r>
      <w:r w:rsidRPr="0080525F">
        <w:rPr>
          <w:i/>
        </w:rPr>
        <w:t>Cursus iuris canonici</w:t>
      </w:r>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L. I, tit. 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18">
    <w:p w14:paraId="14B93BC9" w14:textId="77777777" w:rsidR="008C6989" w:rsidRPr="002A7410" w:rsidRDefault="008C6989" w:rsidP="008C6989">
      <w:pPr>
        <w:pStyle w:val="Textonotapie"/>
      </w:pPr>
      <w:r w:rsidRPr="002B6C75">
        <w:rPr>
          <w:rStyle w:val="Refdenotaalpie"/>
        </w:rPr>
        <w:footnoteRef/>
      </w:r>
      <w:r>
        <w:t xml:space="preserve"> “Aquella potestad que residía en todos, la transfirieron en uno solo, y la llamaron Magestad, que es lo mismo que potestad eminente, ó sumo imperio, y perpetua autoridad sobre toda la República, y con ella la absoluta facultad o regalía de castigar los delitos, perdonarlos indultando la pena á los reos, ó conmutar la señalada por la Ley en otra mas leve según su Voluntad”. Vizcaíno Pérez, </w:t>
      </w:r>
      <w:r>
        <w:rPr>
          <w:i/>
        </w:rPr>
        <w:t>Código y práctica criminal</w:t>
      </w:r>
      <w:r>
        <w:t>, tomo III, n. 422.</w:t>
      </w:r>
    </w:p>
  </w:footnote>
  <w:footnote w:id="19">
    <w:p w14:paraId="21374398" w14:textId="77777777" w:rsidR="008C6989" w:rsidRPr="00C34A5D" w:rsidRDefault="008C6989" w:rsidP="008C6989">
      <w:pPr>
        <w:pStyle w:val="Textonotapie"/>
      </w:pPr>
      <w:r w:rsidRPr="002B6C75">
        <w:rPr>
          <w:rStyle w:val="Refdenotaalpie"/>
        </w:rPr>
        <w:footnoteRef/>
      </w:r>
      <w:r w:rsidRPr="002B5F6C">
        <w:t xml:space="preserve"> López de Cuéllar, </w:t>
      </w:r>
      <w:r w:rsidRPr="002B5F6C">
        <w:rPr>
          <w:i/>
        </w:rPr>
        <w:t>Tratado iuridico-politico</w:t>
      </w:r>
      <w:r>
        <w:t xml:space="preserve">, n. 9. “porque siendo la potestad Real una imagen de la Divina Magestad, quisieron que también se pareciese á esta en poder exercitar la justicia y la misericordia en los casos que considerase oportunos, para que por aquella fuese temido, y por esta venerado”. Vizcaíno Pérez, </w:t>
      </w:r>
      <w:r>
        <w:rPr>
          <w:i/>
        </w:rPr>
        <w:t>Código y práctica criminal</w:t>
      </w:r>
      <w:r>
        <w:t>, tomo III, n. 422.</w:t>
      </w:r>
    </w:p>
  </w:footnote>
  <w:footnote w:id="20">
    <w:p w14:paraId="6028F330" w14:textId="77777777" w:rsidR="008C6989" w:rsidRPr="00475EAF" w:rsidRDefault="008C6989" w:rsidP="008C6989">
      <w:pPr>
        <w:pStyle w:val="Textonotapie"/>
      </w:pPr>
      <w:r w:rsidRPr="002B6C75">
        <w:rPr>
          <w:rStyle w:val="Refdenotaalpie"/>
        </w:rPr>
        <w:footnoteRef/>
      </w:r>
      <w:r>
        <w:t xml:space="preserve">  </w:t>
      </w:r>
      <w:r w:rsidRPr="009219E6">
        <w:t>Antonio de Elizondo,</w:t>
      </w:r>
      <w:r w:rsidRPr="009219E6">
        <w:rPr>
          <w:i/>
        </w:rPr>
        <w:t xml:space="preserve"> Práctica universal forense y de tribunales</w:t>
      </w:r>
      <w:r>
        <w:t>...</w:t>
      </w:r>
      <w:r w:rsidRPr="009219E6">
        <w:t>, Vol. 5</w:t>
      </w:r>
      <w:r>
        <w:t xml:space="preserve">, </w:t>
      </w:r>
      <w:r w:rsidRPr="009219E6">
        <w:t>Parte II, Cap</w:t>
      </w:r>
      <w:r>
        <w:t>.</w:t>
      </w:r>
      <w:r w:rsidRPr="009219E6">
        <w:t xml:space="preserve"> XIV, n. 1.</w:t>
      </w:r>
      <w:r>
        <w:t xml:space="preserve"> “Y está tan unido a la Magestad, que ni por pacto puede el Principe privarse dél, ni desnudarse de esta Suprema Regalia”. López de Cuéllar, </w:t>
      </w:r>
      <w:r>
        <w:rPr>
          <w:i/>
        </w:rPr>
        <w:t>Tratado iuridico-politico</w:t>
      </w:r>
      <w:r>
        <w:t>, n. 15.</w:t>
      </w:r>
    </w:p>
  </w:footnote>
  <w:footnote w:id="21">
    <w:p w14:paraId="1E065188" w14:textId="77777777" w:rsidR="008C6989" w:rsidRPr="000974C4" w:rsidRDefault="008C6989" w:rsidP="008C6989">
      <w:pPr>
        <w:pStyle w:val="Textonotapie"/>
      </w:pPr>
      <w:r w:rsidRPr="002B6C75">
        <w:rPr>
          <w:rStyle w:val="Refdenotaalpie"/>
        </w:rPr>
        <w:footnoteRef/>
      </w:r>
      <w:r w:rsidRPr="000974C4">
        <w:t xml:space="preserve"> López de Cuéllar, </w:t>
      </w:r>
      <w:r w:rsidRPr="000974C4">
        <w:rPr>
          <w:i/>
        </w:rPr>
        <w:t>Tratado iuridico-politico</w:t>
      </w:r>
      <w:r>
        <w:t>, n. 14.</w:t>
      </w:r>
    </w:p>
  </w:footnote>
  <w:footnote w:id="22">
    <w:p w14:paraId="0EAD005D" w14:textId="016DA8C5" w:rsidR="007C7C94" w:rsidRDefault="007C7C94">
      <w:pPr>
        <w:pStyle w:val="Textonotapie"/>
      </w:pPr>
      <w:r>
        <w:rPr>
          <w:rStyle w:val="Refdenotaalpie"/>
        </w:rPr>
        <w:footnoteRef/>
      </w:r>
      <w:r>
        <w:t xml:space="preserve"> </w:t>
      </w:r>
      <w:r>
        <w:fldChar w:fldCharType="begin"/>
      </w:r>
      <w:r>
        <w:instrText xml:space="preserve"> ADDIN ZOTERO_ITEM CSL_CITATION {"citationID":"lwThZtrf","properties":{"formattedCitation":"Paolo Prodi, {\\i{}Una historia de la justicia: de la pluralidad de fueros al dualismo moderno entre conciencia y derecho}, trad. Luciano Padilla L\\uc0\\u243{}pez (Madrid: Katz Editores, 2008), 39.","plainCitation":"Paolo Prodi, Una historia de la justicia: de la pluralidad de fueros al dualismo moderno entre conciencia y derecho, trad. Luciano Padilla López (Madrid: Katz Editores, 2008), 39.","noteIndex":22},"citationItems":[{"id":3390,"uris":["http://zotero.org/users/163570/items/C54QSDGR"],"uri":["http://zotero.org/users/163570/items/C54QSDGR"],"itemData":{"id":3390,"type":"book","title":"Una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López","given":"Luciano"}],"issued":{"date-parts":[["2008"]]}},"locator":"39","label":"page"}],"schema":"https://github.com/citation-style-language/schema/raw/master/csl-citation.json"} </w:instrText>
      </w:r>
      <w:r>
        <w:fldChar w:fldCharType="separate"/>
      </w:r>
      <w:r w:rsidRPr="007C7C94">
        <w:rPr>
          <w:rFonts w:cs="Times New Roman"/>
          <w:szCs w:val="24"/>
        </w:rPr>
        <w:t xml:space="preserve">Paolo Prodi, </w:t>
      </w:r>
      <w:r w:rsidRPr="007C7C94">
        <w:rPr>
          <w:rFonts w:cs="Times New Roman"/>
          <w:i/>
          <w:iCs/>
          <w:szCs w:val="24"/>
        </w:rPr>
        <w:t>Una historia de la justicia: de la pluralidad de fueros al dualismo moderno entre conciencia y derecho</w:t>
      </w:r>
      <w:r w:rsidRPr="007C7C94">
        <w:rPr>
          <w:rFonts w:cs="Times New Roman"/>
          <w:szCs w:val="24"/>
        </w:rPr>
        <w:t>, trad. Luciano Padilla López (Madrid: Katz Editores, 2008), 39.</w:t>
      </w:r>
      <w:r>
        <w:fldChar w:fldCharType="end"/>
      </w:r>
    </w:p>
  </w:footnote>
  <w:footnote w:id="23">
    <w:p w14:paraId="40528A1E" w14:textId="12C33A88" w:rsidR="00126721" w:rsidRDefault="00126721">
      <w:pPr>
        <w:pStyle w:val="Textonotapie"/>
      </w:pPr>
      <w:r>
        <w:rPr>
          <w:rStyle w:val="Refdenotaalpie"/>
        </w:rPr>
        <w:footnoteRef/>
      </w:r>
      <w:r>
        <w:t xml:space="preserve"> </w:t>
      </w:r>
      <w:r>
        <w:fldChar w:fldCharType="begin"/>
      </w:r>
      <w:r w:rsidR="007C7C94">
        <w:instrText xml:space="preserve"> ADDIN ZOTERO_ITEM CSL_CITATION {"citationID":"8RXydneD","properties":{"formattedCitation":"Carlos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99.","noteIndex":23},"citationItems":[{"id":8215,"uris":["http://zotero.org/users/163570/items/7K7GNDCS"],"uri":["http://zotero.org/users/163570/items/7K7GNDCS"],"itemData":{"id":8215,"type":"chapter","title":"Justicia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Acosta","given":"Carlos"}],"issued":{"date-parts":[["2007"]]}},"locator":"99","label":"page"}],"schema":"https://github.com/citation-style-language/schema/raw/master/csl-citation.json"} </w:instrText>
      </w:r>
      <w:r>
        <w:fldChar w:fldCharType="separate"/>
      </w:r>
      <w:r w:rsidR="00722CBD" w:rsidRPr="00722CBD">
        <w:rPr>
          <w:rFonts w:cs="Times New Roman"/>
          <w:szCs w:val="24"/>
        </w:rPr>
        <w:t xml:space="preserve">Carlos Garriga Acosta, “Justicia animada: dispositivos de la justicia en la monarquía católica”, en </w:t>
      </w:r>
      <w:r w:rsidR="00722CBD" w:rsidRPr="00722CBD">
        <w:rPr>
          <w:rFonts w:cs="Times New Roman"/>
          <w:i/>
          <w:iCs/>
          <w:szCs w:val="24"/>
        </w:rPr>
        <w:t>De justicia de jueces a justicia de leyes: hacia la España de 1870</w:t>
      </w:r>
      <w:r w:rsidR="00722CBD" w:rsidRPr="00722CBD">
        <w:rPr>
          <w:rFonts w:cs="Times New Roman"/>
          <w:szCs w:val="24"/>
        </w:rPr>
        <w:t>, ed. Marta Lorente Sariñena, Cuadernos de derecho judicial, VI–2006 (Madrid: Consejo General del Poder Judicial, 2007), 99.</w:t>
      </w:r>
      <w:r>
        <w:fldChar w:fldCharType="end"/>
      </w:r>
    </w:p>
  </w:footnote>
  <w:footnote w:id="24">
    <w:p w14:paraId="6877533F" w14:textId="021FF8F7" w:rsidR="00126721" w:rsidRDefault="00126721">
      <w:pPr>
        <w:pStyle w:val="Textonotapie"/>
      </w:pPr>
      <w:r>
        <w:rPr>
          <w:rStyle w:val="Refdenotaalpie"/>
        </w:rPr>
        <w:footnoteRef/>
      </w:r>
      <w:r>
        <w:t xml:space="preserve"> </w:t>
      </w:r>
      <w:r>
        <w:fldChar w:fldCharType="begin"/>
      </w:r>
      <w:r w:rsidR="007C7C94">
        <w:instrText xml:space="preserve"> ADDIN ZOTERO_ITEM CSL_CITATION {"citationID":"70s3Od4v","properties":{"formattedCitation":"Pedro Ruiz Torres, \\uc0\\u8220{}Los l\\uc0\\u237{}mites del reformismo del siglo XVIII en Espa\\uc0\\u241{}a\\uc0\\u8221{}, en {\\i{}El nacimiento y la construcci\\uc0\\u243{}n del estado moderno: homenaje a Jaume Vicens Vives}, ed. Joaquim Albareda Salvad\\uc0\\u243{} y Marici\\uc0\\u243{} Janu\\uc0\\u233{} i Miret, Hist\\uc0\\u242{}ria (Valencia: Universitat de Val\\uc0\\u232{}ncia, 2011), 130.","plainCitation":"Pedro Ruiz Torres, “Los límites del reformismo del siglo XVIII en España”, en El nacimiento y la construcción del estado moderno: homenaje a Jaume Vicens Vives, ed. Joaquim Albareda Salvadó y Marició Janué i Miret, Història (Valencia: Universitat de València, 2011), 130.","noteIndex":24},"citationItems":[{"id":8212,"uris":["http://zotero.org/users/163570/items/HGHKVEF9"],"uri":["http://zotero.org/users/163570/items/HGHKVEF9"],"itemData":{"id":8212,"type":"chapter","title":"Los límites del reformismo del siglo XVIII en España","container-title":"El nacimiento y la construcción del estado moderno: homenaje a Jaume Vicens Vives","collection-title":"Història","publisher":"Universitat de València","publisher-place":"Valencia","page":"111-150","source":"Library of Congress ISBN","event-place":"Valencia","ISBN":"978-84-370-8234-9","call-number":"D247 .I57 2011","editor":[{"family":"Albareda Salvadó","given":"Joaquim"},{"family":"Janué i Miret","given":"Marició"}],"author":[{"family":"Ruiz Torres","given":"Pedro"}],"issued":{"date-parts":[["2011"]]}},"locator":"130","label":"page"}],"schema":"https://github.com/citation-style-language/schema/raw/master/csl-citation.json"} </w:instrText>
      </w:r>
      <w:r>
        <w:fldChar w:fldCharType="separate"/>
      </w:r>
      <w:r w:rsidR="00722CBD" w:rsidRPr="00722CBD">
        <w:rPr>
          <w:rFonts w:cs="Times New Roman"/>
          <w:szCs w:val="24"/>
        </w:rPr>
        <w:t xml:space="preserve">Pedro Ruiz Torres, “Los límites del reformismo del siglo XVIII en España”, en </w:t>
      </w:r>
      <w:r w:rsidR="00722CBD" w:rsidRPr="00722CBD">
        <w:rPr>
          <w:rFonts w:cs="Times New Roman"/>
          <w:i/>
          <w:iCs/>
          <w:szCs w:val="24"/>
        </w:rPr>
        <w:t>El nacimiento y la construcción del estado moderno: homenaje a Jaume Vicens Vives</w:t>
      </w:r>
      <w:r w:rsidR="00722CBD" w:rsidRPr="00722CBD">
        <w:rPr>
          <w:rFonts w:cs="Times New Roman"/>
          <w:szCs w:val="24"/>
        </w:rPr>
        <w:t>, ed. Joaquim Albareda Salvadó y Marició Janué i Miret, Història (Valencia: Universitat de València, 2011), 130.</w:t>
      </w:r>
      <w:r>
        <w:fldChar w:fldCharType="end"/>
      </w:r>
    </w:p>
  </w:footnote>
  <w:footnote w:id="25">
    <w:p w14:paraId="5C2C6797" w14:textId="77777777" w:rsidR="000F0EAD" w:rsidRPr="00E341E0" w:rsidRDefault="000F0EAD" w:rsidP="000F0EAD">
      <w:pPr>
        <w:pStyle w:val="Textonotapie"/>
      </w:pPr>
      <w:r>
        <w:rPr>
          <w:rStyle w:val="Refdenotaalpie"/>
        </w:rPr>
        <w:footnoteRef/>
      </w:r>
      <w:r>
        <w:t xml:space="preserve"> Mariana, </w:t>
      </w:r>
      <w:r>
        <w:rPr>
          <w:i/>
        </w:rPr>
        <w:t>La dignidad real</w:t>
      </w:r>
      <w:r>
        <w:t>, lib. I, cap. I.</w:t>
      </w:r>
    </w:p>
  </w:footnote>
  <w:footnote w:id="26">
    <w:p w14:paraId="2E8EEED6" w14:textId="77777777" w:rsidR="000F0EAD" w:rsidRPr="00573862" w:rsidRDefault="000F0EAD" w:rsidP="000F0EAD">
      <w:pPr>
        <w:pStyle w:val="Textonotapie"/>
      </w:pPr>
      <w:r w:rsidRPr="002B6C75">
        <w:rPr>
          <w:rStyle w:val="Refdenotaalpie"/>
        </w:rPr>
        <w:footnoteRef/>
      </w:r>
      <w:r>
        <w:t xml:space="preserve">  Se cita allí la máxima evangélica que rezaba “Ninguna autoridad tendrías contra mí si no se te hubiera dado desde arriba”</w:t>
      </w:r>
      <w:r w:rsidRPr="00AE5979">
        <w:t xml:space="preserve">. </w:t>
      </w:r>
      <w:r>
        <w:t>Jn 19:11</w:t>
      </w:r>
      <w:r w:rsidRPr="00AE5979">
        <w:t>.</w:t>
      </w:r>
    </w:p>
  </w:footnote>
  <w:footnote w:id="27">
    <w:p w14:paraId="3C6D5F8F" w14:textId="77777777" w:rsidR="000F0EAD" w:rsidRPr="00573862" w:rsidRDefault="000F0EAD" w:rsidP="000F0EAD">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Rom 13:1. Murillo Velarde, </w:t>
      </w:r>
      <w:r w:rsidRPr="0080525F">
        <w:rPr>
          <w:i/>
        </w:rPr>
        <w:t>Cursus iuris canonici</w:t>
      </w:r>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L. I, tit. 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28">
    <w:p w14:paraId="4AF7C64B" w14:textId="77777777" w:rsidR="000F0EAD" w:rsidRPr="002A7410" w:rsidRDefault="000F0EAD" w:rsidP="000F0EAD">
      <w:pPr>
        <w:pStyle w:val="Textonotapie"/>
      </w:pPr>
      <w:r w:rsidRPr="002B6C75">
        <w:rPr>
          <w:rStyle w:val="Refdenotaalpie"/>
        </w:rPr>
        <w:footnoteRef/>
      </w:r>
      <w:r>
        <w:t xml:space="preserve"> “Aquella potestad que residía en todos, la transfirieron en uno solo, y la llamaron Magestad, que es lo mismo que potestad eminente, ó sumo imperio, y perpetua autoridad sobre toda la República, y con ella la absoluta facultad o regalía de castigar los delitos, perdonarlos indultando la pena á los reos, ó conmutar la señalada por la Ley en otra mas leve según su Voluntad”. Vizcaíno Pérez, </w:t>
      </w:r>
      <w:r>
        <w:rPr>
          <w:i/>
        </w:rPr>
        <w:t>Código y práctica criminal</w:t>
      </w:r>
      <w:r>
        <w:t>, tomo III, n. 422.</w:t>
      </w:r>
    </w:p>
  </w:footnote>
  <w:footnote w:id="29">
    <w:p w14:paraId="1E7F00D1" w14:textId="77777777" w:rsidR="000F0EAD" w:rsidRPr="00C34A5D" w:rsidRDefault="000F0EAD" w:rsidP="000F0EAD">
      <w:pPr>
        <w:pStyle w:val="Textonotapie"/>
      </w:pPr>
      <w:r w:rsidRPr="002B6C75">
        <w:rPr>
          <w:rStyle w:val="Refdenotaalpie"/>
        </w:rPr>
        <w:footnoteRef/>
      </w:r>
      <w:r w:rsidRPr="002B5F6C">
        <w:t xml:space="preserve"> López de Cuéllar, </w:t>
      </w:r>
      <w:r w:rsidRPr="002B5F6C">
        <w:rPr>
          <w:i/>
        </w:rPr>
        <w:t>Tratado iuridico-politico</w:t>
      </w:r>
      <w:r>
        <w:t xml:space="preserve">, n. 9. “porque siendo la potestad Real una imagen de la Divina Magestad, quisieron que también se pareciese á esta en poder exercitar la justicia y la misericordia en los casos que considerase oportunos, para que por aquella fuese temido, y por esta venerado”. Vizcaíno Pérez, </w:t>
      </w:r>
      <w:r>
        <w:rPr>
          <w:i/>
        </w:rPr>
        <w:t>Código y práctica criminal</w:t>
      </w:r>
      <w:r>
        <w:t>, tomo III, n. 422.</w:t>
      </w:r>
    </w:p>
  </w:footnote>
  <w:footnote w:id="30">
    <w:p w14:paraId="094F160A" w14:textId="77777777" w:rsidR="000F0EAD" w:rsidRPr="00653A46" w:rsidRDefault="000F0EAD" w:rsidP="000F0EAD">
      <w:pPr>
        <w:pStyle w:val="Textonotapie"/>
      </w:pPr>
      <w:r>
        <w:rPr>
          <w:rStyle w:val="Refdenotaalpie"/>
        </w:rPr>
        <w:footnoteRef/>
      </w:r>
      <w:r>
        <w:t xml:space="preserve"> Temor y amor estarían naturalmente vinculados, Alfonso X lo plasmó así: “Natural razon es, que el ome non puede amar ninguna cosa conplidamente si la non teme” </w:t>
      </w:r>
      <w:r w:rsidRPr="004413A4">
        <w:rPr>
          <w:i/>
        </w:rPr>
        <w:t>Las Siete Partidas</w:t>
      </w:r>
      <w:r>
        <w:t xml:space="preserve">, P. II, tít. II, l. III. Bovadilla comentó al respecto que “si el juez no es amado y temido, nunca será obedecido”. Castillo de Bovadilla, </w:t>
      </w:r>
      <w:r>
        <w:rPr>
          <w:i/>
        </w:rPr>
        <w:t>Politica para corregidores</w:t>
      </w:r>
      <w:r>
        <w:t>, lib. III, cap. XII, núm. 11.</w:t>
      </w:r>
    </w:p>
  </w:footnote>
  <w:footnote w:id="31">
    <w:p w14:paraId="3A0D3561" w14:textId="4E45DDF1" w:rsidR="000F0EAD" w:rsidRDefault="000F0EAD" w:rsidP="000F0EAD">
      <w:pPr>
        <w:pStyle w:val="Textonotapie"/>
      </w:pPr>
      <w:r>
        <w:rPr>
          <w:rStyle w:val="Refdenotaalpie"/>
        </w:rPr>
        <w:footnoteRef/>
      </w:r>
      <w:r>
        <w:t xml:space="preserve"> </w:t>
      </w:r>
      <w:r>
        <w:fldChar w:fldCharType="begin"/>
      </w:r>
      <w:r w:rsidR="007C7C94">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64.","noteIndex":31},"citationItems":[{"id":8219,"uris":["http://zotero.org/users/163570/items/FSB4WV2J"],"uri":["http://zotero.org/users/163570/items/FSB4WV2J"],"itemData":{"id":8219,"type":"book","title":"Vigilar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32">
    <w:p w14:paraId="27C5A979" w14:textId="77777777" w:rsidR="000F0EAD" w:rsidRPr="005A04A0" w:rsidRDefault="000F0EAD" w:rsidP="000F0EAD">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33">
    <w:p w14:paraId="65035BA0" w14:textId="663DF2A4" w:rsidR="000F0EAD" w:rsidRDefault="000F0EAD" w:rsidP="000F0EAD">
      <w:pPr>
        <w:pStyle w:val="Textonotapie"/>
      </w:pPr>
      <w:r>
        <w:rPr>
          <w:rStyle w:val="Refdenotaalpie"/>
        </w:rPr>
        <w:footnoteRef/>
      </w:r>
      <w:r>
        <w:t xml:space="preserve"> </w:t>
      </w:r>
      <w:r>
        <w:fldChar w:fldCharType="begin"/>
      </w:r>
      <w:r w:rsidR="007C7C94">
        <w:instrText xml:space="preserve"> ADDIN ZOTERO_ITEM CSL_CITATION {"citationID":"BJMXXsYz","properties":{"formattedCitation":"Calder\\uc0\\u243{}n de la Barca, {\\i{}El indulto general}, vv. 1257\\uc0\\u8211{}1265.","plainCitation":"Calderón de la Barca, El indulto general, vv. 1257–1265.","noteIndex":33},"citationItems":[{"id":8192,"uris":["http://zotero.org/users/163570/items/AY4587QQ"],"uri":["http://zotero.org/users/163570/items/AY4587QQ"],"itemData":{"id":8192,"type":"book","title":"El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 w:id="34">
    <w:p w14:paraId="293F495C" w14:textId="08EF325C" w:rsidR="00AC086E" w:rsidRPr="00F35A64" w:rsidRDefault="00AC086E">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 opuesta a la ley de dios. En buena medida la interpretación de las virtudes, en particular de la prudencia, fue compartida tanto por Maquiavelo como por sus más relevantes opositores en España. </w:t>
      </w:r>
      <w:r>
        <w:fldChar w:fldCharType="begin"/>
      </w:r>
      <w:r w:rsidR="007C7C94">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75–78.","noteIndex":34},"citationItems":[{"id":8255,"uris":["http://zotero.org/users/163570/items/Q4PKIA5Z"],"uri":["http://zotero.org/users/163570/items/Q4PKIA5Z"],"itemData":{"id":8255,"type":"book","title":"The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F35A64">
        <w:rPr>
          <w:rFonts w:cs="Times New Roman"/>
          <w:szCs w:val="24"/>
          <w:lang w:val="en-US"/>
        </w:rPr>
        <w:t xml:space="preserve">Keith David Howard, </w:t>
      </w:r>
      <w:r w:rsidRPr="00F35A64">
        <w:rPr>
          <w:rFonts w:cs="Times New Roman"/>
          <w:i/>
          <w:iCs/>
          <w:szCs w:val="24"/>
          <w:lang w:val="en-US"/>
        </w:rPr>
        <w:t>The Reception of Machiavelli in Early Modern Spain</w:t>
      </w:r>
      <w:r w:rsidRPr="00F35A64">
        <w:rPr>
          <w:rFonts w:cs="Times New Roman"/>
          <w:szCs w:val="24"/>
          <w:lang w:val="en-US"/>
        </w:rPr>
        <w:t>, Colección Tamesis Serie A: Monografías 338 (Woodbridge: Tamesis, 2014), 35–40, 75–78.</w:t>
      </w:r>
      <w:r>
        <w:fldChar w:fldCharType="end"/>
      </w:r>
    </w:p>
  </w:footnote>
  <w:footnote w:id="35">
    <w:p w14:paraId="51A12FDE" w14:textId="2128BFA4" w:rsidR="00AC086E" w:rsidRPr="001E0330" w:rsidRDefault="00AC086E">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5</w:t>
      </w:r>
    </w:p>
  </w:footnote>
  <w:footnote w:id="36">
    <w:p w14:paraId="1335ECE5" w14:textId="6E7B88AE" w:rsidR="00AC086E" w:rsidRPr="00C24EFF" w:rsidRDefault="00AC086E">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37">
    <w:p w14:paraId="448F145B" w14:textId="706F5356" w:rsidR="00AC086E" w:rsidRPr="009A7156" w:rsidRDefault="00AC086E">
      <w:pPr>
        <w:pStyle w:val="Textonotapie"/>
      </w:pPr>
      <w:r>
        <w:rPr>
          <w:rStyle w:val="Refdenotaalpie"/>
        </w:rPr>
        <w:footnoteRef/>
      </w:r>
      <w:r>
        <w:t xml:space="preserve"> </w:t>
      </w:r>
      <w:r w:rsidRPr="00C3030E">
        <w:t xml:space="preserve">Juan de Mariana, </w:t>
      </w:r>
      <w:r w:rsidRPr="00C3030E">
        <w:rPr>
          <w:i/>
          <w:iCs/>
        </w:rPr>
        <w:t>La dignidad real y la educación del rey (De rege et regis institutione)</w:t>
      </w:r>
      <w:r w:rsidRPr="00C3030E">
        <w:t>, ed. Luis Sánchez Agesta, Colección Clásicos políticos (Madrid: Centro de E</w:t>
      </w:r>
      <w:r>
        <w:t xml:space="preserve">studios Constitucionales, 1981),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38">
    <w:p w14:paraId="0835D4FA" w14:textId="77469138" w:rsidR="00AC086E" w:rsidRDefault="00AC086E">
      <w:pPr>
        <w:pStyle w:val="Textonotapie"/>
      </w:pPr>
      <w:r>
        <w:rPr>
          <w:rStyle w:val="Refdenotaalpie"/>
        </w:rPr>
        <w:footnoteRef/>
      </w:r>
      <w:r>
        <w:t xml:space="preserve"> Ribadeneyra, </w:t>
      </w:r>
      <w:r>
        <w:rPr>
          <w:i/>
        </w:rPr>
        <w:t>Tratado de la religión y las virtudes</w:t>
      </w:r>
      <w:r>
        <w:t>, lib. II, cap. IX.</w:t>
      </w:r>
    </w:p>
  </w:footnote>
  <w:footnote w:id="39">
    <w:p w14:paraId="2A69C54E" w14:textId="6962A900" w:rsidR="00AC086E" w:rsidRDefault="00AC086E">
      <w:pPr>
        <w:pStyle w:val="Textonotapie"/>
      </w:pPr>
      <w:r>
        <w:rPr>
          <w:rStyle w:val="Refdenotaalpie"/>
        </w:rPr>
        <w:footnoteRef/>
      </w:r>
      <w:r>
        <w:t xml:space="preserve"> Véase el “sentido estricto” del indulto según </w:t>
      </w:r>
      <w:r>
        <w:fldChar w:fldCharType="begin"/>
      </w:r>
      <w:r w:rsidR="007C7C94">
        <w:instrText xml:space="preserve"> ADDIN ZOTERO_ITEM CSL_CITATION {"citationID":"LXvsdfe3","properties":{"formattedCitation":"Mar\\uc0\\u237{}a Inmaculada Rodr\\uc0\\u237{}guez Flores, {\\i{}El perd\\uc0\\u243{}n real en Castilla (siglos XIII-XVIII)} (Salamanca: Universidad de Salamanca, 1971), 15.","plainCitation":"María Inmaculada Rodríguez Flores, El perdón real en Castilla (siglos XIII-XVIII) (Salamanca: Universidad de Salamanca, 1971), 15.","noteIndex":39},"citationItems":[{"id":2654,"uris":["http://zotero.org/users/163570/items/APZE9XAC"],"uri":["http://zotero.org/users/163570/items/APZE9XAC"],"itemData":{"id":2654,"type":"book","title":"El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0560AE">
        <w:rPr>
          <w:rFonts w:cs="Times New Roman"/>
          <w:szCs w:val="24"/>
        </w:rPr>
        <w:t xml:space="preserve">María Inmaculada Rodríguez Flores, </w:t>
      </w:r>
      <w:r w:rsidRPr="000560AE">
        <w:rPr>
          <w:rFonts w:cs="Times New Roman"/>
          <w:i/>
          <w:iCs/>
          <w:szCs w:val="24"/>
        </w:rPr>
        <w:t>El perdón real en Castilla (siglos XIII-XVIII)</w:t>
      </w:r>
      <w:r w:rsidRPr="000560AE">
        <w:rPr>
          <w:rFonts w:cs="Times New Roman"/>
          <w:szCs w:val="24"/>
        </w:rPr>
        <w:t xml:space="preserve"> (Salamanca: Universidad de Salamanca, 1971), 15.</w:t>
      </w:r>
      <w:r>
        <w:fldChar w:fldCharType="end"/>
      </w:r>
    </w:p>
  </w:footnote>
  <w:footnote w:id="40">
    <w:p w14:paraId="735C36CF" w14:textId="19DD8C35" w:rsidR="00AC086E" w:rsidRPr="0047499D" w:rsidRDefault="00AC086E">
      <w:pPr>
        <w:pStyle w:val="Textonotapie"/>
      </w:pPr>
      <w:r>
        <w:rPr>
          <w:rStyle w:val="Refdenotaalpie"/>
        </w:rPr>
        <w:footnoteRef/>
      </w:r>
      <w:r>
        <w:t xml:space="preserve"> Acerca de las acciones indebidas de los magistrados véase </w:t>
      </w:r>
      <w:r>
        <w:fldChar w:fldCharType="begin"/>
      </w:r>
      <w:r w:rsidR="007C7C94">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723.","noteIndex":40},"citationItems":[{"id":3373,"uris":["http://zotero.org/users/163570/items/5RFI5HKQ"],"uri":["http://zotero.org/users/163570/items/5RFI5HKQ"],"itemData":{"id":3373,"type":"chapter","title":"Las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7499D">
        <w:rPr>
          <w:rFonts w:cs="Times New Roman"/>
          <w:szCs w:val="24"/>
        </w:rPr>
        <w:t xml:space="preserve">Carlos Garriga Acosta, “Las Audiencias: la justicia y el gobierno de las Indias”, en </w:t>
      </w:r>
      <w:r w:rsidRPr="0047499D">
        <w:rPr>
          <w:rFonts w:cs="Times New Roman"/>
          <w:i/>
          <w:iCs/>
          <w:szCs w:val="24"/>
        </w:rPr>
        <w:t>El gobierno de un mundo, virreinatos y audiencias en la América hispánica</w:t>
      </w:r>
      <w:r w:rsidRPr="0047499D">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rsidR="007C7C94">
        <w:instrText xml:space="preserve"> ADDIN ZOTERO_ITEM CSL_CITATION {"citationID":"v90I5hao","properties":{"formattedCitation":"Garriga Acosta, \\uc0\\u8220{}Justicia animada\\uc0\\u8221{}, 90\\uc0\\u8211{}99.","plainCitation":"Garriga Acosta, “Justicia animada”, 90–99.","noteIndex":40},"citationItems":[{"id":8215,"uris":["http://zotero.org/users/163570/items/7K7GNDCS"],"uri":["http://zotero.org/users/163570/items/7K7GNDCS"],"itemData":{"id":8215,"type":"chapter","title":"Justicia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00722CBD" w:rsidRPr="00722CBD">
        <w:rPr>
          <w:rFonts w:cs="Times New Roman"/>
          <w:szCs w:val="24"/>
        </w:rPr>
        <w:t>Garriga Acosta, “Justicia animada”,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41">
    <w:p w14:paraId="6C560A05" w14:textId="7D9AA335" w:rsidR="00AC086E" w:rsidRPr="00D215CF" w:rsidRDefault="00AC086E"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F96FD3">
        <w:rPr>
          <w:i/>
          <w:highlight w:val="yellow"/>
        </w:rPr>
        <w:t>Obras y días. Manual de señores y príncipes</w:t>
      </w:r>
      <w:r w:rsidRPr="00F96FD3">
        <w:rPr>
          <w:highlight w:val="yellow"/>
        </w:rPr>
        <w:t xml:space="preserve"> (Madrid: María de Quiñones, 1641)</w:t>
      </w:r>
      <w:r>
        <w:t>, Cap. XVI.</w:t>
      </w:r>
    </w:p>
  </w:footnote>
  <w:footnote w:id="42">
    <w:p w14:paraId="6979BDE5" w14:textId="77777777" w:rsidR="00AC086E" w:rsidRPr="004F2AE6" w:rsidRDefault="00AC086E" w:rsidP="00F65E56">
      <w:pPr>
        <w:pStyle w:val="Textonotapie"/>
      </w:pPr>
      <w:r>
        <w:rPr>
          <w:rStyle w:val="Refdenotaalpie"/>
        </w:rPr>
        <w:footnoteRef/>
      </w:r>
      <w:r>
        <w:t xml:space="preserve"> 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43">
    <w:p w14:paraId="0DDAD7A7" w14:textId="628F21E5" w:rsidR="00AC086E" w:rsidRDefault="00AC086E">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rsidR="007C7C94">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IV.","noteIndex":43},"citationItems":[{"id":8143,"uris":["http://zotero.org/users/163570/items/BA2QIUT3"],"uri":["http://zotero.org/users/163570/items/BA2QIUT3"],"itemData":{"id":8143,"type":"thesis","title":"Las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220385">
        <w:rPr>
          <w:rFonts w:cs="Times New Roman"/>
          <w:szCs w:val="24"/>
        </w:rPr>
        <w:t>Margarita Freixas Alas, “Las autoridades en el primer diccionario de la Real Academia Española” (Universitat Autònoma de Barcelona, 2003), cap. VI y Anexo IV.</w:t>
      </w:r>
      <w:r>
        <w:fldChar w:fldCharType="end"/>
      </w:r>
    </w:p>
  </w:footnote>
  <w:footnote w:id="44">
    <w:p w14:paraId="501A1615" w14:textId="67E265A0" w:rsidR="00AC086E" w:rsidRPr="00265A20" w:rsidRDefault="00AC086E">
      <w:pPr>
        <w:pStyle w:val="Textonotapie"/>
      </w:pPr>
      <w:r>
        <w:rPr>
          <w:rStyle w:val="Refdenotaalpie"/>
        </w:rPr>
        <w:footnoteRef/>
      </w:r>
      <w:r>
        <w:t xml:space="preserve"> Nuevamente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45">
    <w:p w14:paraId="66F64105" w14:textId="77777777" w:rsidR="00AC086E" w:rsidRPr="00515929" w:rsidRDefault="00AC086E"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46">
    <w:p w14:paraId="4944A0CE" w14:textId="5B8BF27A" w:rsidR="00AC086E" w:rsidRPr="00827997" w:rsidRDefault="00AC086E" w:rsidP="00D10A0A">
      <w:pPr>
        <w:pStyle w:val="Textonotapie"/>
      </w:pPr>
      <w:r w:rsidRPr="002B6C75">
        <w:rPr>
          <w:rStyle w:val="Refdenotaalpie"/>
        </w:rPr>
        <w:footnoteRef/>
      </w:r>
      <w:r>
        <w:t xml:space="preserve"> </w:t>
      </w:r>
      <w:r>
        <w:fldChar w:fldCharType="begin"/>
      </w:r>
      <w:r w:rsidR="007C7C94">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249.","noteIndex":46},"citationItems":[{"id":6282,"uris":["http://zotero.org/users/163570/items/XWZB3NWU"],"uri":["http://zotero.org/users/163570/items/XWZB3NWU"],"itemData":{"id":6282,"type":"book","title":"El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EB3702">
        <w:rPr>
          <w:rFonts w:cs="Times New Roman"/>
          <w:szCs w:val="24"/>
        </w:rPr>
        <w:t xml:space="preserve">Javier Barrientos Grandon, </w:t>
      </w:r>
      <w:r w:rsidRPr="00EB3702">
        <w:rPr>
          <w:rFonts w:cs="Times New Roman"/>
          <w:i/>
          <w:iCs/>
          <w:szCs w:val="24"/>
        </w:rPr>
        <w:t>El gobierno de las Indias</w:t>
      </w:r>
      <w:r w:rsidRPr="00EB3702">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47">
    <w:p w14:paraId="2C2837B2" w14:textId="3863E5C7" w:rsidR="00AC086E" w:rsidRDefault="00AC086E"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48">
    <w:p w14:paraId="4D5531B0" w14:textId="7AE25A4D" w:rsidR="00AC086E" w:rsidRDefault="00AC086E">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49">
    <w:p w14:paraId="10D30FAE" w14:textId="6764462E" w:rsidR="00AC086E" w:rsidRDefault="00AC086E">
      <w:pPr>
        <w:pStyle w:val="Textonotapie"/>
      </w:pPr>
      <w:r>
        <w:rPr>
          <w:rStyle w:val="Refdenotaalpie"/>
        </w:rPr>
        <w:footnoteRef/>
      </w:r>
      <w:r>
        <w:t xml:space="preserve"> Jerónimo </w:t>
      </w:r>
      <w:r w:rsidRPr="003100C2">
        <w:rPr>
          <w:highlight w:val="yellow"/>
        </w:rPr>
        <w:t xml:space="preserve">Castillo de </w:t>
      </w:r>
      <w:r>
        <w:rPr>
          <w:highlight w:val="yellow"/>
        </w:rPr>
        <w:t>Bovadilla</w:t>
      </w:r>
      <w:r w:rsidRPr="003100C2">
        <w:rPr>
          <w:highlight w:val="yellow"/>
        </w:rPr>
        <w:t>,</w:t>
      </w:r>
      <w:r>
        <w:rPr>
          <w:highlight w:val="yellow"/>
        </w:rPr>
        <w:t xml:space="preserve"> </w:t>
      </w:r>
      <w:r>
        <w:rPr>
          <w:i/>
          <w:highlight w:val="yellow"/>
        </w:rPr>
        <w:t>Política para corregidores y señores de vasallos</w:t>
      </w:r>
      <w:r>
        <w:rPr>
          <w:highlight w:val="yellow"/>
        </w:rPr>
        <w:t>, reimpresión de la edición de 1690 (Madrid: imprenta de la Gazeta, 1775),</w:t>
      </w:r>
      <w:r w:rsidRPr="003100C2">
        <w:rPr>
          <w:highlight w:val="yellow"/>
        </w:rPr>
        <w:t xml:space="preserve"> Lib. II, cap. II, núm. 63-64.</w:t>
      </w:r>
      <w:r>
        <w:t xml:space="preserve"> </w:t>
      </w:r>
    </w:p>
  </w:footnote>
  <w:footnote w:id="50">
    <w:p w14:paraId="4290A584" w14:textId="1D166FF6" w:rsidR="00AC086E" w:rsidRPr="00447B8C" w:rsidRDefault="00AC086E" w:rsidP="004A499C">
      <w:pPr>
        <w:pStyle w:val="Textonotapie"/>
      </w:pPr>
      <w:r w:rsidRPr="002B6C75">
        <w:rPr>
          <w:rStyle w:val="Refdenotaalpie"/>
        </w:rPr>
        <w:footnoteRef/>
      </w:r>
      <w:r>
        <w:t xml:space="preserve"> “La misericordia y la verdad custodian al rey, y la clemencia es la fortaleza del trono”</w:t>
      </w:r>
      <w:r w:rsidRPr="00034E82">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w:t>
      </w:r>
    </w:p>
  </w:footnote>
  <w:footnote w:id="51">
    <w:p w14:paraId="422AA2D4" w14:textId="1405477B" w:rsidR="00AC086E" w:rsidRDefault="00AC086E"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52">
    <w:p w14:paraId="78B56BBD" w14:textId="354A2DFC" w:rsidR="00AC086E" w:rsidRPr="00AA0E9B" w:rsidRDefault="00AC086E"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53">
    <w:p w14:paraId="62F331DC" w14:textId="7A5FE51E" w:rsidR="00AC086E" w:rsidRPr="00AA0E9B" w:rsidRDefault="00AC086E"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54">
    <w:p w14:paraId="26CCBD09" w14:textId="19577DAF" w:rsidR="00AC086E" w:rsidRPr="00734344" w:rsidRDefault="00AC086E"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55">
    <w:p w14:paraId="669686E5" w14:textId="77777777" w:rsidR="00AC086E" w:rsidRPr="00137320" w:rsidRDefault="00AC086E"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56">
    <w:p w14:paraId="37C1F667" w14:textId="7E091FB1"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14.","noteIndex":56},"citationItems":[{"id":8214,"uris":["http://zotero.org/users/163570/items/6KAVYLUY"],"uri":["http://zotero.org/users/163570/items/6KAVYLUY"],"itemData":{"id":8214,"type":"article-journal","title":"«In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rsidR="007C7C94">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201.","noteIndex":56},"citationItems":[{"id":8216,"uris":["http://zotero.org/users/163570/items/UAKUXGM3"],"uri":["http://zotero.org/users/163570/items/UAKUXGM3"],"itemData":{"id":8216,"type":"article-journal","title":"El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57">
    <w:p w14:paraId="2716A6E2" w14:textId="56730CC7"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{"citationID":"al28obnw","properties":{"formattedCitation":"Calder\\uc0\\u243{}n de la Barca, {\\i{}El indulto general}, 9\\uc0\\u8211{}10.","plainCitation":"Calderón de la Barca, El indulto general, 9–10.","noteIndex":57},"citationItems":[{"id":8192,"uris":["http://zotero.org/users/163570/items/AY4587QQ"],"uri":["http://zotero.org/users/163570/items/AY4587QQ"],"itemData":{"id":8192,"type":"book","title":"El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58">
    <w:p w14:paraId="2B0D014C" w14:textId="19A6E242"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{"citationID":"m0owZl73","properties":{"formattedCitation":"Tom\\uc0\\u225{}s y Valiente, \\uc0\\u8220{}\\uc0\\u171{}In dubio pro reo\\uc0\\u187{}\\uc0\\u8221{}, 12\\uc0\\u8211{}13.","plainCitation":"Tomás y Valiente, “«In dubio pro reo»”, 12–13.","noteIndex":58},"citationItems":[{"id":8214,"uris":["http://zotero.org/users/163570/items/6KAVYLUY"],"uri":["http://zotero.org/users/163570/items/6KAVYLUY"],"itemData":{"id":8214,"type":"article-journal","title":"«In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59">
    <w:p w14:paraId="5CDB52B6" w14:textId="266A3C5D" w:rsidR="00AC086E" w:rsidRDefault="00AC086E" w:rsidP="000B2B9E">
      <w:pPr>
        <w:pStyle w:val="Textonotapie"/>
      </w:pPr>
      <w:r>
        <w:rPr>
          <w:rStyle w:val="Refdenotaalpie"/>
        </w:rPr>
        <w:footnoteRef/>
      </w:r>
      <w:r>
        <w:t xml:space="preserve"> </w:t>
      </w:r>
      <w:r>
        <w:fldChar w:fldCharType="begin"/>
      </w:r>
      <w:r w:rsidR="007C7C94">
        <w:instrText xml:space="preserve"> ADDIN ZOTERO_ITEM CSL_CITATION {"citationID":"pNUEkrH4","properties":{"formattedCitation":"Tom\\uc0\\u225{}s y Valiente, 12.","plainCitation":"Tomás y Valiente, 12.","noteIndex":59},"citationItems":[{"id":8214,"uris":["http://zotero.org/users/163570/items/6KAVYLUY"],"uri":["http://zotero.org/users/163570/items/6KAVYLUY"],"itemData":{"id":8214,"type":"article-journal","title":"«In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60">
    <w:p w14:paraId="6500F0C6" w14:textId="77777777" w:rsidR="00AC086E" w:rsidRDefault="00AC086E" w:rsidP="000B2B9E">
      <w:pPr>
        <w:pStyle w:val="Textonotapie"/>
      </w:pPr>
      <w:r>
        <w:rPr>
          <w:rStyle w:val="Refdenotaalpie"/>
        </w:rPr>
        <w:footnoteRef/>
      </w:r>
      <w:r>
        <w:t xml:space="preserve"> Referencia en el original a tres citas bíblicas: Mt 12:7, Sal 106, Pr 3:3.</w:t>
      </w:r>
    </w:p>
  </w:footnote>
  <w:footnote w:id="61">
    <w:p w14:paraId="7021C1E8" w14:textId="472C3A8A" w:rsidR="00AC086E" w:rsidRPr="002E634A" w:rsidRDefault="00AC086E"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También es ilustrativo Saavedra Fajardo cuando dice: “Si Dios no fuera clemente, lo respetara el temor, pero no le adorara el culto.”</w:t>
      </w:r>
      <w:r w:rsidRPr="002E634A">
        <w:rPr>
          <w:i/>
        </w:rPr>
        <w:t xml:space="preserve"> </w:t>
      </w:r>
      <w:r w:rsidRPr="00F7244B">
        <w:rPr>
          <w:i/>
        </w:rPr>
        <w:t>Idea de un príncipe político christiano</w:t>
      </w:r>
      <w:r w:rsidRPr="00F7244B">
        <w:t xml:space="preserve">, </w:t>
      </w:r>
      <w:r>
        <w:t xml:space="preserve">emp. 22, </w:t>
      </w:r>
      <w:r w:rsidRPr="00F7244B">
        <w:t>lema “præsidia maiestatis”.</w:t>
      </w:r>
      <w:r>
        <w:rPr>
          <w:i/>
        </w:rPr>
        <w:t xml:space="preserve"> </w:t>
      </w:r>
    </w:p>
  </w:footnote>
  <w:footnote w:id="62">
    <w:p w14:paraId="038FB7BD" w14:textId="71B1901E" w:rsidR="00AC086E" w:rsidRPr="0042190A" w:rsidRDefault="00AC086E"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63">
    <w:p w14:paraId="3B8870CD" w14:textId="0753EB86" w:rsidR="00AC086E" w:rsidRPr="00C44AAB" w:rsidRDefault="00AC086E"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64">
    <w:p w14:paraId="7C5C4994" w14:textId="77777777" w:rsidR="00AC086E" w:rsidRPr="001155D2" w:rsidRDefault="00AC086E"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65">
    <w:p w14:paraId="34A0353E" w14:textId="77777777" w:rsidR="00AC086E" w:rsidRPr="00C054C4" w:rsidRDefault="00AC086E" w:rsidP="008E4E99">
      <w:pPr>
        <w:pStyle w:val="Textonotapie"/>
      </w:pPr>
      <w:r>
        <w:rPr>
          <w:rStyle w:val="Refdenotaalpie"/>
        </w:rPr>
        <w:footnoteRef/>
      </w:r>
      <w:r>
        <w:t xml:space="preserve"> Jerónimo Castillo de Bovadilla, </w:t>
      </w:r>
      <w:r>
        <w:rPr>
          <w:i/>
        </w:rPr>
        <w:t>Politica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66">
    <w:p w14:paraId="0127643E" w14:textId="77777777" w:rsidR="00AC086E" w:rsidRDefault="00AC086E" w:rsidP="008E4E99">
      <w:pPr>
        <w:pStyle w:val="Textonotapie"/>
      </w:pPr>
      <w:r>
        <w:rPr>
          <w:rStyle w:val="Refdenotaalpie"/>
        </w:rPr>
        <w:footnoteRef/>
      </w:r>
      <w:r>
        <w:t xml:space="preserve"> Castillo de Bovadilla, lib. III, cap. XII, núm. 7.</w:t>
      </w:r>
    </w:p>
  </w:footnote>
  <w:footnote w:id="67">
    <w:p w14:paraId="5F3D5465" w14:textId="77777777" w:rsidR="00AC086E" w:rsidRPr="00C05F45" w:rsidRDefault="00AC086E" w:rsidP="008E4E99">
      <w:pPr>
        <w:pStyle w:val="Textonotapie"/>
      </w:pPr>
      <w:r>
        <w:rPr>
          <w:rStyle w:val="Refdenotaalpie"/>
        </w:rPr>
        <w:footnoteRef/>
      </w:r>
      <w:r>
        <w:t xml:space="preserve"> Castillo de Bovadilla, lib. </w:t>
      </w:r>
      <w:r w:rsidRPr="00F05BA7">
        <w:t xml:space="preserve">III, cap. </w:t>
      </w:r>
      <w:r w:rsidRPr="00C05F45">
        <w:t>XII, núm. 8.</w:t>
      </w:r>
    </w:p>
  </w:footnote>
  <w:footnote w:id="68">
    <w:p w14:paraId="147A2B6E" w14:textId="14CFF7D3" w:rsidR="00AC086E" w:rsidRPr="003A403C" w:rsidRDefault="00AC086E" w:rsidP="00D27E44">
      <w:pPr>
        <w:pStyle w:val="Textonotapie"/>
      </w:pPr>
      <w:r w:rsidRPr="002B6C75">
        <w:rPr>
          <w:rStyle w:val="Refdenotaalpie"/>
        </w:rPr>
        <w:footnoteRef/>
      </w:r>
      <w:r w:rsidRPr="003A403C">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69">
    <w:p w14:paraId="2DE0CAD7" w14:textId="5830E643" w:rsidR="00AC086E" w:rsidRPr="008E4E99" w:rsidRDefault="00AC086E"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70">
    <w:p w14:paraId="23D27692" w14:textId="04EBEFF4" w:rsidR="00AC086E" w:rsidRPr="000560AE" w:rsidRDefault="00AC086E"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rsidR="007C7C94">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70},"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EB3702">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71">
    <w:p w14:paraId="5C1B780F" w14:textId="26E3BDBC" w:rsidR="00AC086E" w:rsidRPr="00185E50" w:rsidRDefault="00AC086E" w:rsidP="008E4E99">
      <w:pPr>
        <w:pStyle w:val="Textonotapie"/>
      </w:pPr>
      <w:r w:rsidRPr="002B6C75">
        <w:rPr>
          <w:rStyle w:val="Refdenotaalpie"/>
        </w:rPr>
        <w:footnoteRef/>
      </w:r>
      <w:r w:rsidRPr="00766A7E">
        <w:t xml:space="preserve"> “</w:t>
      </w:r>
      <w:r>
        <w:t>donde n</w:t>
      </w:r>
      <w:r w:rsidRPr="00766A7E">
        <w:t xml:space="preserve">o convenza el amor, </w:t>
      </w:r>
      <w:r>
        <w:t xml:space="preserve">restrinja </w:t>
      </w:r>
      <w:r w:rsidRPr="00766A7E">
        <w:t xml:space="preserve">el temor” Murillo Velarde, </w:t>
      </w:r>
      <w:r w:rsidRPr="00766A7E">
        <w:rPr>
          <w:i/>
        </w:rPr>
        <w:t>Cursus iuris canonici</w:t>
      </w:r>
      <w:r w:rsidRPr="00766A7E">
        <w:t xml:space="preserve">, L. V, tít. </w:t>
      </w:r>
      <w:r>
        <w:t xml:space="preserve">XXXVII, </w:t>
      </w:r>
      <w:r w:rsidRPr="00F47F3C">
        <w:t>“De pœnis”</w:t>
      </w:r>
      <w:r>
        <w:t>, No. 319.</w:t>
      </w:r>
    </w:p>
  </w:footnote>
  <w:footnote w:id="72">
    <w:p w14:paraId="24D9BA0F" w14:textId="77777777" w:rsidR="00AC086E" w:rsidRPr="009D2BC9" w:rsidRDefault="00AC086E"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73">
    <w:p w14:paraId="4FC3866C" w14:textId="77777777" w:rsidR="00AC086E" w:rsidRPr="00573862" w:rsidRDefault="00AC086E"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74">
    <w:p w14:paraId="1B08C730" w14:textId="3B71E26C" w:rsidR="00AC086E" w:rsidRDefault="00AC086E"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rsidR="007C7C94">
        <w:instrText xml:space="preserve"> ADDIN ZOTERO_ITEM CSL_CITATION {"citationID":"0wHfMMhw","properties":{"formattedCitation":"Rodr\\uc0\\u237{}guez Flores, {\\i{}El perd\\uc0\\u243{}n real}, 14.","plainCitation":"Rodríguez Flores, El perdón real, 14.","noteIndex":74},"citationItems":[{"id":2654,"uris":["http://zotero.org/users/163570/items/APZE9XAC"],"uri":["http://zotero.org/users/163570/items/APZE9XAC"],"itemData":{"id":2654,"type":"book","title":"El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0560AE">
        <w:rPr>
          <w:rFonts w:cs="Times New Roman"/>
          <w:szCs w:val="24"/>
        </w:rPr>
        <w:t xml:space="preserve">Rodríguez Flores, </w:t>
      </w:r>
      <w:r w:rsidRPr="000560AE">
        <w:rPr>
          <w:rFonts w:cs="Times New Roman"/>
          <w:i/>
          <w:iCs/>
          <w:szCs w:val="24"/>
        </w:rPr>
        <w:t>El perdón real</w:t>
      </w:r>
      <w:r w:rsidRPr="000560AE">
        <w:rPr>
          <w:rFonts w:cs="Times New Roman"/>
          <w:szCs w:val="24"/>
        </w:rPr>
        <w:t>, 14.</w:t>
      </w:r>
      <w:r>
        <w:fldChar w:fldCharType="end"/>
      </w:r>
    </w:p>
  </w:footnote>
  <w:footnote w:id="75">
    <w:p w14:paraId="3ACE29C5" w14:textId="2E92173B" w:rsidR="00AC086E" w:rsidRPr="00090E5A" w:rsidRDefault="00AC086E"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rsidRPr="00912069">
        <w:t xml:space="preserve">, n.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rsidR="007C7C94">
        <w:instrText xml:space="preserve"> ADDIN ZOTERO_ITEM CSL_CITATION {"citationID":"fI73Vgkx","properties":{"formattedCitation":"Prodi, {\\i{}Una historia de la justicia}, 42.","plainCitation":"Prodi, Una historia de la justicia, 42.","noteIndex":75},"citationItems":[{"id":3390,"uris":["http://zotero.org/users/163570/items/C54QSDGR"],"uri":["http://zotero.org/users/163570/items/C54QSDGR"],"itemData":{"id":3390,"type":"book","title":"Una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007C7C94" w:rsidRPr="007C7C94">
        <w:rPr>
          <w:rFonts w:cs="Times New Roman"/>
          <w:szCs w:val="24"/>
        </w:rPr>
        <w:t xml:space="preserve">Prodi, </w:t>
      </w:r>
      <w:r w:rsidR="007C7C94" w:rsidRPr="007C7C94">
        <w:rPr>
          <w:rFonts w:cs="Times New Roman"/>
          <w:i/>
          <w:iCs/>
          <w:szCs w:val="24"/>
        </w:rPr>
        <w:t>Una historia de la justicia</w:t>
      </w:r>
      <w:r w:rsidR="007C7C94" w:rsidRPr="007C7C94">
        <w:rPr>
          <w:rFonts w:cs="Times New Roman"/>
          <w:szCs w:val="24"/>
        </w:rPr>
        <w:t>, 42.</w:t>
      </w:r>
      <w:r>
        <w:fldChar w:fldCharType="end"/>
      </w:r>
    </w:p>
  </w:footnote>
  <w:footnote w:id="76">
    <w:p w14:paraId="1225404A" w14:textId="77777777" w:rsidR="00AC086E" w:rsidRPr="00273553" w:rsidRDefault="00AC086E"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77">
    <w:p w14:paraId="3A200291" w14:textId="77777777" w:rsidR="00AC086E" w:rsidRPr="00B3069B" w:rsidRDefault="00AC086E"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78">
    <w:p w14:paraId="790F4A8A" w14:textId="0FF357B8" w:rsidR="00AC086E" w:rsidRPr="000560AE" w:rsidRDefault="00AC086E"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79">
    <w:p w14:paraId="5AAB967A" w14:textId="77777777" w:rsidR="00AC086E" w:rsidRPr="008E4E99" w:rsidRDefault="00AC086E"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80">
    <w:p w14:paraId="11F3A4B0" w14:textId="13956F4E" w:rsidR="00AC086E" w:rsidRDefault="00AC086E">
      <w:pPr>
        <w:pStyle w:val="Textonotapie"/>
      </w:pPr>
      <w:r>
        <w:rPr>
          <w:rStyle w:val="Refdenotaalpie"/>
        </w:rPr>
        <w:footnoteRef/>
      </w:r>
      <w:r>
        <w:t xml:space="preserve"> </w:t>
      </w:r>
      <w:r>
        <w:fldChar w:fldCharType="begin"/>
      </w:r>
      <w:r w:rsidR="007C7C94">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80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65409B">
        <w:rPr>
          <w:rFonts w:cs="Times New Roman"/>
          <w:szCs w:val="24"/>
        </w:rPr>
        <w:t xml:space="preserve">Bartolomé Clavero, “Justicia y gobierno, economía y gracia”, en </w:t>
      </w:r>
      <w:r w:rsidRPr="0065409B">
        <w:rPr>
          <w:rFonts w:cs="Times New Roman"/>
          <w:i/>
          <w:iCs/>
          <w:szCs w:val="24"/>
        </w:rPr>
        <w:t>Real Chancillería de Granada: V Centenario 1505-2005</w:t>
      </w:r>
      <w:r w:rsidRPr="0065409B">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81">
    <w:p w14:paraId="5EA2974A" w14:textId="202D8092" w:rsidR="00AC086E" w:rsidRDefault="00AC086E">
      <w:pPr>
        <w:pStyle w:val="Textonotapie"/>
      </w:pPr>
      <w:r>
        <w:rPr>
          <w:rStyle w:val="Refdenotaalpie"/>
        </w:rPr>
        <w:footnoteRef/>
      </w:r>
      <w:r>
        <w:t xml:space="preserve"> </w:t>
      </w:r>
      <w:r>
        <w:fldChar w:fldCharType="begin"/>
      </w:r>
      <w:r w:rsidR="007C7C94">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67.","noteIndex":81},"citationItems":[{"id":8230,"uris":["http://zotero.org/users/163570/items/TCD7A8EM"],"uri":["http://zotero.org/users/163570/items/TCD7A8EM"],"itemData":{"id":8230,"type":"chapter","title":"Orden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302F7B">
        <w:rPr>
          <w:rFonts w:cs="Times New Roman"/>
          <w:szCs w:val="24"/>
        </w:rPr>
        <w:t xml:space="preserve">Carlos Garriga Acosta, “Orden jurídico y poder político en el antiguo régimen”, en </w:t>
      </w:r>
      <w:r w:rsidRPr="00302F7B">
        <w:rPr>
          <w:rFonts w:cs="Times New Roman"/>
          <w:i/>
          <w:iCs/>
          <w:szCs w:val="24"/>
        </w:rPr>
        <w:t>Cádiz, 1812. La Constitución jurisdiccional</w:t>
      </w:r>
      <w:r w:rsidRPr="00302F7B">
        <w:rPr>
          <w:rFonts w:cs="Times New Roman"/>
          <w:szCs w:val="24"/>
        </w:rPr>
        <w:t>, de Carlos Garriga Acosta y Marta Lorente Sariñena, Cuadernos y debates 174 (Madrid: Centro de Estudios Políticos y Constitucionales, 2007), 67.</w:t>
      </w:r>
      <w:r>
        <w:fldChar w:fldCharType="end"/>
      </w:r>
    </w:p>
  </w:footnote>
  <w:footnote w:id="82">
    <w:p w14:paraId="28F2A1EE" w14:textId="419C4726" w:rsidR="00AC086E" w:rsidRDefault="00AC086E">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83">
    <w:p w14:paraId="765A4B8A" w14:textId="774D3E61" w:rsidR="00AC086E" w:rsidRDefault="00AC086E">
      <w:pPr>
        <w:pStyle w:val="Textonotapie"/>
      </w:pPr>
      <w:r>
        <w:rPr>
          <w:rStyle w:val="Refdenotaalpie"/>
        </w:rPr>
        <w:footnoteRef/>
      </w:r>
      <w:r>
        <w:t xml:space="preserve"> </w:t>
      </w:r>
      <w:r>
        <w:fldChar w:fldCharType="begin"/>
      </w:r>
      <w:r w:rsidR="007C7C94">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45.","noteIndex":83},"citationItems":[{"id":5999,"uris":["http://zotero.org/users/163570/items/HQHICPD6"],"uri":["http://zotero.org/users/163570/items/HQHICPD6"],"itemData":{"id":5999,"type":"chapter","title":"Las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B94F93">
        <w:rPr>
          <w:rFonts w:cs="Times New Roman"/>
          <w:szCs w:val="24"/>
        </w:rPr>
        <w:t xml:space="preserve">Alejandro Agüero Nazar, “Las categorías básicas de la cultura jurisdiccional”, en </w:t>
      </w:r>
      <w:r w:rsidRPr="00B94F93">
        <w:rPr>
          <w:rFonts w:cs="Times New Roman"/>
          <w:i/>
          <w:iCs/>
          <w:szCs w:val="24"/>
        </w:rPr>
        <w:t>De justicia de jueces a justicia de leyes: hacia la España de 1870</w:t>
      </w:r>
      <w:r w:rsidRPr="00B94F93">
        <w:rPr>
          <w:rFonts w:cs="Times New Roman"/>
          <w:szCs w:val="24"/>
        </w:rPr>
        <w:t>, ed. Marta Lorente Sariñena, Cuadernos de derecho judicial, VI–2006 (Madrid: Consejo General del Poder Judicial, 2007), 45.</w:t>
      </w:r>
      <w:r>
        <w:fldChar w:fldCharType="end"/>
      </w:r>
    </w:p>
  </w:footnote>
  <w:footnote w:id="84">
    <w:p w14:paraId="79021727" w14:textId="0D3F2378" w:rsidR="00AC086E" w:rsidRPr="00BA76C0" w:rsidRDefault="00AC086E">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85">
    <w:p w14:paraId="0B7D8553" w14:textId="63D20E3E" w:rsidR="00AC086E" w:rsidRDefault="00AC086E">
      <w:pPr>
        <w:pStyle w:val="Textonotapie"/>
      </w:pPr>
      <w:r>
        <w:rPr>
          <w:rStyle w:val="Refdenotaalpie"/>
        </w:rPr>
        <w:footnoteRef/>
      </w:r>
      <w:r>
        <w:t xml:space="preserve"> </w:t>
      </w:r>
      <w:r>
        <w:fldChar w:fldCharType="begin"/>
      </w:r>
      <w:r w:rsidR="007C7C94">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151–76.","noteIndex":85},"citationItems":[{"id":8246,"uris":["http://zotero.org/users/163570/items/YR6E2SPQ"],"uri":["http://zotero.org/users/163570/items/YR6E2SPQ"],"itemData":{"id":8246,"type":"paper-conference","title":"Justicia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2D4546">
        <w:rPr>
          <w:rFonts w:cs="Times New Roman"/>
          <w:szCs w:val="24"/>
        </w:rPr>
        <w:t xml:space="preserve">Clavero, “Justicia y gobierno, economía y gracia”; </w:t>
      </w:r>
      <w:r w:rsidRPr="002D4546">
        <w:rPr>
          <w:rFonts w:cs="Times New Roman"/>
          <w:i/>
          <w:iCs/>
          <w:szCs w:val="24"/>
        </w:rPr>
        <w:t>Antidora: antropología católica de la economía moderna</w:t>
      </w:r>
      <w:r w:rsidRPr="002D4546">
        <w:rPr>
          <w:rFonts w:cs="Times New Roman"/>
          <w:szCs w:val="24"/>
        </w:rPr>
        <w:t xml:space="preserve">, Per la storia del pensiero giuridico moderno 39 (Milán: Giuffrè, 1991); António Manuel Hespanha, “La economía de la gracia”, en </w:t>
      </w:r>
      <w:r w:rsidRPr="002D4546">
        <w:rPr>
          <w:rFonts w:cs="Times New Roman"/>
          <w:i/>
          <w:iCs/>
          <w:szCs w:val="24"/>
        </w:rPr>
        <w:t>La gracia del derecho: economía de la cultura en la edad moderna</w:t>
      </w:r>
      <w:r w:rsidRPr="002D4546">
        <w:rPr>
          <w:rFonts w:cs="Times New Roman"/>
          <w:szCs w:val="24"/>
        </w:rPr>
        <w:t>, trad. Ana Cañellas Haurie (Madrid: Centro de estudios constitucionales, 1993), 151–76.</w:t>
      </w:r>
      <w:r>
        <w:fldChar w:fldCharType="end"/>
      </w:r>
    </w:p>
  </w:footnote>
  <w:footnote w:id="86">
    <w:p w14:paraId="2CBAA388" w14:textId="0EFDB417" w:rsidR="00AC086E" w:rsidRDefault="00AC086E">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87">
    <w:p w14:paraId="4AB2DC3B" w14:textId="51D45B8A" w:rsidR="00AC086E" w:rsidRDefault="00AC086E">
      <w:pPr>
        <w:pStyle w:val="Textonotapie"/>
      </w:pPr>
      <w:r>
        <w:rPr>
          <w:rStyle w:val="Refdenotaalpie"/>
        </w:rPr>
        <w:footnoteRef/>
      </w:r>
      <w:r>
        <w:t xml:space="preserve"> </w:t>
      </w:r>
      <w:r>
        <w:fldChar w:fldCharType="begin"/>
      </w:r>
      <w:r w:rsidR="007C7C94">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315–20.","noteIndex":87},"citationItems":[{"id":8248,"uris":["http://zotero.org/users/163570/items/YEN73JLK"],"uri":["http://zotero.org/users/163570/items/YEN73JLK"],"itemData":{"id":8248,"type":"book","title":"Necesidad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B53F0">
        <w:rPr>
          <w:rFonts w:cs="Times New Roman"/>
          <w:szCs w:val="24"/>
        </w:rPr>
        <w:t xml:space="preserve">Francisco Andújar Castillo, </w:t>
      </w:r>
      <w:r w:rsidRPr="004B53F0">
        <w:rPr>
          <w:rFonts w:cs="Times New Roman"/>
          <w:i/>
          <w:iCs/>
          <w:szCs w:val="24"/>
        </w:rPr>
        <w:t>Necesidad y venalidad: España e Indias 1704-1711</w:t>
      </w:r>
      <w:r w:rsidRPr="004B53F0">
        <w:rPr>
          <w:rFonts w:cs="Times New Roman"/>
          <w:szCs w:val="24"/>
        </w:rPr>
        <w:t>, Colección Historia de la sociedad política (Madrid: Centro de Estudios Políticos y Constitucionales, 2008), 315–20.</w:t>
      </w:r>
      <w:r>
        <w:fldChar w:fldCharType="end"/>
      </w:r>
    </w:p>
  </w:footnote>
  <w:footnote w:id="88">
    <w:p w14:paraId="0B2564F6" w14:textId="0CC97D56" w:rsidR="00AC086E" w:rsidRDefault="00AC086E">
      <w:pPr>
        <w:pStyle w:val="Textonotapie"/>
      </w:pPr>
      <w:r>
        <w:rPr>
          <w:rStyle w:val="Refdenotaalpie"/>
        </w:rPr>
        <w:footnoteRef/>
      </w:r>
      <w:r>
        <w:t xml:space="preserve"> Al respecto resalto el trabajo compilatorio de </w:t>
      </w:r>
      <w:r>
        <w:fldChar w:fldCharType="begin"/>
      </w:r>
      <w:r w:rsidR="007C7C94">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2016).","noteIndex":88},"citationItems":[{"id":8250,"uris":["http://zotero.org/users/163570/items/TIWVX7J9"],"uri":["http://zotero.org/users/163570/items/TIWVX7J9"],"itemData":{"id":8250,"type":"book","title":"Mérito,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B53F0">
        <w:rPr>
          <w:rFonts w:cs="Times New Roman"/>
          <w:szCs w:val="24"/>
        </w:rPr>
        <w:t xml:space="preserve">Pilar Ponce Leiva y Francisco Andújar Castillo, eds., </w:t>
      </w:r>
      <w:r w:rsidRPr="004B53F0">
        <w:rPr>
          <w:rFonts w:cs="Times New Roman"/>
          <w:i/>
          <w:iCs/>
          <w:szCs w:val="24"/>
        </w:rPr>
        <w:t>Mérito, venalidad y corrupción en España y América, siglos XVII y XVIII</w:t>
      </w:r>
      <w:r w:rsidRPr="004B53F0">
        <w:rPr>
          <w:rFonts w:cs="Times New Roman"/>
          <w:szCs w:val="24"/>
        </w:rPr>
        <w:t>, Colección Historia de España y su proyección internacional 10 (Valencia: Albatros, 2016).</w:t>
      </w:r>
      <w:r>
        <w:fldChar w:fldCharType="end"/>
      </w:r>
    </w:p>
  </w:footnote>
  <w:footnote w:id="89">
    <w:p w14:paraId="7DD94F36" w14:textId="2830DDD9" w:rsidR="00AC086E" w:rsidRPr="008F36FD" w:rsidRDefault="00AC086E">
      <w:pPr>
        <w:pStyle w:val="Textonotapie"/>
        <w:rPr>
          <w:lang w:val="fr-FR"/>
        </w:rPr>
      </w:pPr>
      <w:r>
        <w:rPr>
          <w:rStyle w:val="Refdenotaalpie"/>
        </w:rPr>
        <w:footnoteRef/>
      </w:r>
      <w:r w:rsidRPr="008F36FD">
        <w:rPr>
          <w:lang w:val="fr-FR"/>
        </w:rPr>
        <w:t xml:space="preserve"> </w:t>
      </w:r>
      <w:r>
        <w:fldChar w:fldCharType="begin"/>
      </w:r>
      <w:r w:rsidR="007C7C94">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66–69.","noteIndex":89},"citationItems":[{"id":8002,"uris":["http://zotero.org/users/163570/items/GERVJL77"],"uri":["http://zotero.org/users/163570/items/GERVJL77"],"itemData":{"id":8002,"type":"book","title":"Crimes,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3A403C">
        <w:rPr>
          <w:rFonts w:cs="Times New Roman"/>
          <w:szCs w:val="24"/>
          <w:lang w:val="fr-FR"/>
        </w:rPr>
        <w:t xml:space="preserve">Rudy Chaulet, </w:t>
      </w:r>
      <w:r w:rsidRPr="003A403C">
        <w:rPr>
          <w:rFonts w:cs="Times New Roman"/>
          <w:i/>
          <w:iCs/>
          <w:szCs w:val="24"/>
          <w:lang w:val="fr-FR"/>
        </w:rPr>
        <w:t>Crimes, rixes et bruits d’épées: homicides pardonnés en Castille au siècle d’or</w:t>
      </w:r>
      <w:r w:rsidRPr="003A403C">
        <w:rPr>
          <w:rFonts w:cs="Times New Roman"/>
          <w:szCs w:val="24"/>
          <w:lang w:val="fr-FR"/>
        </w:rPr>
        <w:t xml:space="preserve">, Espagne médiévale et moderne 11 (Montpellier: Presses Universitaires de la Méditerranée, 2007), 375–76; Rodríguez Flores, </w:t>
      </w:r>
      <w:r w:rsidRPr="003A403C">
        <w:rPr>
          <w:rFonts w:cs="Times New Roman"/>
          <w:i/>
          <w:iCs/>
          <w:szCs w:val="24"/>
          <w:lang w:val="fr-FR"/>
        </w:rPr>
        <w:t>El perdón real</w:t>
      </w:r>
      <w:r w:rsidRPr="003A403C">
        <w:rPr>
          <w:rFonts w:cs="Times New Roman"/>
          <w:szCs w:val="24"/>
          <w:lang w:val="fr-FR"/>
        </w:rPr>
        <w:t>, 66–69.</w:t>
      </w:r>
      <w:r>
        <w:fldChar w:fldCharType="end"/>
      </w:r>
    </w:p>
  </w:footnote>
  <w:footnote w:id="90">
    <w:p w14:paraId="5285D108" w14:textId="3571AFDB" w:rsidR="00AC086E" w:rsidRDefault="00AC086E">
      <w:pPr>
        <w:pStyle w:val="Textonotapie"/>
      </w:pPr>
      <w:r>
        <w:rPr>
          <w:rStyle w:val="Refdenotaalpie"/>
        </w:rPr>
        <w:footnoteRef/>
      </w:r>
      <w:r>
        <w:t xml:space="preserve"> </w:t>
      </w:r>
      <w:r>
        <w:fldChar w:fldCharType="begin"/>
      </w:r>
      <w:r w:rsidR="007C7C94">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249–50.","noteIndex":90},"citationItems":[{"id":8027,"uris":["http://zotero.org/users/163570/items/WNQSRIKP"],"uri":["http://zotero.org/users/163570/items/WNQSRIKP"],"itemData":{"id":8027,"type":"book","title":"La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EC03F2">
        <w:rPr>
          <w:rFonts w:cs="Times New Roman"/>
          <w:szCs w:val="24"/>
        </w:rPr>
        <w:t xml:space="preserve">Tamar Herzog, </w:t>
      </w:r>
      <w:r w:rsidRPr="00EC03F2">
        <w:rPr>
          <w:rFonts w:cs="Times New Roman"/>
          <w:i/>
          <w:iCs/>
          <w:szCs w:val="24"/>
        </w:rPr>
        <w:t>La administración como un fenómeno social: la justicia penal de la ciudad de Quito (1650 - 1750)</w:t>
      </w:r>
      <w:r w:rsidRPr="00EC03F2">
        <w:rPr>
          <w:rFonts w:cs="Times New Roman"/>
          <w:szCs w:val="24"/>
        </w:rPr>
        <w:t>, Historia de la sociedad política (Madrid: Centro de Estudios Constitucionales, 1995), 249–50.</w:t>
      </w:r>
      <w:r>
        <w:fldChar w:fldCharType="end"/>
      </w:r>
    </w:p>
  </w:footnote>
  <w:footnote w:id="91">
    <w:p w14:paraId="782BC615" w14:textId="76DC3E0D" w:rsidR="00AC086E" w:rsidRDefault="00AC086E" w:rsidP="003B65A6">
      <w:pPr>
        <w:pStyle w:val="Textonotapie"/>
      </w:pPr>
      <w:r>
        <w:rPr>
          <w:rStyle w:val="Refdenotaalpie"/>
        </w:rPr>
        <w:footnoteRef/>
      </w:r>
      <w:r>
        <w:t xml:space="preserve"> </w:t>
      </w:r>
      <w:r>
        <w:fldChar w:fldCharType="begin"/>
      </w:r>
      <w:r w:rsidR="007C7C94">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67.","noteIndex":91},"citationItems":[{"id":8246,"uris":["http://zotero.org/users/163570/items/YR6E2SPQ"],"uri":["http://zotero.org/users/163570/items/YR6E2SPQ"],"itemData":{"id":8246,"type":"paper-conference","title":"Justicia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160A4C">
        <w:rPr>
          <w:rFonts w:cs="Times New Roman"/>
          <w:szCs w:val="24"/>
        </w:rPr>
        <w:t>Clavero, “Justicia y gobierno, economía y gracia”; Garriga Acosta, “Orden jurídico y poder político”, 67.</w:t>
      </w:r>
      <w:r>
        <w:fldChar w:fldCharType="end"/>
      </w:r>
    </w:p>
  </w:footnote>
  <w:footnote w:id="92">
    <w:p w14:paraId="2CF4D1B5" w14:textId="3DFDF817" w:rsidR="00AC086E" w:rsidRDefault="00AC086E">
      <w:pPr>
        <w:pStyle w:val="Textonotapie"/>
      </w:pPr>
      <w:r>
        <w:rPr>
          <w:rStyle w:val="Refdenotaalpie"/>
        </w:rPr>
        <w:footnoteRef/>
      </w:r>
      <w:r>
        <w:t xml:space="preserve"> </w:t>
      </w:r>
      <w:r>
        <w:fldChar w:fldCharType="begin"/>
      </w:r>
      <w:r w:rsidR="007C7C94">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326–27.","noteIndex":92},"citationItems":[{"id":5913,"uris":["http://zotero.org/users/163570/items/2BICB3CT"],"uri":["http://zotero.org/users/163570/items/2BICB3CT"],"itemData":{"id":5913,"type":"article-journal","title":"El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DF61A5">
        <w:rPr>
          <w:rFonts w:cs="Times New Roman"/>
          <w:szCs w:val="24"/>
        </w:rPr>
        <w:t xml:space="preserve">Salustiano de Dios, “El ejercicio de la gracia regia en Castilla entre 1250 y 1530, los inicios del Consejo de la Cámara”, </w:t>
      </w:r>
      <w:r w:rsidRPr="00DF61A5">
        <w:rPr>
          <w:rFonts w:cs="Times New Roman"/>
          <w:i/>
          <w:iCs/>
          <w:szCs w:val="24"/>
        </w:rPr>
        <w:t>Anuario de historia del derecho español</w:t>
      </w:r>
      <w:r w:rsidRPr="00DF61A5">
        <w:rPr>
          <w:rFonts w:cs="Times New Roman"/>
          <w:szCs w:val="24"/>
        </w:rPr>
        <w:t>, núm. 60 (1990): 326–27.</w:t>
      </w:r>
      <w:r>
        <w:fldChar w:fldCharType="end"/>
      </w:r>
    </w:p>
  </w:footnote>
  <w:footnote w:id="93">
    <w:p w14:paraId="50EA41B8" w14:textId="7EF4D8E8" w:rsidR="00AC086E" w:rsidRDefault="00AC086E">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Pr>
          <w:highlight w:val="yellow"/>
        </w:rPr>
        <w:t>, emp. 73,</w:t>
      </w:r>
      <w:r w:rsidRPr="00F7244B">
        <w:rPr>
          <w:highlight w:val="yellow"/>
        </w:rPr>
        <w:t xml:space="preserve"> lema “compressa quiescunt”.</w:t>
      </w:r>
    </w:p>
  </w:footnote>
  <w:footnote w:id="94">
    <w:p w14:paraId="7C5A3E76" w14:textId="64564A5B" w:rsidR="00AC086E" w:rsidRDefault="00AC086E">
      <w:pPr>
        <w:pStyle w:val="Textonotapie"/>
      </w:pPr>
      <w:r>
        <w:rPr>
          <w:rStyle w:val="Refdenotaalpie"/>
        </w:rPr>
        <w:footnoteRef/>
      </w:r>
      <w:r>
        <w:t xml:space="preserve"> Saavedra Fajardo, emp. 11, lema “ex pulsu noscitur”. Las referencias bíblicas tomadas por Saavedra son Eccl. 5:4 y Eccl. 4:34.</w:t>
      </w:r>
    </w:p>
  </w:footnote>
  <w:footnote w:id="95">
    <w:p w14:paraId="38459F24" w14:textId="4B8BFFCB" w:rsidR="00AC086E" w:rsidRDefault="00AC086E">
      <w:pPr>
        <w:pStyle w:val="Textonotapie"/>
      </w:pPr>
      <w:r>
        <w:rPr>
          <w:rStyle w:val="Refdenotaalpie"/>
        </w:rPr>
        <w:footnoteRef/>
      </w:r>
      <w:r w:rsidRPr="00912BF7">
        <w:t xml:space="preserve"> </w:t>
      </w:r>
      <w:r>
        <w:fldChar w:fldCharType="begin"/>
      </w:r>
      <w:r w:rsidR="007C7C94">
        <w:instrText xml:space="preserve"> ADDIN ZOTERO_ITEM CSL_CITATION {"citationID":"qKtJVnvG","properties":{"formattedCitation":"Prodi, {\\i{}Una historia de la justicia}, 42.","plainCitation":"Prodi, Una historia de la justicia, 42.","noteIndex":95},"citationItems":[{"id":3390,"uris":["http://zotero.org/users/163570/items/C54QSDGR"],"uri":["http://zotero.org/users/163570/items/C54QSDGR"],"itemData":{"id":3390,"type":"book","title":"Una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090E5A">
        <w:rPr>
          <w:rFonts w:cs="Times New Roman"/>
          <w:szCs w:val="24"/>
        </w:rPr>
        <w:t xml:space="preserve">Prodi, </w:t>
      </w:r>
      <w:r w:rsidRPr="00090E5A">
        <w:rPr>
          <w:rFonts w:cs="Times New Roman"/>
          <w:i/>
          <w:iCs/>
          <w:szCs w:val="24"/>
        </w:rPr>
        <w:t>Una historia de la justicia</w:t>
      </w:r>
      <w:r w:rsidRPr="00090E5A">
        <w:rPr>
          <w:rFonts w:cs="Times New Roman"/>
          <w:szCs w:val="24"/>
        </w:rPr>
        <w:t>, 42.</w:t>
      </w:r>
      <w:r>
        <w:fldChar w:fldCharType="end"/>
      </w:r>
    </w:p>
  </w:footnote>
  <w:footnote w:id="96">
    <w:p w14:paraId="6859A76C" w14:textId="1DFFF776" w:rsidR="00AC086E" w:rsidRPr="003C35C1" w:rsidRDefault="00AC086E"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sidRPr="009C45CC">
        <w:rPr>
          <w:lang w:val="it-IT"/>
        </w:rPr>
        <w:t xml:space="preserve">, n.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97">
    <w:p w14:paraId="5278C48F" w14:textId="77777777" w:rsidR="00AC086E" w:rsidRPr="00F47F3C" w:rsidRDefault="00AC086E"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98">
    <w:p w14:paraId="7E19721E" w14:textId="21583116" w:rsidR="00AC086E" w:rsidRPr="005A04A0" w:rsidRDefault="00AC086E"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Seneca, “</w:t>
      </w:r>
      <w:r w:rsidRPr="00215D8E">
        <w:t>De clementia</w:t>
      </w:r>
      <w:r>
        <w:t>,” Liber II, párr. 7. “</w:t>
      </w:r>
      <w:r w:rsidRPr="00DA246C">
        <w:t>Summa Theologiae</w:t>
      </w:r>
      <w:r>
        <w:t xml:space="preserve">,” </w:t>
      </w:r>
      <w:r w:rsidRPr="005A04A0">
        <w:t>IIª-IIae, q. 157 a. 2 ad 2</w:t>
      </w:r>
      <w:r>
        <w:t>.</w:t>
      </w:r>
    </w:p>
  </w:footnote>
  <w:footnote w:id="99">
    <w:p w14:paraId="313BF6BD" w14:textId="77777777" w:rsidR="00AC086E" w:rsidRPr="00494FBE" w:rsidRDefault="00AC086E"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100">
    <w:p w14:paraId="647584A7" w14:textId="6D391541" w:rsidR="00AC086E" w:rsidRPr="008129CF" w:rsidRDefault="00AC086E"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rsidR="007C7C94">
        <w:instrText xml:space="preserve"> ADDIN ZOTERO_ITEM CSL_CITATION {"citationID":"lyM7Do61","properties":{"formattedCitation":"Rodr\\uc0\\u237{}guez Flores, {\\i{}El perd\\uc0\\u243{}n real}, 190\\uc0\\u8211{}225.","plainCitation":"Rodríguez Flores, El perdón real, 190–225.","noteIndex":100},"citationItems":[{"id":2654,"uris":["http://zotero.org/users/163570/items/APZE9XAC"],"uri":["http://zotero.org/users/163570/items/APZE9XAC"],"itemData":{"id":2654,"type":"book","title":"El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190–225.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EAA"/>
    <w:rsid w:val="00004051"/>
    <w:rsid w:val="00005E55"/>
    <w:rsid w:val="000068F8"/>
    <w:rsid w:val="00007A64"/>
    <w:rsid w:val="000100A2"/>
    <w:rsid w:val="00010BC5"/>
    <w:rsid w:val="000113E8"/>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300F"/>
    <w:rsid w:val="00054D95"/>
    <w:rsid w:val="00055714"/>
    <w:rsid w:val="000560AE"/>
    <w:rsid w:val="000602A4"/>
    <w:rsid w:val="00065B9B"/>
    <w:rsid w:val="00065F91"/>
    <w:rsid w:val="00067D02"/>
    <w:rsid w:val="00071531"/>
    <w:rsid w:val="000719C6"/>
    <w:rsid w:val="000778C1"/>
    <w:rsid w:val="0008025F"/>
    <w:rsid w:val="00081ED4"/>
    <w:rsid w:val="00087B96"/>
    <w:rsid w:val="00087BC1"/>
    <w:rsid w:val="0009056F"/>
    <w:rsid w:val="00090E5A"/>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46D3"/>
    <w:rsid w:val="000D77E0"/>
    <w:rsid w:val="000D7C7C"/>
    <w:rsid w:val="000E0A21"/>
    <w:rsid w:val="000E2090"/>
    <w:rsid w:val="000E4B53"/>
    <w:rsid w:val="000E7114"/>
    <w:rsid w:val="000F01DD"/>
    <w:rsid w:val="000F0EAD"/>
    <w:rsid w:val="000F2BAD"/>
    <w:rsid w:val="000F3839"/>
    <w:rsid w:val="000F3AA5"/>
    <w:rsid w:val="000F415D"/>
    <w:rsid w:val="000F59E1"/>
    <w:rsid w:val="00102968"/>
    <w:rsid w:val="0010513E"/>
    <w:rsid w:val="001056D4"/>
    <w:rsid w:val="00106F3F"/>
    <w:rsid w:val="00111F38"/>
    <w:rsid w:val="00112B69"/>
    <w:rsid w:val="00113798"/>
    <w:rsid w:val="0011469E"/>
    <w:rsid w:val="00116273"/>
    <w:rsid w:val="00116CF3"/>
    <w:rsid w:val="00117822"/>
    <w:rsid w:val="00117A9C"/>
    <w:rsid w:val="00122329"/>
    <w:rsid w:val="0012263D"/>
    <w:rsid w:val="00123602"/>
    <w:rsid w:val="00123CC7"/>
    <w:rsid w:val="00126721"/>
    <w:rsid w:val="00126935"/>
    <w:rsid w:val="00127A9C"/>
    <w:rsid w:val="0013002E"/>
    <w:rsid w:val="001309A5"/>
    <w:rsid w:val="00131992"/>
    <w:rsid w:val="00131A0A"/>
    <w:rsid w:val="00132E3A"/>
    <w:rsid w:val="00134E68"/>
    <w:rsid w:val="00135A97"/>
    <w:rsid w:val="00137320"/>
    <w:rsid w:val="00142E02"/>
    <w:rsid w:val="0014412D"/>
    <w:rsid w:val="00146FD9"/>
    <w:rsid w:val="001478CB"/>
    <w:rsid w:val="001530D7"/>
    <w:rsid w:val="001543B8"/>
    <w:rsid w:val="001544D0"/>
    <w:rsid w:val="0015686F"/>
    <w:rsid w:val="001573BA"/>
    <w:rsid w:val="00160A4C"/>
    <w:rsid w:val="0016104C"/>
    <w:rsid w:val="00164B64"/>
    <w:rsid w:val="0016649F"/>
    <w:rsid w:val="00170F83"/>
    <w:rsid w:val="001754C2"/>
    <w:rsid w:val="001858CC"/>
    <w:rsid w:val="001917AB"/>
    <w:rsid w:val="00191C85"/>
    <w:rsid w:val="00191E14"/>
    <w:rsid w:val="0019518C"/>
    <w:rsid w:val="001A138B"/>
    <w:rsid w:val="001A5687"/>
    <w:rsid w:val="001B2249"/>
    <w:rsid w:val="001B4764"/>
    <w:rsid w:val="001B61B0"/>
    <w:rsid w:val="001B79A8"/>
    <w:rsid w:val="001C0FBA"/>
    <w:rsid w:val="001C4925"/>
    <w:rsid w:val="001D2949"/>
    <w:rsid w:val="001D4E85"/>
    <w:rsid w:val="001D5205"/>
    <w:rsid w:val="001D58D7"/>
    <w:rsid w:val="001E0330"/>
    <w:rsid w:val="001E15B1"/>
    <w:rsid w:val="001E16B2"/>
    <w:rsid w:val="001E1BEF"/>
    <w:rsid w:val="001E394C"/>
    <w:rsid w:val="001E5979"/>
    <w:rsid w:val="001F55DA"/>
    <w:rsid w:val="001F6A3F"/>
    <w:rsid w:val="001F7A79"/>
    <w:rsid w:val="00201290"/>
    <w:rsid w:val="0020271B"/>
    <w:rsid w:val="002056AD"/>
    <w:rsid w:val="00211A92"/>
    <w:rsid w:val="00213058"/>
    <w:rsid w:val="00215D8E"/>
    <w:rsid w:val="00220385"/>
    <w:rsid w:val="0022561B"/>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5A0D"/>
    <w:rsid w:val="002974D2"/>
    <w:rsid w:val="002A1714"/>
    <w:rsid w:val="002A1C33"/>
    <w:rsid w:val="002A1EB5"/>
    <w:rsid w:val="002A3D12"/>
    <w:rsid w:val="002A4B7D"/>
    <w:rsid w:val="002A6BED"/>
    <w:rsid w:val="002A6D37"/>
    <w:rsid w:val="002A6F16"/>
    <w:rsid w:val="002A7C29"/>
    <w:rsid w:val="002B4F9E"/>
    <w:rsid w:val="002B6C75"/>
    <w:rsid w:val="002B71A0"/>
    <w:rsid w:val="002B7F68"/>
    <w:rsid w:val="002C0CF3"/>
    <w:rsid w:val="002C31D4"/>
    <w:rsid w:val="002C36EE"/>
    <w:rsid w:val="002C53AF"/>
    <w:rsid w:val="002C5578"/>
    <w:rsid w:val="002C58DF"/>
    <w:rsid w:val="002D17B5"/>
    <w:rsid w:val="002D344A"/>
    <w:rsid w:val="002D4546"/>
    <w:rsid w:val="002D535C"/>
    <w:rsid w:val="002D661C"/>
    <w:rsid w:val="002E1398"/>
    <w:rsid w:val="002E15D5"/>
    <w:rsid w:val="002E266C"/>
    <w:rsid w:val="002E634A"/>
    <w:rsid w:val="002F071D"/>
    <w:rsid w:val="002F1F37"/>
    <w:rsid w:val="002F2950"/>
    <w:rsid w:val="002F3FD6"/>
    <w:rsid w:val="00301BE4"/>
    <w:rsid w:val="00302F7B"/>
    <w:rsid w:val="0030389A"/>
    <w:rsid w:val="00304BCC"/>
    <w:rsid w:val="00306997"/>
    <w:rsid w:val="003100C2"/>
    <w:rsid w:val="00311A3C"/>
    <w:rsid w:val="00312258"/>
    <w:rsid w:val="00312A9B"/>
    <w:rsid w:val="00312EF0"/>
    <w:rsid w:val="00314027"/>
    <w:rsid w:val="003142C3"/>
    <w:rsid w:val="003145D6"/>
    <w:rsid w:val="0032430F"/>
    <w:rsid w:val="00325A34"/>
    <w:rsid w:val="003268DD"/>
    <w:rsid w:val="003307D4"/>
    <w:rsid w:val="00330F81"/>
    <w:rsid w:val="00331B59"/>
    <w:rsid w:val="00336BAF"/>
    <w:rsid w:val="00341052"/>
    <w:rsid w:val="00341DA2"/>
    <w:rsid w:val="0034339A"/>
    <w:rsid w:val="0034609E"/>
    <w:rsid w:val="00352AAE"/>
    <w:rsid w:val="00353440"/>
    <w:rsid w:val="0036187F"/>
    <w:rsid w:val="00363556"/>
    <w:rsid w:val="00364BD5"/>
    <w:rsid w:val="00364D51"/>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63E0"/>
    <w:rsid w:val="003C75C0"/>
    <w:rsid w:val="003D4F03"/>
    <w:rsid w:val="003D54BA"/>
    <w:rsid w:val="003D647C"/>
    <w:rsid w:val="003D6EAE"/>
    <w:rsid w:val="003E1218"/>
    <w:rsid w:val="003E21B3"/>
    <w:rsid w:val="003E3A62"/>
    <w:rsid w:val="003E52CC"/>
    <w:rsid w:val="003E5E29"/>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1861"/>
    <w:rsid w:val="0042190A"/>
    <w:rsid w:val="00422F2B"/>
    <w:rsid w:val="0042459E"/>
    <w:rsid w:val="004308E1"/>
    <w:rsid w:val="00432FBA"/>
    <w:rsid w:val="00444FE7"/>
    <w:rsid w:val="0045090F"/>
    <w:rsid w:val="00450953"/>
    <w:rsid w:val="00452E15"/>
    <w:rsid w:val="00453281"/>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91039"/>
    <w:rsid w:val="00492B29"/>
    <w:rsid w:val="00493605"/>
    <w:rsid w:val="00494234"/>
    <w:rsid w:val="004956DE"/>
    <w:rsid w:val="004970C2"/>
    <w:rsid w:val="00497A7D"/>
    <w:rsid w:val="004A15F4"/>
    <w:rsid w:val="004A1A9C"/>
    <w:rsid w:val="004A1C86"/>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6C81"/>
    <w:rsid w:val="004E0EEF"/>
    <w:rsid w:val="004E398A"/>
    <w:rsid w:val="004E6A40"/>
    <w:rsid w:val="004E6D14"/>
    <w:rsid w:val="004E7906"/>
    <w:rsid w:val="004F0066"/>
    <w:rsid w:val="004F0B24"/>
    <w:rsid w:val="004F2730"/>
    <w:rsid w:val="004F2AE6"/>
    <w:rsid w:val="004F2FDB"/>
    <w:rsid w:val="00500348"/>
    <w:rsid w:val="00503A44"/>
    <w:rsid w:val="0050477D"/>
    <w:rsid w:val="00505CD1"/>
    <w:rsid w:val="00507B87"/>
    <w:rsid w:val="005137D0"/>
    <w:rsid w:val="00515929"/>
    <w:rsid w:val="005166E9"/>
    <w:rsid w:val="00516F63"/>
    <w:rsid w:val="00520895"/>
    <w:rsid w:val="00523356"/>
    <w:rsid w:val="00525F67"/>
    <w:rsid w:val="00526429"/>
    <w:rsid w:val="005306EA"/>
    <w:rsid w:val="00533D9A"/>
    <w:rsid w:val="005356F7"/>
    <w:rsid w:val="00537AE8"/>
    <w:rsid w:val="005433D6"/>
    <w:rsid w:val="005440D9"/>
    <w:rsid w:val="00545629"/>
    <w:rsid w:val="005613F2"/>
    <w:rsid w:val="00565B64"/>
    <w:rsid w:val="005666D8"/>
    <w:rsid w:val="00567C76"/>
    <w:rsid w:val="00570D59"/>
    <w:rsid w:val="00572F2C"/>
    <w:rsid w:val="0057471E"/>
    <w:rsid w:val="005779E7"/>
    <w:rsid w:val="00577FF2"/>
    <w:rsid w:val="00580E83"/>
    <w:rsid w:val="005844AE"/>
    <w:rsid w:val="00590FCC"/>
    <w:rsid w:val="00592AD1"/>
    <w:rsid w:val="005935C1"/>
    <w:rsid w:val="00593D82"/>
    <w:rsid w:val="00594ACD"/>
    <w:rsid w:val="00595B83"/>
    <w:rsid w:val="005A12A8"/>
    <w:rsid w:val="005A4693"/>
    <w:rsid w:val="005A53FF"/>
    <w:rsid w:val="005A77FF"/>
    <w:rsid w:val="005B055C"/>
    <w:rsid w:val="005B05B1"/>
    <w:rsid w:val="005B2C6F"/>
    <w:rsid w:val="005D3FA1"/>
    <w:rsid w:val="005D46DD"/>
    <w:rsid w:val="005D781A"/>
    <w:rsid w:val="005E4727"/>
    <w:rsid w:val="005E6CE4"/>
    <w:rsid w:val="005E7BAC"/>
    <w:rsid w:val="005F1025"/>
    <w:rsid w:val="005F746C"/>
    <w:rsid w:val="00601520"/>
    <w:rsid w:val="0060289C"/>
    <w:rsid w:val="00602CC3"/>
    <w:rsid w:val="00604337"/>
    <w:rsid w:val="00604C80"/>
    <w:rsid w:val="006126EC"/>
    <w:rsid w:val="006128BA"/>
    <w:rsid w:val="00613890"/>
    <w:rsid w:val="006211F4"/>
    <w:rsid w:val="0062417A"/>
    <w:rsid w:val="00625740"/>
    <w:rsid w:val="00627034"/>
    <w:rsid w:val="00630E1A"/>
    <w:rsid w:val="00632255"/>
    <w:rsid w:val="00632A67"/>
    <w:rsid w:val="00636256"/>
    <w:rsid w:val="00637FA8"/>
    <w:rsid w:val="006409A3"/>
    <w:rsid w:val="0064159E"/>
    <w:rsid w:val="00645E07"/>
    <w:rsid w:val="00647AB3"/>
    <w:rsid w:val="00650140"/>
    <w:rsid w:val="00653A46"/>
    <w:rsid w:val="0065409B"/>
    <w:rsid w:val="00660639"/>
    <w:rsid w:val="0066090D"/>
    <w:rsid w:val="00662708"/>
    <w:rsid w:val="00662C12"/>
    <w:rsid w:val="00663420"/>
    <w:rsid w:val="0066409D"/>
    <w:rsid w:val="006659B5"/>
    <w:rsid w:val="006661B1"/>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DAE"/>
    <w:rsid w:val="006B20EE"/>
    <w:rsid w:val="006B51F8"/>
    <w:rsid w:val="006B6B52"/>
    <w:rsid w:val="006B6E95"/>
    <w:rsid w:val="006C60FF"/>
    <w:rsid w:val="006D096D"/>
    <w:rsid w:val="006D2579"/>
    <w:rsid w:val="006D2682"/>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26D3"/>
    <w:rsid w:val="00714366"/>
    <w:rsid w:val="00715314"/>
    <w:rsid w:val="00720197"/>
    <w:rsid w:val="00722CBD"/>
    <w:rsid w:val="00724125"/>
    <w:rsid w:val="00724F89"/>
    <w:rsid w:val="00725B91"/>
    <w:rsid w:val="007319E7"/>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12D1"/>
    <w:rsid w:val="0078191E"/>
    <w:rsid w:val="007827E4"/>
    <w:rsid w:val="00784CA8"/>
    <w:rsid w:val="0078764D"/>
    <w:rsid w:val="0079524B"/>
    <w:rsid w:val="007A11BA"/>
    <w:rsid w:val="007A7D17"/>
    <w:rsid w:val="007B67FC"/>
    <w:rsid w:val="007C0571"/>
    <w:rsid w:val="007C09F3"/>
    <w:rsid w:val="007C516D"/>
    <w:rsid w:val="007C618D"/>
    <w:rsid w:val="007C6342"/>
    <w:rsid w:val="007C7C94"/>
    <w:rsid w:val="007D1F5B"/>
    <w:rsid w:val="007D4515"/>
    <w:rsid w:val="007D7629"/>
    <w:rsid w:val="007D7D42"/>
    <w:rsid w:val="007D7E74"/>
    <w:rsid w:val="007E2725"/>
    <w:rsid w:val="007E5CB7"/>
    <w:rsid w:val="007E7B8A"/>
    <w:rsid w:val="007F1766"/>
    <w:rsid w:val="007F24F4"/>
    <w:rsid w:val="007F36EF"/>
    <w:rsid w:val="007F47A9"/>
    <w:rsid w:val="007F52A4"/>
    <w:rsid w:val="00800EE5"/>
    <w:rsid w:val="008018E8"/>
    <w:rsid w:val="0080525F"/>
    <w:rsid w:val="008072E6"/>
    <w:rsid w:val="00812D7B"/>
    <w:rsid w:val="00816429"/>
    <w:rsid w:val="008210C8"/>
    <w:rsid w:val="00823751"/>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395D"/>
    <w:rsid w:val="00856AF5"/>
    <w:rsid w:val="00860041"/>
    <w:rsid w:val="00860C68"/>
    <w:rsid w:val="00860ED3"/>
    <w:rsid w:val="0086150A"/>
    <w:rsid w:val="00861C4D"/>
    <w:rsid w:val="00862D6F"/>
    <w:rsid w:val="00866385"/>
    <w:rsid w:val="00866F29"/>
    <w:rsid w:val="00867493"/>
    <w:rsid w:val="0086793B"/>
    <w:rsid w:val="008704CE"/>
    <w:rsid w:val="008709A7"/>
    <w:rsid w:val="00873BED"/>
    <w:rsid w:val="008758BA"/>
    <w:rsid w:val="00875DC6"/>
    <w:rsid w:val="00875EC5"/>
    <w:rsid w:val="00883F5D"/>
    <w:rsid w:val="00886E44"/>
    <w:rsid w:val="00887352"/>
    <w:rsid w:val="00891315"/>
    <w:rsid w:val="00892BDA"/>
    <w:rsid w:val="00892D06"/>
    <w:rsid w:val="00893F33"/>
    <w:rsid w:val="00895690"/>
    <w:rsid w:val="008958FE"/>
    <w:rsid w:val="00897132"/>
    <w:rsid w:val="008979B9"/>
    <w:rsid w:val="008A21B7"/>
    <w:rsid w:val="008A2727"/>
    <w:rsid w:val="008A2DA7"/>
    <w:rsid w:val="008B1E67"/>
    <w:rsid w:val="008B2835"/>
    <w:rsid w:val="008B7B56"/>
    <w:rsid w:val="008C09F0"/>
    <w:rsid w:val="008C2CAC"/>
    <w:rsid w:val="008C6989"/>
    <w:rsid w:val="008C7F0E"/>
    <w:rsid w:val="008D23B4"/>
    <w:rsid w:val="008D5F8A"/>
    <w:rsid w:val="008D71A0"/>
    <w:rsid w:val="008D7B48"/>
    <w:rsid w:val="008E1FFC"/>
    <w:rsid w:val="008E21DD"/>
    <w:rsid w:val="008E4E99"/>
    <w:rsid w:val="008E55EA"/>
    <w:rsid w:val="008F1007"/>
    <w:rsid w:val="008F36FD"/>
    <w:rsid w:val="008F377B"/>
    <w:rsid w:val="008F5280"/>
    <w:rsid w:val="008F628B"/>
    <w:rsid w:val="009002A6"/>
    <w:rsid w:val="009026DF"/>
    <w:rsid w:val="009045B6"/>
    <w:rsid w:val="009060CE"/>
    <w:rsid w:val="00911AD5"/>
    <w:rsid w:val="00912BF7"/>
    <w:rsid w:val="009144F1"/>
    <w:rsid w:val="0092166A"/>
    <w:rsid w:val="00922CC8"/>
    <w:rsid w:val="00922D6F"/>
    <w:rsid w:val="00923C33"/>
    <w:rsid w:val="00925A8D"/>
    <w:rsid w:val="00925F98"/>
    <w:rsid w:val="00932469"/>
    <w:rsid w:val="009355E1"/>
    <w:rsid w:val="009426D7"/>
    <w:rsid w:val="00944E5A"/>
    <w:rsid w:val="00947E39"/>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50FD"/>
    <w:rsid w:val="009A5A86"/>
    <w:rsid w:val="009A609C"/>
    <w:rsid w:val="009A707D"/>
    <w:rsid w:val="009A7156"/>
    <w:rsid w:val="009B147C"/>
    <w:rsid w:val="009B3BC4"/>
    <w:rsid w:val="009B5CD1"/>
    <w:rsid w:val="009C2208"/>
    <w:rsid w:val="009C502A"/>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76491"/>
    <w:rsid w:val="00A76EFA"/>
    <w:rsid w:val="00A77E24"/>
    <w:rsid w:val="00A8093A"/>
    <w:rsid w:val="00A80EDA"/>
    <w:rsid w:val="00A842CE"/>
    <w:rsid w:val="00A86C78"/>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C0576"/>
    <w:rsid w:val="00AC086E"/>
    <w:rsid w:val="00AD04AD"/>
    <w:rsid w:val="00AD7100"/>
    <w:rsid w:val="00AE284D"/>
    <w:rsid w:val="00AE3608"/>
    <w:rsid w:val="00AE3978"/>
    <w:rsid w:val="00AE48AE"/>
    <w:rsid w:val="00AE68EA"/>
    <w:rsid w:val="00AF057A"/>
    <w:rsid w:val="00AF11C2"/>
    <w:rsid w:val="00AF1BA2"/>
    <w:rsid w:val="00AF29A2"/>
    <w:rsid w:val="00AF455D"/>
    <w:rsid w:val="00B011C4"/>
    <w:rsid w:val="00B0400F"/>
    <w:rsid w:val="00B068AB"/>
    <w:rsid w:val="00B169BD"/>
    <w:rsid w:val="00B20DA2"/>
    <w:rsid w:val="00B2236D"/>
    <w:rsid w:val="00B223FE"/>
    <w:rsid w:val="00B22F55"/>
    <w:rsid w:val="00B247B2"/>
    <w:rsid w:val="00B27F31"/>
    <w:rsid w:val="00B30064"/>
    <w:rsid w:val="00B3156A"/>
    <w:rsid w:val="00B32981"/>
    <w:rsid w:val="00B3358E"/>
    <w:rsid w:val="00B33E35"/>
    <w:rsid w:val="00B354EA"/>
    <w:rsid w:val="00B402E3"/>
    <w:rsid w:val="00B41251"/>
    <w:rsid w:val="00B45562"/>
    <w:rsid w:val="00B45861"/>
    <w:rsid w:val="00B530AB"/>
    <w:rsid w:val="00B5325E"/>
    <w:rsid w:val="00B5399E"/>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078A"/>
    <w:rsid w:val="00B81CD1"/>
    <w:rsid w:val="00B82B4D"/>
    <w:rsid w:val="00B844BB"/>
    <w:rsid w:val="00B90477"/>
    <w:rsid w:val="00B91863"/>
    <w:rsid w:val="00B92233"/>
    <w:rsid w:val="00B931C3"/>
    <w:rsid w:val="00B93C8F"/>
    <w:rsid w:val="00B94D0E"/>
    <w:rsid w:val="00B94F93"/>
    <w:rsid w:val="00B95181"/>
    <w:rsid w:val="00B9631D"/>
    <w:rsid w:val="00B97549"/>
    <w:rsid w:val="00BA2C62"/>
    <w:rsid w:val="00BA35EF"/>
    <w:rsid w:val="00BA7059"/>
    <w:rsid w:val="00BA76C0"/>
    <w:rsid w:val="00BB134C"/>
    <w:rsid w:val="00BB22D0"/>
    <w:rsid w:val="00BB378A"/>
    <w:rsid w:val="00BB38A4"/>
    <w:rsid w:val="00BB67EA"/>
    <w:rsid w:val="00BB71F6"/>
    <w:rsid w:val="00BB7363"/>
    <w:rsid w:val="00BB7F07"/>
    <w:rsid w:val="00BC18E6"/>
    <w:rsid w:val="00BC4CEA"/>
    <w:rsid w:val="00BC72A7"/>
    <w:rsid w:val="00BC74C3"/>
    <w:rsid w:val="00BD6753"/>
    <w:rsid w:val="00BD7E1E"/>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52E"/>
    <w:rsid w:val="00C24D3C"/>
    <w:rsid w:val="00C24EFF"/>
    <w:rsid w:val="00C256D3"/>
    <w:rsid w:val="00C27768"/>
    <w:rsid w:val="00C3030E"/>
    <w:rsid w:val="00C36C1C"/>
    <w:rsid w:val="00C37831"/>
    <w:rsid w:val="00C46D84"/>
    <w:rsid w:val="00C46E67"/>
    <w:rsid w:val="00C50376"/>
    <w:rsid w:val="00C50A72"/>
    <w:rsid w:val="00C52CE9"/>
    <w:rsid w:val="00C52EEA"/>
    <w:rsid w:val="00C54558"/>
    <w:rsid w:val="00C54BF5"/>
    <w:rsid w:val="00C61EB3"/>
    <w:rsid w:val="00C76389"/>
    <w:rsid w:val="00C76800"/>
    <w:rsid w:val="00C87243"/>
    <w:rsid w:val="00C921B6"/>
    <w:rsid w:val="00C976C5"/>
    <w:rsid w:val="00CA595E"/>
    <w:rsid w:val="00CA790F"/>
    <w:rsid w:val="00CB0A86"/>
    <w:rsid w:val="00CB7418"/>
    <w:rsid w:val="00CC2BEE"/>
    <w:rsid w:val="00CC2DB7"/>
    <w:rsid w:val="00CC5033"/>
    <w:rsid w:val="00CC6CFE"/>
    <w:rsid w:val="00CC6EA7"/>
    <w:rsid w:val="00CD0B42"/>
    <w:rsid w:val="00CD112A"/>
    <w:rsid w:val="00CD4A8A"/>
    <w:rsid w:val="00CE1562"/>
    <w:rsid w:val="00CE1F32"/>
    <w:rsid w:val="00CF0BD6"/>
    <w:rsid w:val="00CF1AF3"/>
    <w:rsid w:val="00CF2633"/>
    <w:rsid w:val="00CF5358"/>
    <w:rsid w:val="00CF5F2B"/>
    <w:rsid w:val="00CF767A"/>
    <w:rsid w:val="00D01331"/>
    <w:rsid w:val="00D0522D"/>
    <w:rsid w:val="00D06A86"/>
    <w:rsid w:val="00D10A0A"/>
    <w:rsid w:val="00D10DAC"/>
    <w:rsid w:val="00D10FC2"/>
    <w:rsid w:val="00D112FD"/>
    <w:rsid w:val="00D1457C"/>
    <w:rsid w:val="00D14DD0"/>
    <w:rsid w:val="00D15002"/>
    <w:rsid w:val="00D17382"/>
    <w:rsid w:val="00D215CF"/>
    <w:rsid w:val="00D22DD7"/>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16C3"/>
    <w:rsid w:val="00D531AD"/>
    <w:rsid w:val="00D5570B"/>
    <w:rsid w:val="00D60460"/>
    <w:rsid w:val="00D62165"/>
    <w:rsid w:val="00D70071"/>
    <w:rsid w:val="00D70251"/>
    <w:rsid w:val="00D70380"/>
    <w:rsid w:val="00D70E0A"/>
    <w:rsid w:val="00D72814"/>
    <w:rsid w:val="00D7332C"/>
    <w:rsid w:val="00D77D3A"/>
    <w:rsid w:val="00D80C09"/>
    <w:rsid w:val="00D93561"/>
    <w:rsid w:val="00D9361C"/>
    <w:rsid w:val="00D95419"/>
    <w:rsid w:val="00D959A8"/>
    <w:rsid w:val="00D976B0"/>
    <w:rsid w:val="00DA246C"/>
    <w:rsid w:val="00DA2B30"/>
    <w:rsid w:val="00DA4530"/>
    <w:rsid w:val="00DB06F0"/>
    <w:rsid w:val="00DB2964"/>
    <w:rsid w:val="00DB33BE"/>
    <w:rsid w:val="00DB4B8E"/>
    <w:rsid w:val="00DB7584"/>
    <w:rsid w:val="00DC02A4"/>
    <w:rsid w:val="00DC1368"/>
    <w:rsid w:val="00DC2BC8"/>
    <w:rsid w:val="00DC508E"/>
    <w:rsid w:val="00DD1BDD"/>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7837"/>
    <w:rsid w:val="00E44201"/>
    <w:rsid w:val="00E44EC0"/>
    <w:rsid w:val="00E453AC"/>
    <w:rsid w:val="00E45B98"/>
    <w:rsid w:val="00E46A1D"/>
    <w:rsid w:val="00E517E4"/>
    <w:rsid w:val="00E6089A"/>
    <w:rsid w:val="00E6584F"/>
    <w:rsid w:val="00E66448"/>
    <w:rsid w:val="00E673DE"/>
    <w:rsid w:val="00E73C16"/>
    <w:rsid w:val="00E746A1"/>
    <w:rsid w:val="00E8285F"/>
    <w:rsid w:val="00E857BD"/>
    <w:rsid w:val="00E909EB"/>
    <w:rsid w:val="00E910A7"/>
    <w:rsid w:val="00E91FB0"/>
    <w:rsid w:val="00E973D3"/>
    <w:rsid w:val="00EA06BC"/>
    <w:rsid w:val="00EA3413"/>
    <w:rsid w:val="00EA3933"/>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EF"/>
    <w:rsid w:val="00EE7820"/>
    <w:rsid w:val="00EF00DF"/>
    <w:rsid w:val="00EF1C63"/>
    <w:rsid w:val="00EF1D5B"/>
    <w:rsid w:val="00EF339D"/>
    <w:rsid w:val="00EF6AF6"/>
    <w:rsid w:val="00EF718A"/>
    <w:rsid w:val="00F01192"/>
    <w:rsid w:val="00F0198D"/>
    <w:rsid w:val="00F03BEA"/>
    <w:rsid w:val="00F05BA7"/>
    <w:rsid w:val="00F06033"/>
    <w:rsid w:val="00F06C03"/>
    <w:rsid w:val="00F1286E"/>
    <w:rsid w:val="00F14FA0"/>
    <w:rsid w:val="00F22980"/>
    <w:rsid w:val="00F2452A"/>
    <w:rsid w:val="00F24859"/>
    <w:rsid w:val="00F259B1"/>
    <w:rsid w:val="00F25F79"/>
    <w:rsid w:val="00F273C6"/>
    <w:rsid w:val="00F277E6"/>
    <w:rsid w:val="00F27FDB"/>
    <w:rsid w:val="00F30C88"/>
    <w:rsid w:val="00F31457"/>
    <w:rsid w:val="00F32962"/>
    <w:rsid w:val="00F32E78"/>
    <w:rsid w:val="00F3353F"/>
    <w:rsid w:val="00F35A64"/>
    <w:rsid w:val="00F35E58"/>
    <w:rsid w:val="00F4170E"/>
    <w:rsid w:val="00F41955"/>
    <w:rsid w:val="00F42389"/>
    <w:rsid w:val="00F43D0C"/>
    <w:rsid w:val="00F4524B"/>
    <w:rsid w:val="00F459DA"/>
    <w:rsid w:val="00F461CA"/>
    <w:rsid w:val="00F5443E"/>
    <w:rsid w:val="00F54B95"/>
    <w:rsid w:val="00F55CBD"/>
    <w:rsid w:val="00F56205"/>
    <w:rsid w:val="00F56304"/>
    <w:rsid w:val="00F60E2A"/>
    <w:rsid w:val="00F65812"/>
    <w:rsid w:val="00F65E56"/>
    <w:rsid w:val="00F7244B"/>
    <w:rsid w:val="00F73C7E"/>
    <w:rsid w:val="00F757CA"/>
    <w:rsid w:val="00F77026"/>
    <w:rsid w:val="00F80BE0"/>
    <w:rsid w:val="00F81B0B"/>
    <w:rsid w:val="00F869B3"/>
    <w:rsid w:val="00F96FD3"/>
    <w:rsid w:val="00FA12F3"/>
    <w:rsid w:val="00FA249B"/>
    <w:rsid w:val="00FA65B3"/>
    <w:rsid w:val="00FA6731"/>
    <w:rsid w:val="00FB0748"/>
    <w:rsid w:val="00FB1407"/>
    <w:rsid w:val="00FB1454"/>
    <w:rsid w:val="00FB5CBC"/>
    <w:rsid w:val="00FC3356"/>
    <w:rsid w:val="00FC74F2"/>
    <w:rsid w:val="00FD0EC4"/>
    <w:rsid w:val="00FD268F"/>
    <w:rsid w:val="00FD6312"/>
    <w:rsid w:val="00FD6E7C"/>
    <w:rsid w:val="00FD7684"/>
    <w:rsid w:val="00FE27EB"/>
    <w:rsid w:val="00FE4247"/>
    <w:rsid w:val="00FE426A"/>
    <w:rsid w:val="00FE642D"/>
    <w:rsid w:val="00FE68F4"/>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4A1D2B86-7FFC-4D93-8E09-12B87E01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0ACD073-C79C-44B9-A27A-3BD3FDCFB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18467</TotalTime>
  <Pages>23</Pages>
  <Words>6276</Words>
  <Characters>34519</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51</cp:revision>
  <dcterms:created xsi:type="dcterms:W3CDTF">2018-05-10T18:12:00Z</dcterms:created>
  <dcterms:modified xsi:type="dcterms:W3CDTF">2018-06-04T19:28:00Z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id="AIDupX2K"/&gt;&lt;style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