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El concepto del perdón </w:t>
      </w:r>
      <w:r w:rsidR="008B7B56" w:rsidRPr="000F0EAD">
        <w:rPr>
          <w:rFonts w:eastAsiaTheme="majorEastAsia" w:cstheme="majorBidi"/>
          <w:b/>
          <w:smallCaps/>
          <w:szCs w:val="32"/>
        </w:rPr>
        <w:t xml:space="preserve">real </w:t>
      </w:r>
      <w:bookmarkEnd w:id="0"/>
      <w:r w:rsidR="008B7B56" w:rsidRPr="000F0EAD">
        <w:rPr>
          <w:rFonts w:eastAsiaTheme="majorEastAsia" w:cstheme="majorBidi"/>
          <w:b/>
          <w:smallCaps/>
          <w:szCs w:val="32"/>
        </w:rPr>
        <w:t>en la tradición jurídic</w:t>
      </w:r>
      <w:r w:rsidR="00AD04AD" w:rsidRPr="000F0EAD">
        <w:rPr>
          <w:rFonts w:eastAsiaTheme="majorEastAsia" w:cstheme="majorBidi"/>
          <w:b/>
          <w:smallCaps/>
          <w:szCs w:val="32"/>
        </w:rPr>
        <w:t>o-política</w:t>
      </w:r>
      <w:r w:rsidR="008B7B56" w:rsidRPr="000F0EAD">
        <w:rPr>
          <w:rFonts w:eastAsiaTheme="majorEastAsia" w:cstheme="majorBidi"/>
          <w:b/>
          <w:smallCaps/>
          <w:szCs w:val="32"/>
        </w:rPr>
        <w:t xml:space="preserve"> </w:t>
      </w:r>
      <w:r w:rsidR="008E1FFC" w:rsidRPr="000F0EAD">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447F9A33"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w:t>
      </w:r>
      <w:r w:rsidR="00FE7F56">
        <w:rPr>
          <w:rFonts w:eastAsia="Calibri" w:cs="Times New Roman"/>
          <w:iCs/>
        </w:rPr>
        <w:t>E</w:t>
      </w:r>
      <w:r w:rsidR="00F77026">
        <w:rPr>
          <w:rFonts w:eastAsia="Calibri" w:cs="Times New Roman"/>
          <w:iCs/>
        </w:rPr>
        <w:t>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w:t>
      </w:r>
      <w:r w:rsidR="00BA6BF3">
        <w:rPr>
          <w:rFonts w:eastAsia="Calibri" w:cs="Times New Roman"/>
          <w:iCs/>
        </w:rPr>
        <w:t>requerir</w:t>
      </w:r>
      <w:r w:rsidR="003E1218">
        <w:rPr>
          <w:rFonts w:eastAsia="Calibri" w:cs="Times New Roman"/>
          <w:iCs/>
        </w:rPr>
        <w:t xml:space="preserve"> el perdón </w:t>
      </w:r>
      <w:r w:rsidR="00BA6BF3">
        <w:rPr>
          <w:rFonts w:eastAsia="Calibri" w:cs="Times New Roman"/>
          <w:iCs/>
        </w:rPr>
        <w:t>de</w:t>
      </w:r>
      <w:r w:rsidR="003E1218">
        <w:rPr>
          <w:rFonts w:eastAsia="Calibri" w:cs="Times New Roman"/>
          <w:iCs/>
        </w:rPr>
        <w:t xml:space="preserv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w:t>
      </w:r>
      <w:r w:rsidR="00650D67">
        <w:rPr>
          <w:rFonts w:eastAsia="Calibri" w:cs="Times New Roman"/>
          <w:iCs/>
        </w:rPr>
        <w:t>como prevención ante</w:t>
      </w:r>
      <w:r w:rsidR="001E5979">
        <w:rPr>
          <w:rFonts w:eastAsia="Calibri" w:cs="Times New Roman"/>
          <w:iCs/>
        </w:rPr>
        <w:t xml:space="preserve"> una</w:t>
      </w:r>
      <w:r w:rsidR="00650D67">
        <w:rPr>
          <w:rFonts w:eastAsia="Calibri" w:cs="Times New Roman"/>
          <w:iCs/>
        </w:rPr>
        <w:t xml:space="preserve"> posible</w:t>
      </w:r>
      <w:r w:rsidR="001E5979">
        <w:rPr>
          <w:rFonts w:eastAsia="Calibri" w:cs="Times New Roman"/>
          <w:iCs/>
        </w:rPr>
        <w:t xml:space="preserve"> nueva sublevación, </w:t>
      </w:r>
      <w:r w:rsidR="00650D67">
        <w:rPr>
          <w:rFonts w:eastAsia="Calibri" w:cs="Times New Roman"/>
          <w:iCs/>
        </w:rPr>
        <w:t>sin</w:t>
      </w:r>
      <w:r w:rsidR="00F81B0B">
        <w:rPr>
          <w:rFonts w:eastAsia="Calibri" w:cs="Times New Roman"/>
          <w:iCs/>
        </w:rPr>
        <w:t xml:space="preserve"> </w:t>
      </w:r>
      <w:r w:rsidR="00650D67">
        <w:rPr>
          <w:rFonts w:eastAsia="Calibri" w:cs="Times New Roman"/>
          <w:iCs/>
        </w:rPr>
        <w:t>castigar</w:t>
      </w:r>
      <w:r w:rsidR="00F81B0B">
        <w:rPr>
          <w:rFonts w:eastAsia="Calibri" w:cs="Times New Roman"/>
          <w:iCs/>
        </w:rPr>
        <w:t xml:space="preserve"> inmediat</w:t>
      </w:r>
      <w:r w:rsidR="00650D67">
        <w:rPr>
          <w:rFonts w:eastAsia="Calibri" w:cs="Times New Roman"/>
          <w:iCs/>
        </w:rPr>
        <w:t>amente</w:t>
      </w:r>
      <w:r w:rsidR="00F81B0B">
        <w:rPr>
          <w:rFonts w:eastAsia="Calibri" w:cs="Times New Roman"/>
          <w:iCs/>
        </w:rPr>
        <w:t xml:space="preserve"> </w:t>
      </w:r>
      <w:r w:rsidR="00650D67">
        <w:rPr>
          <w:rFonts w:eastAsia="Calibri" w:cs="Times New Roman"/>
          <w:iCs/>
        </w:rPr>
        <w:t>a</w:t>
      </w:r>
      <w:r w:rsidR="00F81B0B">
        <w:rPr>
          <w:rFonts w:eastAsia="Calibri" w:cs="Times New Roman"/>
          <w:iCs/>
        </w:rPr>
        <w:t xml:space="preserv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650D67">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09D06229"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w:t>
      </w:r>
      <w:r w:rsidR="00650D67">
        <w:t>como</w:t>
      </w:r>
      <w:r>
        <w:t xml:space="preserv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25EFAFEA"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w:t>
      </w:r>
      <w:r w:rsidR="009600DC" w:rsidRPr="00650D67">
        <w:rPr>
          <w:highlight w:val="yellow"/>
        </w:rPr>
        <w:t xml:space="preserve">on lo cual se mostraba los esponsales simbólicos que daban sentido a la monarquía </w:t>
      </w:r>
      <w:r w:rsidR="00650D67" w:rsidRPr="00650D67">
        <w:rPr>
          <w:highlight w:val="yellow"/>
        </w:rPr>
        <w:lastRenderedPageBreak/>
        <w:t>que reconciliab</w:t>
      </w:r>
      <w:r w:rsidR="009600DC" w:rsidRPr="00650D67">
        <w:rPr>
          <w:highlight w:val="yellow"/>
        </w:rPr>
        <w:t>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w:t>
      </w:r>
      <w:r w:rsidR="00650D67">
        <w:t>sus vicarios</w:t>
      </w:r>
      <w:r w:rsidR="004755E2">
        <w:t>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3D7778DF"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w:t>
      </w:r>
      <w:r w:rsidR="00F957A5">
        <w:t>to de los “códigos de la élite,”</w:t>
      </w:r>
      <w:r w:rsidR="00BF7F72">
        <w:t xml:space="preserv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5CC081BF"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4CDEECB4" w:rsidR="000F0EAD" w:rsidRDefault="000F0EAD" w:rsidP="00F32E78">
      <w:pPr>
        <w:pStyle w:val="Ttulo2"/>
        <w:numPr>
          <w:ilvl w:val="1"/>
          <w:numId w:val="28"/>
        </w:numPr>
      </w:pPr>
      <w:r>
        <w:t>Clemencia, castigo y la naturaleza de la potestad regia</w:t>
      </w:r>
    </w:p>
    <w:p w14:paraId="78AE79A6" w14:textId="77777777" w:rsidR="008C6989" w:rsidRDefault="008C6989" w:rsidP="008C6989"/>
    <w:p w14:paraId="75D19996" w14:textId="6F61AD29" w:rsidR="007A63BF" w:rsidRDefault="00315BAF" w:rsidP="008C6989">
      <w:r>
        <w:t>Existe un consenso en torno a considerar el indulto como un ejercicio de la potestad del pr</w:t>
      </w:r>
      <w:r w:rsidR="00A706D3">
        <w:t>íncipe</w:t>
      </w:r>
      <w:r w:rsidR="00F60496">
        <w:t xml:space="preserve"> en el cual el súbdito se somete por la esperanza del perdón y no por la amenaza de castigo.</w:t>
      </w:r>
      <w:r w:rsidR="00F60496">
        <w:rPr>
          <w:rStyle w:val="Refdenotaalpie"/>
        </w:rPr>
        <w:footnoteReference w:id="16"/>
      </w:r>
      <w:r w:rsidR="00F60496">
        <w:t xml:space="preserve"> </w:t>
      </w:r>
      <w:r w:rsidR="005C4226">
        <w:t>En palabras de António Manuel Hespanha, “la disciplina penal venía ante todo a cumplir una función política: la defensa de la supremacía simbólica del rey en tanto que titular supremo del poder de castigar y, correlativamente, del poder de agraciar.”</w:t>
      </w:r>
      <w:r w:rsidR="005C4226">
        <w:rPr>
          <w:rStyle w:val="Refdenotaalpie"/>
        </w:rPr>
        <w:footnoteReference w:id="17"/>
      </w:r>
      <w:r w:rsidR="005C4226">
        <w:t xml:space="preserve"> Hespanha </w:t>
      </w:r>
      <w:r w:rsidR="005C4226">
        <w:lastRenderedPageBreak/>
        <w:t xml:space="preserve">y, en la misma línea, Alejandro Agüero, han coincidido en afirmar que el perdón regio se inscribía en el corazón de la justicia criminal y la política del antiguo régimen asociado con el </w:t>
      </w:r>
      <w:r w:rsidR="00C5128F">
        <w:t>amor del rey con sus vasallos</w:t>
      </w:r>
      <w:r w:rsidR="00BD6200">
        <w:t>.</w:t>
      </w:r>
      <w:r w:rsidR="00505F86">
        <w:rPr>
          <w:rStyle w:val="Refdenotaalpie"/>
        </w:rPr>
        <w:footnoteReference w:id="18"/>
      </w:r>
      <w:r w:rsidR="00C5128F">
        <w:t xml:space="preserve"> </w:t>
      </w:r>
      <w:r w:rsidR="00BD6200">
        <w:t>Difieren</w:t>
      </w:r>
      <w:r w:rsidR="009C58D9">
        <w:t xml:space="preserve"> por tanto</w:t>
      </w:r>
      <w:r w:rsidR="00C5128F">
        <w:t xml:space="preserve"> de la consideración de Tom</w:t>
      </w:r>
      <w:r w:rsidR="009C58D9">
        <w:t>ás y Valiente</w:t>
      </w:r>
      <w:r w:rsidR="00C5128F">
        <w:t xml:space="preserve"> según la cual el derecho penal estaba centrado en la búsqued</w:t>
      </w:r>
      <w:r w:rsidR="009C58D9">
        <w:t xml:space="preserve">a del castigo y la rigurosidad, de modo que </w:t>
      </w:r>
      <w:r w:rsidR="00C5128F">
        <w:t>la misericordia estaría en el rango de la deontología y no en</w:t>
      </w:r>
      <w:r w:rsidR="002235DA">
        <w:t xml:space="preserve"> el</w:t>
      </w:r>
      <w:r w:rsidR="00C5128F">
        <w:t xml:space="preserve"> derecho.</w:t>
      </w:r>
      <w:r w:rsidR="00505F86">
        <w:rPr>
          <w:rStyle w:val="Refdenotaalpie"/>
        </w:rPr>
        <w:footnoteReference w:id="19"/>
      </w:r>
    </w:p>
    <w:p w14:paraId="59B9FC34" w14:textId="00ECDD67" w:rsidR="00A903F1" w:rsidRPr="00A903F1" w:rsidRDefault="00732D81" w:rsidP="00A903F1">
      <w:r>
        <w:t>Se suponía que la facultad de castigar fue otorgada por dios a los reyes con el propósito de proteger a las repúblicas ante los peligros de la violencia y los asesinatos.</w:t>
      </w:r>
      <w:r>
        <w:rPr>
          <w:rStyle w:val="Refdenotaalpie"/>
        </w:rPr>
        <w:footnoteReference w:id="20"/>
      </w:r>
      <w:r>
        <w:t xml:space="preserve"> </w:t>
      </w:r>
      <w:r w:rsidRPr="00732D81">
        <w:rPr>
          <w:lang w:val="es-ES_tradnl"/>
        </w:rPr>
        <w:t xml:space="preserve">El castigo como demostración de la fuerza del príncipe tendría como origen evitar que los “malvados” actuaran contra los “buenos”; pero si todo fuese temor, el rey no podría atraer el amor de los súbditos, por ello </w:t>
      </w:r>
      <w:r w:rsidR="001758E1">
        <w:rPr>
          <w:lang w:val="es-ES_tradnl"/>
        </w:rPr>
        <w:t>la divinidad</w:t>
      </w:r>
      <w:r w:rsidRPr="00732D81">
        <w:rPr>
          <w:lang w:val="es-ES_tradnl"/>
        </w:rPr>
        <w:t xml:space="preserve"> otorgó la </w:t>
      </w:r>
      <w:r w:rsidR="001758E1">
        <w:rPr>
          <w:lang w:val="es-ES_tradnl"/>
        </w:rPr>
        <w:t>facultad de indultar a los príncipes y superiores</w:t>
      </w:r>
      <w:r w:rsidRPr="00732D81">
        <w:rPr>
          <w:lang w:val="es-ES_tradnl"/>
        </w:rPr>
        <w:t xml:space="preserve"> </w:t>
      </w:r>
      <w:r w:rsidR="001758E1">
        <w:rPr>
          <w:lang w:val="es-ES_tradnl"/>
        </w:rPr>
        <w:t>para con esta</w:t>
      </w:r>
      <w:r w:rsidRPr="00732D81">
        <w:rPr>
          <w:lang w:val="es-ES_tradnl"/>
        </w:rPr>
        <w:t xml:space="preserve"> canalizar su compasión. </w:t>
      </w:r>
      <w:r w:rsidRPr="00732D81">
        <w:t xml:space="preserve">En esta lógica, era el miedo a la espada lo que hacía agradecer la clemencia, cuando el rey o sus delegados pudiendo castigar justificadamente no lo hacía estaban demostrando la magnificencia del príncipe. </w:t>
      </w:r>
      <w:r w:rsidR="00A903F1">
        <w:t>De allí la idea, tomada de Séneca y difundida vía Tomás de Aquino, según la cual perdonar consistía en no castigar a quien merecía serlo, es decir, en la remisión de un castigo que debía ser, en justicia, infligido.</w:t>
      </w:r>
      <w:r w:rsidR="00A903F1" w:rsidRPr="00A903F1">
        <w:rPr>
          <w:vertAlign w:val="superscript"/>
        </w:rPr>
        <w:footnoteReference w:id="21"/>
      </w:r>
      <w:r w:rsidR="00A903F1" w:rsidRPr="00A903F1">
        <w:t xml:space="preserve"> </w:t>
      </w:r>
    </w:p>
    <w:p w14:paraId="363E38A1" w14:textId="09D26E9A" w:rsidR="00F546BD" w:rsidRPr="00130D3D" w:rsidRDefault="00411DD3" w:rsidP="00130D3D">
      <w:pPr>
        <w:rPr>
          <w:i/>
        </w:rPr>
      </w:pPr>
      <w:r>
        <w:t>En el orden jurídico-político de antiguo régimen, el t</w:t>
      </w:r>
      <w:r w:rsidR="00732D81" w:rsidRPr="00732D81">
        <w:t xml:space="preserve">emor y </w:t>
      </w:r>
      <w:r>
        <w:t xml:space="preserve">el </w:t>
      </w:r>
      <w:r w:rsidR="00732D81" w:rsidRPr="00732D81">
        <w:t>amor e</w:t>
      </w:r>
      <w:r>
        <w:t xml:space="preserve">starían naturalmente vinculados. </w:t>
      </w:r>
      <w:r w:rsidR="00732D81" w:rsidRPr="00732D81">
        <w:t>Alfonso X lo plasmó así: “Natural razon es, que el ome non puede amar ninguna cosa conplidamente si la non teme.”</w:t>
      </w:r>
      <w:r w:rsidR="00732D81" w:rsidRPr="00732D81">
        <w:rPr>
          <w:vertAlign w:val="superscript"/>
        </w:rPr>
        <w:footnoteReference w:id="22"/>
      </w:r>
      <w:r w:rsidR="00732D81" w:rsidRPr="00732D81">
        <w:t xml:space="preserve"> </w:t>
      </w:r>
      <w:r>
        <w:t xml:space="preserve">De esta manera, aunque </w:t>
      </w:r>
      <w:r w:rsidR="00631397">
        <w:t>cierta</w:t>
      </w:r>
      <w:r>
        <w:t xml:space="preserve"> doctrina afirmara que el príncipe debía hacerse amar más que temer, el orden se garantizaba por un equilibrio entre la clemencia y el rigor, en el atraer (“seducir” dice Hespanha) a los buenos vasallos y refrenar a los malvados, como un buen pastor, atrae las ovejas espantando a los </w:t>
      </w:r>
      <w:r>
        <w:lastRenderedPageBreak/>
        <w:t>lobos.</w:t>
      </w:r>
      <w:r>
        <w:rPr>
          <w:rStyle w:val="Refdenotaalpie"/>
        </w:rPr>
        <w:footnoteReference w:id="23"/>
      </w:r>
      <w:r w:rsidR="00BD4CBD">
        <w:t xml:space="preserve"> </w:t>
      </w:r>
      <w:r w:rsidR="00631397">
        <w:t>En su tratado antimaquiavélico,</w:t>
      </w:r>
      <w:r w:rsidR="006B18D9">
        <w:rPr>
          <w:rStyle w:val="Refdenotaalpie"/>
        </w:rPr>
        <w:footnoteReference w:id="24"/>
      </w:r>
      <w:r w:rsidR="006B18D9">
        <w:t xml:space="preserve"> el jesuita Pedro de Ribadeneyra resumió esa dialéctica temor amor en los siguientes términos</w:t>
      </w:r>
      <w:r w:rsidR="00631397">
        <w:t>: “El Principe valeroso debe ser juntamente manso y benigno, para que por la mansedumbre sea amado, y por la fortaleza temido; manso para los rendidos, y para los buenos desvalídos; severo y grave para humillar á los soberbios y altivos; en perdonar sus injurias, fácil y piadoso; en castigar las de Dios, terrible y zeloso.”</w:t>
      </w:r>
      <w:r w:rsidR="00631397">
        <w:rPr>
          <w:rStyle w:val="Refdenotaalpie"/>
        </w:rPr>
        <w:footnoteReference w:id="25"/>
      </w:r>
      <w:r w:rsidR="006B18D9">
        <w:t xml:space="preserve"> </w:t>
      </w:r>
      <w:r w:rsidR="000E3421">
        <w:t>En este sentido, consideraba que la verdadera fortaleza del príncipe radicaba en seguir la “ley evangélica” que ordenaba amar a los enemigos y hacer el bien a quienes lo aborrecían,</w:t>
      </w:r>
      <w:r w:rsidR="000E3421">
        <w:rPr>
          <w:rStyle w:val="Refdenotaalpie"/>
        </w:rPr>
        <w:footnoteReference w:id="26"/>
      </w:r>
      <w:r w:rsidR="000E3421">
        <w:t xml:space="preserve"> </w:t>
      </w:r>
      <w:r w:rsidR="00130D3D">
        <w:t>en imitación de dios, quien era “benigno para con los ingratos y malos.”</w:t>
      </w:r>
      <w:r w:rsidR="00130D3D">
        <w:rPr>
          <w:rStyle w:val="Refdenotaalpie"/>
        </w:rPr>
        <w:footnoteReference w:id="27"/>
      </w:r>
      <w:r w:rsidR="00130D3D">
        <w:t xml:space="preserve"> Por lo tanto, la relación temor-amor no era sólo un asunto de buen gobierno, consistía en un ejercicio de imitación de la majestad divina, como lo dejó asentado Juan López de Cuéllar en su tratado: “Porque siendo Imagen la humana de la Divina MAGESTAD, dispuso con summa providencia (repito otra vez) que en la misericordia se le pareciesse, como en la justicia, para que con esta fuesse temido, y con el exercicio de aquella fuesse amado.”</w:t>
      </w:r>
      <w:r w:rsidR="00130D3D">
        <w:rPr>
          <w:rStyle w:val="Refdenotaalpie"/>
        </w:rPr>
        <w:footnoteReference w:id="28"/>
      </w:r>
    </w:p>
    <w:p w14:paraId="6E92FA0A" w14:textId="42B4BC73" w:rsidR="002F3900" w:rsidRDefault="002F3900" w:rsidP="008C6989">
      <w:r>
        <w:t xml:space="preserve">Saavedra Fajardo consideraba que no era sólo con la clemencia que el príncipe cristiano atraía el afecto de los súbditos, la cual la expresa en varias sentencias que refuerzan esta idea: </w:t>
      </w:r>
    </w:p>
    <w:p w14:paraId="2A54A02C" w14:textId="1DB172F7" w:rsidR="00E77F69" w:rsidRDefault="002F3900" w:rsidP="002F3900">
      <w:pPr>
        <w:pStyle w:val="Cita"/>
      </w:pPr>
      <w:r>
        <w:t xml:space="preserve">La clemencia, i la severidad, aquella prodiga, i esta templada, son las que hazen amado al Principe. El que con </w:t>
      </w:r>
      <w:r w:rsidR="00157B4F">
        <w:t>tal destreza, i prudencia mezclá</w:t>
      </w:r>
      <w:r>
        <w:t>re estas virtudes, que con la justicia se haga respetar, i con la clemencia amar, no podrá errar en su gobierno. El cielo cria las mieses con la benignidad de sus rocios, i las arraiga, i asegura con el rigor de la escarcha, i nieve.  Si Dios no fuéra clemente, le respetára el temor, pero no le adorára el culto. Ambas virtudes le hazen temido, i amado. Por esto dezia el Rey Don Alonso de Aragon, que con la justicia ganava el afecto de los buenos, i con la clemencia, el de los malos. La una induce al temor, i la otra obliga al afecto.</w:t>
      </w:r>
      <w:r>
        <w:rPr>
          <w:rStyle w:val="Refdenotaalpie"/>
        </w:rPr>
        <w:footnoteReference w:id="29"/>
      </w:r>
    </w:p>
    <w:p w14:paraId="14CCB5A6" w14:textId="77777777" w:rsidR="002F3900" w:rsidRDefault="002F3900" w:rsidP="008C6989"/>
    <w:p w14:paraId="16874F6A" w14:textId="77777777" w:rsidR="00DD5967" w:rsidRDefault="00DD5967" w:rsidP="008C6989">
      <w:bookmarkStart w:id="1" w:name="_GoBack"/>
      <w:bookmarkEnd w:id="1"/>
    </w:p>
    <w:p w14:paraId="4134E5D9" w14:textId="1471F946" w:rsidR="0066695C" w:rsidRDefault="00FB5FC0" w:rsidP="008C6989">
      <w:r>
        <w:lastRenderedPageBreak/>
        <w:t xml:space="preserve">Aunque se tendía a utilizar de manera indistinta los términos “autoridad” y “potestad”, la lógica del ordenamiento normativo del antiguo régimen distinguía claramente ambos conceptos. Es verdad que el binomio </w:t>
      </w:r>
      <w:r>
        <w:rPr>
          <w:i/>
        </w:rPr>
        <w:t>auctoritas – potestas</w:t>
      </w:r>
      <w:r>
        <w:t xml:space="preserve"> es de raigambre romana, o por lo menos lo que se concebía como derecho antiguo en el sistema del </w:t>
      </w:r>
      <w:r>
        <w:rPr>
          <w:i/>
        </w:rPr>
        <w:t>ius commune</w:t>
      </w:r>
      <w:r>
        <w:t xml:space="preserve">, sin embargo, la distinción construida en la Edad Media europea con relación a estos términos fue transmitida a las discusiones y ordenamientos del mundo católico de la Edad Moderna. </w:t>
      </w:r>
    </w:p>
    <w:p w14:paraId="7374AE98" w14:textId="75DED7D0" w:rsidR="00FB5FC0" w:rsidRDefault="00FB5FC0" w:rsidP="008C6989">
      <w:r>
        <w:t xml:space="preserve">Del modo más simple, puede concebirse que la autoridad se imbrica en el </w:t>
      </w:r>
      <w:r>
        <w:rPr>
          <w:i/>
        </w:rPr>
        <w:t>ordo ordinans</w:t>
      </w:r>
      <w:r>
        <w:t xml:space="preserve">, el orden </w:t>
      </w:r>
      <w:r w:rsidR="009334BD">
        <w:t xml:space="preserve">ordenado de manera imperceptible por la divinidad. La potestad se relacionaba en cambio con el </w:t>
      </w:r>
      <w:r w:rsidR="009334BD">
        <w:rPr>
          <w:i/>
        </w:rPr>
        <w:t>ordo ordinatus</w:t>
      </w:r>
      <w:r w:rsidR="009334BD">
        <w:t xml:space="preserve">, el orden establecido e inmutable desde la creación, hecho evidente a través de la experiencia y la sabiduría. </w:t>
      </w:r>
    </w:p>
    <w:p w14:paraId="05FA2C4F" w14:textId="6B9DC74C" w:rsidR="00FB5FC0" w:rsidRPr="002A4004" w:rsidRDefault="009334BD" w:rsidP="008C6989">
      <w:r>
        <w:t xml:space="preserve">¿Es la autoridad </w:t>
      </w:r>
      <w:r w:rsidRPr="00AC23AE">
        <w:rPr>
          <w:i/>
        </w:rPr>
        <w:t>iurisdictio</w:t>
      </w:r>
      <w:r>
        <w:t xml:space="preserve">? Aunque en términos puros la potestad no requiere autoridad y viceversa, poco sentido tendría un soberano o magistrados carentes de alguna de estas dos características. Siguiendo el sentido del discurso de antiguo régimen, la mera potestad hace al juez o al gobernador como mero ejecutor, mientras la pura autoridad le deja sin capacidad para hacer justicia. Es entonces común que la autoridad se mencione como dignidad, es decir, el respeto inherente a un empleo; en tanto la potestad puede equipararse a la facultad, las dádivas jurisdiccionales que permiten juzgar y gobernar a los vasallos asignados. </w:t>
      </w:r>
      <w:r w:rsidR="00AC23AE">
        <w:t xml:space="preserve">Por lo tanto, la </w:t>
      </w:r>
      <w:r w:rsidR="00AC23AE" w:rsidRPr="00AC23AE">
        <w:rPr>
          <w:i/>
        </w:rPr>
        <w:t>iurisdictio</w:t>
      </w:r>
      <w:r w:rsidR="00AC23AE">
        <w:t>, entendida como proceso de poder, refiere a la autoridad y la potestad, entendidas como legitimidad y poder, o en términos weberianos, como “dominio carismático” y poder político. Valga recordar que Weber toma el concepto de carisma desde el sentido del “cristianismo primitivo”, es decir, como donación graciosa (</w:t>
      </w:r>
      <w:r w:rsidR="00AC23AE">
        <w:rPr>
          <w:i/>
        </w:rPr>
        <w:t>Gnadegabe</w:t>
      </w:r>
      <w:r w:rsidR="00AC23AE">
        <w:t>)</w:t>
      </w:r>
      <w:r w:rsidR="002A4004">
        <w:t>,</w:t>
      </w:r>
      <w:r w:rsidR="00AC23AE">
        <w:rPr>
          <w:rStyle w:val="Refdenotaalpie"/>
        </w:rPr>
        <w:footnoteReference w:id="30"/>
      </w:r>
      <w:r w:rsidR="002A4004">
        <w:t xml:space="preserve"> el cual derivará hacia el sentido de clemencia (</w:t>
      </w:r>
      <w:r w:rsidR="002A4004">
        <w:rPr>
          <w:i/>
        </w:rPr>
        <w:t>Gnade</w:t>
      </w:r>
      <w:r w:rsidR="002A4004">
        <w:t xml:space="preserve">) de manera similar al proceso vivido por el concepto de gracia en las lenguas romances; en particular en el italiano, que conserva el sentido de </w:t>
      </w:r>
      <w:r w:rsidR="002A4004">
        <w:rPr>
          <w:i/>
        </w:rPr>
        <w:t>grazia</w:t>
      </w:r>
      <w:r w:rsidR="002A4004">
        <w:t xml:space="preserve"> como perdón.</w:t>
      </w:r>
      <w:r w:rsidR="00EE7AF4">
        <w:rPr>
          <w:rStyle w:val="Refdenotaalpie"/>
        </w:rPr>
        <w:footnoteReference w:id="31"/>
      </w:r>
    </w:p>
    <w:p w14:paraId="7980B54B" w14:textId="35420EA7" w:rsidR="00455C81" w:rsidRPr="00817B95" w:rsidRDefault="00455C81" w:rsidP="000F0EAD">
      <w:r w:rsidRPr="00DB5562">
        <w:rPr>
          <w:i/>
        </w:rPr>
        <w:t xml:space="preserve"> </w:t>
      </w:r>
      <w:r w:rsidR="00AC74F4" w:rsidRPr="00DB5562">
        <w:rPr>
          <w:i/>
        </w:rPr>
        <w:t>El indulto aumenta la autoridad (la pot</w:t>
      </w:r>
      <w:r w:rsidR="00080325" w:rsidRPr="00DB5562">
        <w:rPr>
          <w:i/>
        </w:rPr>
        <w:t>estad incrementa la autoridad), es decir, el rey tiene la facultad de perdonar por dos razones, la primera para ganar el amor de los leales vasallos, con lo cual incrementa la autoridad inherente a su estatus; la segunda</w:t>
      </w:r>
      <w:r w:rsidR="00DB5562" w:rsidRPr="00DB5562">
        <w:rPr>
          <w:i/>
        </w:rPr>
        <w:t xml:space="preserve">, para </w:t>
      </w:r>
      <w:r w:rsidR="00DB5562" w:rsidRPr="00DB5562">
        <w:rPr>
          <w:i/>
        </w:rPr>
        <w:lastRenderedPageBreak/>
        <w:t>externalizar su deseo de clemencia, lo cual significa un simple acto de gracia que, en principio, no espera retribución alguna del agraciado</w:t>
      </w:r>
      <w:r w:rsidR="00DB5562">
        <w:t xml:space="preserve">. </w:t>
      </w:r>
    </w:p>
    <w:p w14:paraId="64C39DA1" w14:textId="77777777" w:rsidR="00C23C84" w:rsidRDefault="00C23C84" w:rsidP="000F0EAD"/>
    <w:p w14:paraId="08E0D98D" w14:textId="26633446" w:rsidR="00FF75DB" w:rsidRDefault="00FF75DB" w:rsidP="00F32E78">
      <w:pPr>
        <w:pStyle w:val="Ttulo2"/>
        <w:numPr>
          <w:ilvl w:val="1"/>
          <w:numId w:val="28"/>
        </w:numPr>
        <w:rPr>
          <w:highlight w:val="yellow"/>
        </w:rPr>
      </w:pPr>
      <w:r>
        <w:rPr>
          <w:highlight w:val="yellow"/>
        </w:rPr>
        <w:t>El perdón como resultado virtuoso</w:t>
      </w:r>
      <w:r w:rsidR="00ED6883">
        <w:rPr>
          <w:highlight w:val="yellow"/>
        </w:rPr>
        <w:t xml:space="preserve"> de la clemencia y la gracia</w:t>
      </w:r>
    </w:p>
    <w:p w14:paraId="15AD3170" w14:textId="77777777" w:rsidR="0024383C" w:rsidRDefault="0024383C" w:rsidP="007F24F4"/>
    <w:p w14:paraId="11436720" w14:textId="77777777" w:rsidR="00D61588"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w:t>
      </w:r>
      <w:r w:rsidR="003E6DF7">
        <w:t xml:space="preserve">Nieremberg explicó que el príncipe debía ser especialmente virtuoso porque además de individuo era una persona pública y al mismo tiempo era ejemplo de la nobleza y ésta del vulgo. Incluso consideraba que era más importante la virtud del rey que su papel como legislador: </w:t>
      </w:r>
    </w:p>
    <w:p w14:paraId="67056636" w14:textId="2E46BCE2" w:rsidR="003E6DF7" w:rsidRDefault="00D61588" w:rsidP="00D61588">
      <w:pPr>
        <w:pStyle w:val="Cita"/>
      </w:pPr>
      <w:r>
        <w:t>Qual será la fuerça del exemplo del Principe? Tanto va del exemplo a la lei, como del dicho al hecho. Y si las palabras del Rey son leyes; sus obras, que fuerça tendrán? Mas necessidad tiene de saber hazer buenas obras, que de saber promulgar buenas leyes. Para las leyes podrasse ayudar de otros, para las obras no, sino de la Virtud: no poder ser virtuoso por tercera persona. No es Provincia la Virtud, que admite Virrei, ni es oficio el ser bueno, que se cumple con sustituto.</w:t>
      </w:r>
      <w:r>
        <w:rPr>
          <w:rStyle w:val="Refdenotaalpie"/>
        </w:rPr>
        <w:footnoteReference w:id="32"/>
      </w:r>
    </w:p>
    <w:p w14:paraId="76336F6E" w14:textId="77777777" w:rsidR="00D61588" w:rsidRDefault="00D61588" w:rsidP="00D61588"/>
    <w:p w14:paraId="0280E545" w14:textId="15265193" w:rsidR="00BE1540" w:rsidRDefault="00BE1540" w:rsidP="002A3D12">
      <w:r>
        <w:t xml:space="preserve">Según Nieremberg, la virtud no es una atribución interna del espíritu, sino </w:t>
      </w:r>
      <w:r w:rsidR="007D56D1">
        <w:t xml:space="preserve">la evidencia de las buenas acciones que sólo podía realizar el monarca por sí mismo, sin poder delegar a nadie en su favor. </w:t>
      </w:r>
      <w:r w:rsidR="00B47D13">
        <w:t xml:space="preserve">Al no poder delegar las virtudes, se pretendía que se eligiesen oficiales con buenas costumbres antes que con conocimiento, como afirmaba Castillo de Bovadilla, si las leyes son buenas no tendrían ningún efecto si el juez era vicioso ya que </w:t>
      </w:r>
      <w:r w:rsidR="0009524D">
        <w:t xml:space="preserve">en </w:t>
      </w:r>
      <w:r w:rsidR="00B47D13">
        <w:t>“la práctica de la Justicia ninguno puede bien usarla, si no está dotado de todas las virtudes […], el gobernar es oficio de la prudencia, á la qual como sean anexas todas las virtudes, es necesario, que las haya de tener el Juez, y Gobernador.”</w:t>
      </w:r>
      <w:r w:rsidR="00B47D13">
        <w:rPr>
          <w:rStyle w:val="Refdenotaalpie"/>
        </w:rPr>
        <w:footnoteReference w:id="33"/>
      </w:r>
      <w:r w:rsidR="00057411">
        <w:t xml:space="preserve"> </w:t>
      </w:r>
    </w:p>
    <w:p w14:paraId="01D9F703" w14:textId="33C526CC" w:rsidR="00B75D5F" w:rsidRDefault="001E0330" w:rsidP="002A3D12">
      <w:r>
        <w:t>El príncipe debía recurrir a las virtudes para gobernar en justicia porque su obra no se consideraba exclusivamente terrena, en este sentido vale la premisa</w:t>
      </w:r>
      <w:r w:rsidR="00631397">
        <w:t xml:space="preserve"> de Ribadeneyra</w:t>
      </w:r>
      <w:r w:rsidR="0062417A">
        <w:t>:</w:t>
      </w:r>
      <w:r>
        <w:t xml:space="preserve"> “El ser y poder del Rey, es una participacion del ser y poder divino: y assi re</w:t>
      </w:r>
      <w:r w:rsidR="00EB3385">
        <w:t>q</w:t>
      </w:r>
      <w:r>
        <w:t xml:space="preserve">uiere favor del Cielo, </w:t>
      </w:r>
      <w:r>
        <w:lastRenderedPageBreak/>
        <w:t>y divino, para poderle dignamente sustentar.”</w:t>
      </w:r>
      <w:r>
        <w:rPr>
          <w:rStyle w:val="Refdenotaalpie"/>
        </w:rPr>
        <w:footnoteReference w:id="34"/>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35"/>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36"/>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37"/>
      </w:r>
    </w:p>
    <w:p w14:paraId="7A142C85" w14:textId="2263FE57" w:rsidR="00057411"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38"/>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39"/>
      </w:r>
      <w:r w:rsidR="006746FE">
        <w:t xml:space="preserve"> </w:t>
      </w:r>
      <w:r w:rsidR="0012263D">
        <w:t xml:space="preserve">La complejidad de la intrincada red de virtudes asociadas a la justicia y lo político en el antiguo régimen precisa que se distingan aquí </w:t>
      </w:r>
      <w:r w:rsidR="0012263D">
        <w:lastRenderedPageBreak/>
        <w:t xml:space="preserve">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057411">
        <w:t>Una interesante síntesis de las virtudes indispensables para el juez y gobernante fue dada por Castillo de Bovadilla:</w:t>
      </w:r>
    </w:p>
    <w:p w14:paraId="59EE3494" w14:textId="7639343B" w:rsidR="00057411" w:rsidRDefault="00057411" w:rsidP="00057411">
      <w:pPr>
        <w:pStyle w:val="Cita"/>
      </w:pPr>
      <w:r>
        <w:t>Manso, y justo, y temeroso de Dios, y de buena conciencia, casto, y no avariento debe ser el Corregidor, y bien entendido, dicen las leyes Reales; porque con la mansedumbre agrada a los negociantes, y determina los negocios atentadamente; con la rectitud galardona los buenos, y castiga los malos, y guarda justicia á las partes; con el temor de Dios, teme el ofender, é injuriar por amor de Dios;</w:t>
      </w:r>
      <w:r>
        <w:rPr>
          <w:rStyle w:val="Refdenotaalpie"/>
        </w:rPr>
        <w:footnoteReference w:id="40"/>
      </w:r>
      <w:r>
        <w:t xml:space="preserve"> con la equidad</w:t>
      </w:r>
      <w:r w:rsidR="006102A2">
        <w:t>, y benignidad administra justicia, por dar tan buena cuenta como la toma; y de la castidad resulta buen exemplo para los subditos, y de huir de la avaricia, previene limpieza en no recibir dones, y en no llevar derechos, y otras cosas indebidas.</w:t>
      </w:r>
      <w:r w:rsidR="006102A2">
        <w:rPr>
          <w:rStyle w:val="Refdenotaalpie"/>
        </w:rPr>
        <w:footnoteReference w:id="41"/>
      </w:r>
    </w:p>
    <w:p w14:paraId="76470C43" w14:textId="77777777" w:rsidR="00057411" w:rsidRPr="00057411" w:rsidRDefault="00057411" w:rsidP="00057411"/>
    <w:p w14:paraId="1F67F723" w14:textId="499C78CB" w:rsidR="008C7F0E" w:rsidRDefault="006746FE" w:rsidP="002A3D12">
      <w:r>
        <w:t xml:space="preserve">Desde esta perspectiva se pretende desambiguar, hasta cierto punto, la compleja polisemia de términos que dependiendo del contexto de enunciación pueden confundirse, verbigracia la gracia, clemencia, misericordia, bondad, perdón e indulto. </w:t>
      </w:r>
      <w:r w:rsidR="003D647C">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6E89FC95" w:rsidR="001858CC" w:rsidRDefault="00F65E56" w:rsidP="00C05F45">
      <w:r>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42"/>
      </w:r>
      <w:r w:rsidR="009639EA">
        <w:t xml:space="preserve"> remite a su frase</w:t>
      </w:r>
      <w:r>
        <w:t xml:space="preserve">: “La clemencia es la moderación del ánimo para ejercer la potestad de venganza, o la blandura del </w:t>
      </w:r>
      <w:r>
        <w:lastRenderedPageBreak/>
        <w:t xml:space="preserve">superior respecto al inferior </w:t>
      </w:r>
      <w:r w:rsidR="00CC2DB7">
        <w:t>en la determinación de una pena</w:t>
      </w:r>
      <w:r w:rsidR="00D23EB3">
        <w:t>.</w:t>
      </w:r>
      <w:r>
        <w:t>”</w:t>
      </w:r>
      <w:r>
        <w:rPr>
          <w:rStyle w:val="Refdenotaalpie"/>
          <w:lang w:eastAsia="es-ES"/>
        </w:rPr>
        <w:footnoteReference w:id="43"/>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44"/>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45"/>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46"/>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47"/>
      </w:r>
      <w:r w:rsidR="003100C2" w:rsidRPr="003100C2">
        <w:rPr>
          <w:rStyle w:val="Refdenotaalpie"/>
        </w:rPr>
        <w:t xml:space="preserve"> </w:t>
      </w:r>
      <w:r w:rsidR="005779E7" w:rsidRPr="00B9631D">
        <w:lastRenderedPageBreak/>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48"/>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49"/>
      </w:r>
      <w:r w:rsidR="00FE4247">
        <w:t xml:space="preserve"> </w:t>
      </w:r>
    </w:p>
    <w:p w14:paraId="016B5DF5" w14:textId="55F21200"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50"/>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w:t>
      </w:r>
      <w:r w:rsidR="00D23EB3">
        <w:t xml:space="preserve"> “La misericordia y la verdad custodian al rey, y la clemencia es la fortaleza del trono.”</w:t>
      </w:r>
      <w:r w:rsidR="004A499C" w:rsidRPr="002B6C75">
        <w:rPr>
          <w:rStyle w:val="Refdenotaalpie"/>
        </w:rPr>
        <w:footnoteReference w:id="51"/>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52"/>
      </w:r>
      <w:r w:rsidR="00E342B0">
        <w:t xml:space="preserve"> Lo anterior fue destacado por Garsia Mastrillo en su afamado tratado </w:t>
      </w:r>
      <w:r w:rsidR="00E342B0">
        <w:rPr>
          <w:i/>
        </w:rPr>
        <w:t>Ad indultum generale</w:t>
      </w:r>
      <w:r w:rsidR="00E342B0">
        <w:t xml:space="preserve"> al afirmar que “</w:t>
      </w:r>
      <w:r w:rsidR="00E342B0" w:rsidRPr="00E342B0">
        <w:t>la clemencia es la manera como la divinidad adorna al Príncipe y asegura su excelencia, constituye modelo e imitación del mismo Dios en la observancia de los súbditos, une el amor a la seguridad y es un medio eficacísimo para constreñir a los malvados.</w:t>
      </w:r>
      <w:r w:rsidR="00E342B0">
        <w:t>”</w:t>
      </w:r>
      <w:r w:rsidR="00E342B0">
        <w:rPr>
          <w:rStyle w:val="Refdenotaalpie"/>
        </w:rPr>
        <w:footnoteReference w:id="53"/>
      </w:r>
      <w:r w:rsidR="00977FCA">
        <w:t xml:space="preserve"> </w:t>
      </w:r>
      <w:r w:rsidR="004A499C" w:rsidRPr="00B9631D">
        <w:t xml:space="preserve">Sin embargo, se diferencia de la mansedumbre, que se relaciona con la moderación de la ira, por lo cual la comparten los </w:t>
      </w:r>
      <w:r w:rsidR="004A499C" w:rsidRPr="00B9631D">
        <w:lastRenderedPageBreak/>
        <w:t>señores y los vasallos</w:t>
      </w:r>
      <w:r w:rsidR="00AA0E9B">
        <w:t>.</w:t>
      </w:r>
      <w:r w:rsidR="004A499C" w:rsidRPr="002B6C75">
        <w:rPr>
          <w:rStyle w:val="Refdenotaalpie"/>
        </w:rPr>
        <w:footnoteReference w:id="54"/>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55"/>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56"/>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57"/>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58"/>
      </w:r>
      <w:r>
        <w:t xml:space="preserve"> Se comprendía que la humanidad había sido condenada desde su origen por el pecado de Adán,</w:t>
      </w:r>
      <w:r>
        <w:rPr>
          <w:rStyle w:val="Refdenotaalpie"/>
        </w:rPr>
        <w:footnoteReference w:id="59"/>
      </w:r>
      <w:r>
        <w:t xml:space="preserve"> por lo cual era imposible encontrar un “hombre justo” de quien se pudiera presumir estaba libre de culpa. Los indicios eran suficientes para que el juez </w:t>
      </w:r>
      <w:r>
        <w:lastRenderedPageBreak/>
        <w:t>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60"/>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61"/>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62"/>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63"/>
      </w:r>
    </w:p>
    <w:p w14:paraId="768667A4" w14:textId="1D9E24A7"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5B6AAC">
        <w:rPr>
          <w:rStyle w:val="Refdenotaalpie"/>
        </w:rPr>
        <w:footnoteReference w:id="64"/>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65"/>
      </w:r>
      <w:r w:rsidR="0042190A" w:rsidRPr="00B9631D">
        <w:t xml:space="preserve"> En este sentido, la clemencia podía buscar la equidad cuando la aplicación a rajatabla de la ley común no asumía las condiciones que aminoraban </w:t>
      </w:r>
      <w:r w:rsidR="0042190A" w:rsidRPr="00B9631D">
        <w:lastRenderedPageBreak/>
        <w:t xml:space="preserve">la culpabilidad. Esta idea era representada por la </w:t>
      </w:r>
      <w:r w:rsidR="0042190A" w:rsidRPr="00B9631D">
        <w:rPr>
          <w:i/>
        </w:rPr>
        <w:t>manlia imperia</w:t>
      </w:r>
      <w:r w:rsidR="00A3216A" w:rsidRPr="00A3216A">
        <w:t>,</w:t>
      </w:r>
      <w:r w:rsidR="0042190A" w:rsidRPr="002B6C75">
        <w:rPr>
          <w:rStyle w:val="Refdenotaalpie"/>
        </w:rPr>
        <w:footnoteReference w:id="66"/>
      </w:r>
      <w:r w:rsidR="0042190A" w:rsidRPr="00B9631D">
        <w:t xml:space="preserve"> la cual consideraba que 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67"/>
      </w:r>
      <w:r w:rsidR="0042190A" w:rsidRPr="00B9631D">
        <w:t>.</w:t>
      </w:r>
      <w:r w:rsidR="008E4E99">
        <w:t xml:space="preserve"> Castillo de Bovadilla advertía que “por causa del mucho rigor pueden los Jueces ser privados de los Oficios;”</w:t>
      </w:r>
      <w:r w:rsidR="008E4E99">
        <w:rPr>
          <w:rStyle w:val="Refdenotaalpie"/>
        </w:rPr>
        <w:footnoteReference w:id="68"/>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69"/>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Pr>
          <w:rStyle w:val="Refdenotaalpie"/>
        </w:rPr>
        <w:footnoteReference w:id="70"/>
      </w:r>
      <w:r w:rsidR="008E4E99">
        <w:t xml:space="preserve"> </w:t>
      </w:r>
    </w:p>
    <w:p w14:paraId="620693C6" w14:textId="696D3621"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71"/>
      </w:r>
      <w:r w:rsidR="00766A7E">
        <w:t xml:space="preserve"> </w:t>
      </w:r>
      <w:r w:rsidRPr="00B9631D">
        <w:t xml:space="preserve">En este sentido, aunque fuese una preciosa virtud del príncipe su uso debía estar prevenido por la prudencia. El perdón excesivo traería como consecuencia </w:t>
      </w:r>
      <w:r w:rsidRPr="00B9631D">
        <w:lastRenderedPageBreak/>
        <w:t>inevitable el incremento de los delitos</w:t>
      </w:r>
      <w:r w:rsidR="00766A7E">
        <w:t>,</w:t>
      </w:r>
      <w:r w:rsidRPr="002B6C75">
        <w:rPr>
          <w:rStyle w:val="Refdenotaalpie"/>
        </w:rPr>
        <w:footnoteReference w:id="72"/>
      </w:r>
      <w:r w:rsidRPr="00B9631D">
        <w:t xml:space="preserve"> ya que la lógica punitiva de la tradición jurídica de occidente concebía el castigo no en términos de restitución del daño sino como una estrategia para la prevención de los futuros crímenes</w:t>
      </w:r>
      <w:r w:rsidR="00766A7E">
        <w:t>.</w:t>
      </w:r>
      <w:r w:rsidRPr="002B6C75">
        <w:rPr>
          <w:rStyle w:val="Refdenotaalpie"/>
        </w:rPr>
        <w:footnoteReference w:id="73"/>
      </w:r>
      <w:r w:rsidRPr="00B9631D">
        <w:t xml:space="preserve"> La justicia penal parte del principio que si los hombres se gobernaran de acuerdo a la ley natural, divina y humana, no sería necesario la imposición de las penas, mas siendo lo contrario, fue necesario imponer la penas </w:t>
      </w:r>
      <w:r w:rsidR="00FB0534">
        <w:t xml:space="preserve">porque </w:t>
      </w:r>
      <w:r w:rsidR="00926DD1">
        <w:t>“donde n</w:t>
      </w:r>
      <w:r w:rsidR="00926DD1" w:rsidRPr="00766A7E">
        <w:t>o conven</w:t>
      </w:r>
      <w:r w:rsidR="00FB0534">
        <w:t>ce</w:t>
      </w:r>
      <w:r w:rsidR="00926DD1" w:rsidRPr="00766A7E">
        <w:t xml:space="preserve"> el amor, </w:t>
      </w:r>
      <w:r w:rsidR="00926DD1">
        <w:t xml:space="preserve">restrinja </w:t>
      </w:r>
      <w:r w:rsidR="00926DD1" w:rsidRPr="00766A7E">
        <w:t>el temor</w:t>
      </w:r>
      <w:r w:rsidR="00926DD1">
        <w:t>.”</w:t>
      </w:r>
      <w:r w:rsidRPr="002B6C75">
        <w:rPr>
          <w:rStyle w:val="Refdenotaalpie"/>
        </w:rPr>
        <w:footnoteReference w:id="74"/>
      </w:r>
      <w:r w:rsidRPr="00B9631D">
        <w:t xml:space="preserve"> En este sentido, la misericordia excesiva se opondría a la justicia y se equipararía a la crueldad y la tiranía</w:t>
      </w:r>
      <w:r w:rsidR="009971E4">
        <w:t>,</w:t>
      </w:r>
      <w:r w:rsidRPr="002B6C75">
        <w:rPr>
          <w:rStyle w:val="Refdenotaalpie"/>
        </w:rPr>
        <w:footnoteReference w:id="75"/>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2B6C75">
        <w:rPr>
          <w:rStyle w:val="Refdenotaalpie"/>
        </w:rPr>
        <w:footnoteReference w:id="76"/>
      </w:r>
      <w:r w:rsidRPr="00B9631D">
        <w:t xml:space="preserve"> lo cual contradeciría un principio básico de la clemencia real que radicaba en surgir de la mera voluntad del monarca</w:t>
      </w:r>
      <w:r w:rsidR="009971E4">
        <w:t>.</w:t>
      </w:r>
      <w:r w:rsidRPr="002B6C75">
        <w:rPr>
          <w:rStyle w:val="Refdenotaalpie"/>
        </w:rPr>
        <w:footnoteReference w:id="77"/>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78"/>
      </w:r>
      <w:r w:rsidRPr="00B9631D">
        <w:t xml:space="preserve"> </w:t>
      </w:r>
      <w:r w:rsidRPr="00B9631D">
        <w:lastRenderedPageBreak/>
        <w:t>Según Andrés Men</w:t>
      </w:r>
      <w:r>
        <w:t>d</w:t>
      </w:r>
      <w:r w:rsidRPr="00B9631D">
        <w:t>o, perdonar a los culpados de delitos graves no era piedad sino “clemencia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79"/>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80"/>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81"/>
      </w:r>
      <w:r w:rsidRPr="00B9631D">
        <w:t>. Además, la severidad no contradeciría la misericordia puesto que la aplicación recta de justicia no implicaba dureza de corazón</w:t>
      </w:r>
      <w:r w:rsidRPr="002B6C75">
        <w:rPr>
          <w:rStyle w:val="Refdenotaalpie"/>
        </w:rPr>
        <w:footnoteReference w:id="82"/>
      </w:r>
      <w:r w:rsidRPr="00B9631D">
        <w:t>.</w:t>
      </w:r>
    </w:p>
    <w:p w14:paraId="285BEE5A" w14:textId="6512DF0E" w:rsidR="00926DD1" w:rsidRPr="00926DD1" w:rsidRDefault="00926DD1" w:rsidP="00C54558">
      <w:pPr>
        <w:rPr>
          <w:color w:val="FF0000"/>
        </w:rPr>
      </w:pPr>
      <w:r>
        <w:rPr>
          <w:color w:val="FF0000"/>
        </w:rPr>
        <w:t>Conexión entre clemencia y gracia: “El perdón encaja perfectamente dentro de esas consideraciones como un acto de magnanimidad de la majestad, como una manifestación de ese aspecto del poder real que es la esfera de la gracia. Por tanto, el perdón tendrá, en cuando a su concesión, la arbitrariedad y voluntariedad como características, puesto que su otorgamiento depende única y exclusivamente de su voluntad regia.”</w:t>
      </w:r>
      <w:r w:rsidR="00803188">
        <w:rPr>
          <w:rStyle w:val="Refdenotaalpie"/>
          <w:color w:val="FF0000"/>
        </w:rPr>
        <w:footnoteReference w:id="83"/>
      </w:r>
      <w:r>
        <w:rPr>
          <w:color w:val="FF0000"/>
        </w:rPr>
        <w:t xml:space="preserve"> </w:t>
      </w:r>
      <w:r w:rsidR="00803188">
        <w:rPr>
          <w:color w:val="FF0000"/>
        </w:rPr>
        <w:t>En este sentido, no basta interpretar la clemencia para comprender el perdón real, la virtud de la gracia canalizaba el beneficio, la liberalidad y el privilegio; pero ante todo, demostraba ya no sólo la bondad y el amor del monarca sino resaltaba la magnanimidad de la persona del Príncipe. Cabr</w:t>
      </w:r>
      <w:r w:rsidR="00912806">
        <w:rPr>
          <w:color w:val="FF0000"/>
        </w:rPr>
        <w:t>ía cuestionarse si la</w:t>
      </w:r>
      <w:r w:rsidR="00803188">
        <w:rPr>
          <w:color w:val="FF0000"/>
        </w:rPr>
        <w:t xml:space="preserve"> </w:t>
      </w:r>
      <w:r w:rsidR="00912806">
        <w:rPr>
          <w:color w:val="FF0000"/>
        </w:rPr>
        <w:t>clemencia</w:t>
      </w:r>
      <w:r w:rsidR="00803188">
        <w:rPr>
          <w:color w:val="FF0000"/>
        </w:rPr>
        <w:t xml:space="preserve"> podría </w:t>
      </w:r>
      <w:r w:rsidR="00912806">
        <w:rPr>
          <w:color w:val="FF0000"/>
        </w:rPr>
        <w:t xml:space="preserve">exaltar la munificencia </w:t>
      </w:r>
      <w:r w:rsidR="00803188">
        <w:rPr>
          <w:color w:val="FF0000"/>
        </w:rPr>
        <w:t xml:space="preserve">en un </w:t>
      </w:r>
      <w:r w:rsidR="00912806">
        <w:rPr>
          <w:color w:val="FF0000"/>
        </w:rPr>
        <w:t xml:space="preserve">sistema político-jurídico, </w:t>
      </w:r>
      <w:r w:rsidR="00912806">
        <w:rPr>
          <w:color w:val="FF0000"/>
        </w:rPr>
        <w:lastRenderedPageBreak/>
        <w:t>como el propuesto por Cesare Becaria, donde la indulgencia se canalizara por ley. La cuestión es considerablemente especulativa, pero llama la atención respecto a la estrechez de ambos conceptos en la época monárquica y las implicaciones posteriores de un sistema de clemencia sin rey.</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84"/>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85"/>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86"/>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87"/>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88"/>
      </w:r>
      <w:r w:rsidR="00341052">
        <w:t xml:space="preserve"> </w:t>
      </w:r>
      <w:r w:rsidR="00421861">
        <w:t xml:space="preserve">Sin embargo, como lo ha mostrado Bartolomé Clavero, aunque la gracia se consideraba como una donación no por ello era un favor gratuito; las “gracias al </w:t>
      </w:r>
      <w:r w:rsidR="00421861">
        <w:lastRenderedPageBreak/>
        <w:t>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89"/>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90"/>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91"/>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Pr>
          <w:rStyle w:val="Refdenotaalpie"/>
        </w:rPr>
        <w:footnoteReference w:id="92"/>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93"/>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94"/>
      </w:r>
      <w:r w:rsidR="000F01DD">
        <w:t xml:space="preserve"> Como se intentará demostrar en un capítulo posterior</w:t>
      </w:r>
      <w:r w:rsidR="00B33E35">
        <w:t xml:space="preserve">, hay evidencia de dicha </w:t>
      </w:r>
      <w:r w:rsidR="000F01DD">
        <w:lastRenderedPageBreak/>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95"/>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96"/>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97"/>
      </w:r>
      <w:r w:rsidR="00FA65B3">
        <w:t xml:space="preserve"> </w:t>
      </w:r>
      <w:r w:rsidR="00102968">
        <w:t>A esto se asocia</w:t>
      </w:r>
      <w:r w:rsidR="00755CE8">
        <w:t>ba</w:t>
      </w:r>
      <w:r w:rsidR="00102968">
        <w:t xml:space="preserve"> además el criterio del jurame</w:t>
      </w:r>
      <w:r w:rsidR="00755CE8">
        <w:t xml:space="preserve">nto y la promesa; </w:t>
      </w:r>
      <w:r w:rsidR="00102968">
        <w:t xml:space="preserve">nuevamente Saavedra a través de referencias bíblicas advertía a los príncipes: “Lo que se </w:t>
      </w:r>
      <w:r w:rsidR="00102968">
        <w:lastRenderedPageBreak/>
        <w:t>promete, i no se cumple lo recibe por afrenta el Superior, por injusticia el Igual, i por tyrania el Inferior. I asi es menester, que la lengua no se arròje a ofrezer lo que no sabe, que puede cumplir.”</w:t>
      </w:r>
      <w:r w:rsidR="00102968">
        <w:rPr>
          <w:rStyle w:val="Refdenotaalpie"/>
        </w:rPr>
        <w:footnoteReference w:id="98"/>
      </w:r>
    </w:p>
    <w:p w14:paraId="58B6C5D3" w14:textId="38832942" w:rsidR="00132E3A" w:rsidRDefault="0064159E" w:rsidP="00F32E78">
      <w:pPr>
        <w:pStyle w:val="Ttulo2"/>
        <w:numPr>
          <w:ilvl w:val="1"/>
          <w:numId w:val="28"/>
        </w:numPr>
      </w:pPr>
      <w:r>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99"/>
      </w:r>
      <w:r w:rsidR="00AF1BA2" w:rsidRPr="009956C8">
        <w:t>. Como señaló Murillo Velarde</w:t>
      </w:r>
      <w:r w:rsidR="00AF1BA2" w:rsidRPr="009956C8">
        <w:rPr>
          <w:vertAlign w:val="superscript"/>
        </w:rPr>
        <w:footnoteReference w:id="100"/>
      </w:r>
      <w:r w:rsidR="00AF1BA2" w:rsidRPr="009956C8">
        <w:t xml:space="preserve">, esta forma era característica de la legislación castellana y con ella se pretendía precisar la compleja polisemia relacionada con dicha gracia, transferida al derecho hispano por vía del lenguaje del </w:t>
      </w:r>
      <w:r w:rsidR="00AF1BA2" w:rsidRPr="009956C8">
        <w:rPr>
          <w:i/>
        </w:rPr>
        <w:t>ius commune</w:t>
      </w:r>
      <w:r w:rsidR="00AF1BA2" w:rsidRPr="009956C8">
        <w:t xml:space="preserve">. </w:t>
      </w:r>
      <w:r w:rsidR="00AF1BA2" w:rsidRPr="00AF1BA2">
        <w:rPr>
          <w:highlight w:val="yellow"/>
        </w:rPr>
        <w:t>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libertad de los reos juzga que estos no debieron seguir sufriendo su pena</w:t>
      </w:r>
      <w:r w:rsidR="00AF1BA2" w:rsidRPr="00AF1BA2">
        <w:rPr>
          <w:highlight w:val="yellow"/>
          <w:vertAlign w:val="superscript"/>
        </w:rPr>
        <w:footnoteReference w:id="101"/>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w:t>
      </w:r>
      <w:r w:rsidRPr="009956C8">
        <w:lastRenderedPageBreak/>
        <w:t xml:space="preserve">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9956C8">
        <w:rPr>
          <w:vertAlign w:val="superscript"/>
        </w:rPr>
        <w:footnoteReference w:id="102"/>
      </w:r>
    </w:p>
    <w:p w14:paraId="356ED45F" w14:textId="77777777" w:rsidR="00AF1BA2" w:rsidRPr="009956C8" w:rsidRDefault="00AF1BA2" w:rsidP="00AF1BA2"/>
    <w:p w14:paraId="43046F46" w14:textId="77D603B8" w:rsidR="0064159E" w:rsidRDefault="00AF1BA2" w:rsidP="00AF1BA2">
      <w:r w:rsidRPr="009956C8">
        <w:t>La diferencia es sutil pero no baladí. Con el indulto se modificaba la pena, se suavizaba, pero con el perdón se regresaba la honra, por ende, alguien que era liberado de la prisión 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103"/>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lastRenderedPageBreak/>
        <w:t>Los grados de perdón: perdón,</w:t>
      </w:r>
      <w:r w:rsidR="00647AB3">
        <w:t xml:space="preserve"> disimulo, apartamiento, olvido.</w:t>
      </w:r>
    </w:p>
    <w:p w14:paraId="12F94284" w14:textId="77777777" w:rsidR="00AF11C2" w:rsidRDefault="00AF11C2" w:rsidP="00090E5A"/>
    <w:p w14:paraId="6E70C344" w14:textId="3289F245" w:rsidR="009956C8" w:rsidRDefault="00526429" w:rsidP="00526429">
      <w:pPr>
        <w:pStyle w:val="Ttulo2"/>
      </w:pPr>
      <w:r>
        <w:t>Conclusión</w:t>
      </w:r>
    </w:p>
    <w:p w14:paraId="484D52AA" w14:textId="2383D8F0" w:rsidR="00526429" w:rsidRPr="00E37837" w:rsidRDefault="00526429" w:rsidP="00E37837">
      <w:r>
        <w:t xml:space="preserve">¿Este modelo de clemencia con fuerte raigambre medieval fue el que llevó a los soldados de los regimientos apostados en Cartagena a hacer el despliegue que llevaron a cabo? Podría responderse que en parte. La comprensión de un orden divino atado al perdón consistía no en una afrenta u oposición a la potestad regia sino, al contrario, la ratificación de su autoridad. El repetido lema “viva el rey, muera el mal gobierno” se esgrimió en sublevaciones y rebeliones por todo el orbe hispánico; la </w:t>
      </w:r>
    </w:p>
    <w:sectPr w:rsidR="00526429" w:rsidRPr="00E3783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E096B" w14:textId="77777777" w:rsidR="00E970AB" w:rsidRDefault="00E970AB" w:rsidP="00B9631D">
      <w:pPr>
        <w:spacing w:line="240" w:lineRule="auto"/>
      </w:pPr>
      <w:r>
        <w:separator/>
      </w:r>
    </w:p>
  </w:endnote>
  <w:endnote w:type="continuationSeparator" w:id="0">
    <w:p w14:paraId="727FB9FE" w14:textId="77777777" w:rsidR="00E970AB" w:rsidRDefault="00E970AB"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631397" w:rsidRDefault="00631397">
        <w:pPr>
          <w:pStyle w:val="Piedepgina"/>
          <w:jc w:val="right"/>
        </w:pPr>
        <w:r>
          <w:fldChar w:fldCharType="begin"/>
        </w:r>
        <w:r>
          <w:instrText>PAGE   \* MERGEFORMAT</w:instrText>
        </w:r>
        <w:r>
          <w:fldChar w:fldCharType="separate"/>
        </w:r>
        <w:r w:rsidR="00157B4F" w:rsidRPr="00157B4F">
          <w:rPr>
            <w:noProof/>
            <w:lang w:val="es-ES"/>
          </w:rPr>
          <w:t>1</w:t>
        </w:r>
        <w:r>
          <w:fldChar w:fldCharType="end"/>
        </w:r>
      </w:p>
    </w:sdtContent>
  </w:sdt>
  <w:p w14:paraId="2E48E8B0" w14:textId="77777777" w:rsidR="00631397" w:rsidRDefault="006313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918D7" w14:textId="77777777" w:rsidR="00E970AB" w:rsidRDefault="00E970AB" w:rsidP="00B9631D">
      <w:pPr>
        <w:spacing w:line="240" w:lineRule="auto"/>
      </w:pPr>
      <w:r>
        <w:separator/>
      </w:r>
    </w:p>
  </w:footnote>
  <w:footnote w:type="continuationSeparator" w:id="0">
    <w:p w14:paraId="44B23BB2" w14:textId="77777777" w:rsidR="00E970AB" w:rsidRDefault="00E970AB" w:rsidP="00B9631D">
      <w:pPr>
        <w:spacing w:line="240" w:lineRule="auto"/>
      </w:pPr>
      <w:r>
        <w:continuationSeparator/>
      </w:r>
    </w:p>
  </w:footnote>
  <w:footnote w:id="1">
    <w:p w14:paraId="5A49ACA1" w14:textId="0756B097" w:rsidR="00631397" w:rsidRDefault="00631397"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411DD3">
        <w:rPr>
          <w:rFonts w:cs="Times New Roman"/>
          <w:szCs w:val="24"/>
        </w:rPr>
        <w:t xml:space="preserve">Juan Marchena Fernández, “Sin temor de rey ni de dios. Violencia, corrupción y crisis de autoridad en la Cartagena colonial”, en </w:t>
      </w:r>
      <w:r w:rsidRPr="00411DD3">
        <w:rPr>
          <w:rFonts w:cs="Times New Roman"/>
          <w:i/>
          <w:iCs/>
          <w:szCs w:val="24"/>
        </w:rPr>
        <w:t>Soldados del Rey. El ejército borbónico en América colonial en vísperas de la independencia</w:t>
      </w:r>
      <w:r w:rsidRPr="00411DD3">
        <w:rPr>
          <w:rFonts w:cs="Times New Roman"/>
          <w:szCs w:val="24"/>
        </w:rPr>
        <w:t xml:space="preserve">, ed. Allan J. Kuethe y Juan Marchena Fernández (Castelló de la Plana: Universitat Jaume I, 2015), 72 y ss; José Manuel Serrano Álvarez, </w:t>
      </w:r>
      <w:r w:rsidRPr="00411DD3">
        <w:rPr>
          <w:rFonts w:cs="Times New Roman"/>
          <w:i/>
          <w:iCs/>
          <w:szCs w:val="24"/>
        </w:rPr>
        <w:t>Fortificaciones y tropas: el gasto militar en tierra firme, 1700-1788</w:t>
      </w:r>
      <w:r w:rsidRPr="00411DD3">
        <w:rPr>
          <w:rFonts w:cs="Times New Roman"/>
          <w:szCs w:val="24"/>
        </w:rPr>
        <w:t xml:space="preserve"> (Sevilla: Universidad de Sevilla, 2004), 133.</w:t>
      </w:r>
      <w:r>
        <w:fldChar w:fldCharType="end"/>
      </w:r>
    </w:p>
  </w:footnote>
  <w:footnote w:id="2">
    <w:p w14:paraId="07548474" w14:textId="6B90884E" w:rsidR="00631397" w:rsidRDefault="00631397"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411DD3">
        <w:rPr>
          <w:rFonts w:cs="Times New Roman"/>
          <w:szCs w:val="24"/>
        </w:rPr>
        <w:t>Marchena Fernández, “Sin temor de rey ni de dios”, 83–93.</w:t>
      </w:r>
      <w:r>
        <w:fldChar w:fldCharType="end"/>
      </w:r>
    </w:p>
  </w:footnote>
  <w:footnote w:id="3">
    <w:p w14:paraId="1910BADC" w14:textId="17B7506A" w:rsidR="00631397" w:rsidRDefault="00631397">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631397" w:rsidRDefault="00631397"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28432BAD" w:rsidR="00631397" w:rsidRDefault="00631397">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411DD3">
        <w:rPr>
          <w:rFonts w:cs="Times New Roman"/>
          <w:szCs w:val="24"/>
        </w:rPr>
        <w:t>Marchena Fernández, “Sin temor de rey ni de dios”, 96.</w:t>
      </w:r>
      <w:r>
        <w:fldChar w:fldCharType="end"/>
      </w:r>
    </w:p>
  </w:footnote>
  <w:footnote w:id="6">
    <w:p w14:paraId="41EA07DD" w14:textId="54841C5F" w:rsidR="00631397" w:rsidRDefault="00631397">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240AD766" w:rsidR="00631397" w:rsidRDefault="00631397">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411DD3">
        <w:rPr>
          <w:rFonts w:cs="Times New Roman"/>
          <w:szCs w:val="24"/>
        </w:rPr>
        <w:t>Marchena Fernández, “Sin temor de rey ni de dios”, 99.</w:t>
      </w:r>
      <w:r>
        <w:fldChar w:fldCharType="end"/>
      </w:r>
    </w:p>
  </w:footnote>
  <w:footnote w:id="8">
    <w:p w14:paraId="5BE44F66" w14:textId="763538F4" w:rsidR="00631397" w:rsidRDefault="00631397">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411DD3">
        <w:rPr>
          <w:rFonts w:cs="Times New Roman"/>
          <w:szCs w:val="24"/>
        </w:rPr>
        <w:t xml:space="preserve">Fernando Martínez Gil y Alfredo Rodríguez González, “Del Barroco a la Ilustración en una fiesta del Antiguo Régimen: el Corpus Christi”, </w:t>
      </w:r>
      <w:r w:rsidRPr="00411DD3">
        <w:rPr>
          <w:rFonts w:cs="Times New Roman"/>
          <w:i/>
          <w:iCs/>
          <w:szCs w:val="24"/>
        </w:rPr>
        <w:t>Cuadernos de Historia Moderna</w:t>
      </w:r>
      <w:r w:rsidRPr="00411DD3">
        <w:rPr>
          <w:rFonts w:cs="Times New Roman"/>
          <w:szCs w:val="24"/>
        </w:rPr>
        <w:t xml:space="preserve"> Anejo I (2002): 151–75, https://doi.org/10.5209/CHMO.23806; Miguel Zugasti, </w:t>
      </w:r>
      <w:r w:rsidRPr="00411DD3">
        <w:rPr>
          <w:rFonts w:cs="Times New Roman"/>
          <w:i/>
          <w:iCs/>
          <w:szCs w:val="24"/>
        </w:rPr>
        <w:t>La alegoría de América en el barroco hispánico: del arte efímero al teatro</w:t>
      </w:r>
      <w:r w:rsidRPr="00411DD3">
        <w:rPr>
          <w:rFonts w:cs="Times New Roman"/>
          <w:szCs w:val="24"/>
        </w:rPr>
        <w:t xml:space="preserve"> (Valencia: Pre-Textos, 2005), 70 y ss.</w:t>
      </w:r>
      <w:r>
        <w:fldChar w:fldCharType="end"/>
      </w:r>
    </w:p>
  </w:footnote>
  <w:footnote w:id="9">
    <w:p w14:paraId="7DD04C24" w14:textId="5AD6DB91" w:rsidR="00631397" w:rsidRDefault="00631397">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11DD3">
        <w:rPr>
          <w:rFonts w:cs="Times New Roman"/>
          <w:szCs w:val="24"/>
        </w:rPr>
        <w:t xml:space="preserve">Pedro Calderón de la Barca, </w:t>
      </w:r>
      <w:r w:rsidRPr="00411DD3">
        <w:rPr>
          <w:rFonts w:cs="Times New Roman"/>
          <w:i/>
          <w:iCs/>
          <w:szCs w:val="24"/>
        </w:rPr>
        <w:t>El indulto general. Edición crítica</w:t>
      </w:r>
      <w:r w:rsidRPr="00411DD3">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216290C3" w:rsidR="00631397" w:rsidRDefault="00631397">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411DD3">
        <w:rPr>
          <w:rFonts w:cs="Times New Roman"/>
          <w:szCs w:val="24"/>
        </w:rPr>
        <w:t>Calderón de la Barca, 107.</w:t>
      </w:r>
      <w:r>
        <w:fldChar w:fldCharType="end"/>
      </w:r>
    </w:p>
  </w:footnote>
  <w:footnote w:id="11">
    <w:p w14:paraId="29205008" w14:textId="713FE0FD" w:rsidR="00631397" w:rsidRDefault="00631397">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411DD3">
        <w:rPr>
          <w:rFonts w:cs="Times New Roman"/>
          <w:szCs w:val="24"/>
        </w:rPr>
        <w:t xml:space="preserve">Julio Rodríguez-Puértolas, “La transposición de la realidad en los autos sacramentales de Lope de Vega”, </w:t>
      </w:r>
      <w:r w:rsidRPr="00411DD3">
        <w:rPr>
          <w:rFonts w:cs="Times New Roman"/>
          <w:i/>
          <w:iCs/>
          <w:szCs w:val="24"/>
        </w:rPr>
        <w:t>Bulletin hispanique</w:t>
      </w:r>
      <w:r w:rsidRPr="00411DD3">
        <w:rPr>
          <w:rFonts w:cs="Times New Roman"/>
          <w:szCs w:val="24"/>
        </w:rPr>
        <w:t xml:space="preserve"> 72, núm. 1 (1970): 96–97, https://doi.org/10.3406/hispa.1970.4008.</w:t>
      </w:r>
      <w:r>
        <w:fldChar w:fldCharType="end"/>
      </w:r>
    </w:p>
  </w:footnote>
  <w:footnote w:id="12">
    <w:p w14:paraId="424D66FD" w14:textId="77830773" w:rsidR="00631397" w:rsidRPr="00201290" w:rsidRDefault="00631397">
      <w:pPr>
        <w:pStyle w:val="Textonotapie"/>
      </w:pPr>
      <w:r>
        <w:rPr>
          <w:rStyle w:val="Refdenotaalpie"/>
        </w:rPr>
        <w:footnoteRef/>
      </w:r>
      <w:r>
        <w:t xml:space="preserve"> Imitación no en el sentido de equiparación con la divinidad sino de ordenar las acciones terrenas acorde con las enseñanzas de dios. </w:t>
      </w:r>
      <w:r w:rsidRPr="00143848">
        <w:rPr>
          <w:highlight w:val="yellow"/>
        </w:rPr>
        <w:t xml:space="preserve">Tomás de Kempis, </w:t>
      </w:r>
      <w:r w:rsidRPr="00143848">
        <w:rPr>
          <w:i/>
          <w:highlight w:val="yellow"/>
        </w:rPr>
        <w:t>De la imitación de Cristo ó menosprecio del mundo</w:t>
      </w:r>
      <w:r>
        <w:rPr>
          <w:i/>
          <w:highlight w:val="yellow"/>
        </w:rPr>
        <w:t xml:space="preserve"> </w:t>
      </w:r>
      <w:r>
        <w:t>[1ª ed. latina 1418]</w:t>
      </w:r>
      <w:r w:rsidRPr="00143848">
        <w:rPr>
          <w:highlight w:val="yellow"/>
        </w:rPr>
        <w:t>, trad. Luis de Granada (Madrid: por la viuda de Barco Lopez, 18</w:t>
      </w:r>
      <w:r>
        <w:rPr>
          <w:highlight w:val="yellow"/>
        </w:rPr>
        <w:t>17</w:t>
      </w:r>
      <w:r w:rsidRPr="00143848">
        <w:rPr>
          <w:highlight w:val="yellow"/>
        </w:rPr>
        <w:t>).</w:t>
      </w:r>
      <w:r>
        <w:t xml:space="preserve">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44FD86A1" w:rsidR="00631397" w:rsidRDefault="00631397">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411DD3">
        <w:rPr>
          <w:rFonts w:cs="Times New Roman"/>
          <w:szCs w:val="24"/>
        </w:rPr>
        <w:t xml:space="preserve">António Manuel Hespanha, </w:t>
      </w:r>
      <w:r w:rsidRPr="00411DD3">
        <w:rPr>
          <w:rFonts w:cs="Times New Roman"/>
          <w:i/>
          <w:iCs/>
          <w:szCs w:val="24"/>
        </w:rPr>
        <w:t>Cultura jurídica europea: síntesis de un milenio</w:t>
      </w:r>
      <w:r w:rsidRPr="00411DD3">
        <w:rPr>
          <w:rFonts w:cs="Times New Roman"/>
          <w:szCs w:val="24"/>
        </w:rPr>
        <w:t>, trad. Isabel Soler y Concepción Valera (Madrid: Tecnos, 2002), 42.</w:t>
      </w:r>
      <w:r>
        <w:fldChar w:fldCharType="end"/>
      </w:r>
    </w:p>
  </w:footnote>
  <w:footnote w:id="14">
    <w:p w14:paraId="4876BA75" w14:textId="3C3703FC" w:rsidR="00631397" w:rsidRDefault="00631397">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411DD3">
        <w:rPr>
          <w:rFonts w:cs="Times New Roman"/>
          <w:szCs w:val="24"/>
        </w:rPr>
        <w:t xml:space="preserve">Pedro Ruiz Torres, </w:t>
      </w:r>
      <w:r w:rsidRPr="00411DD3">
        <w:rPr>
          <w:rFonts w:cs="Times New Roman"/>
          <w:i/>
          <w:iCs/>
          <w:szCs w:val="24"/>
        </w:rPr>
        <w:t>Reformismo e Ilustración</w:t>
      </w:r>
      <w:r w:rsidRPr="00411DD3">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631397" w:rsidRDefault="00631397">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6D5B09E7" w14:textId="240B054D" w:rsidR="00631397" w:rsidRPr="005C4226" w:rsidRDefault="00631397">
      <w:pPr>
        <w:pStyle w:val="Textonotapie"/>
      </w:pPr>
      <w:r>
        <w:rPr>
          <w:rStyle w:val="Refdenotaalpie"/>
        </w:rPr>
        <w:footnoteRef/>
      </w:r>
      <w:r w:rsidRPr="00721094">
        <w:t xml:space="preserve"> </w:t>
      </w:r>
      <w:r>
        <w:fldChar w:fldCharType="begin"/>
      </w:r>
      <w:r>
        <w:instrText xml:space="preserve"> ADDIN ZOTERO_ITEM CSL_CITATION {"citationID":"7XXYuLUq","properties":{"formattedCitation":"Mar\\uc0\\u237{}a Inmaculada Rodr\\uc0\\u237{}guez Flores, {\\i{}El perd\\uc0\\u243{}n real en Castilla (siglos XIII-XVIII)} (Salamanca: Universidad de Salamanca, 1971), 12\\uc0\\u8211{}14; Michel Foucault, {\\i{}Vigilar y castigar: nacimiento de la prisi\\uc0\\u243{}n}, trad. Aurelio Garz\\uc0\\u243{}n del Camino, 2a edici\\uc0\\u243{}n revisada (M\\uc0\\u233{}xico: Siglo Veintiuno, 2015), 64; Mar\\uc0\\u237{}a Paz Alonso Romero y Ant\\uc0\\u243{}nio Manuel Hespanha, \\uc0\\u8220{}Les peines dans les pays ib\\uc0\\u233{}riques (XVIIe-XIXe si\\uc0\\u232{}cles)\\uc0\\u8221{}, en {\\i{}La peine - Punishment. Europe depuis le XVIIIe si\\uc0\\u232{}cle}, vol. 3, Recueils de la Soci\\uc0\\u233{}t\\uc0\\u233{} Jean Bodin pour l\\uc0\\u8217{}Histoire Comparative des Institutions 57 (Bruxelles: De Boeck Universit\\uc0\\u233{}, 1989), 201\\uc0\\u8211{}2; Ant\\uc0\\u243{}nio Manuel Hespanha, \\uc0\\u8220{}De iustitia a disciplina\\uc0\\u8221{}, en {\\i{}La gracia del derecho: econom\\uc0\\u237{}a de la cultura en la edad moderna}, trad. Ana Ca\\uc0\\u241{}ellas Haurie (Madrid: Centro de estudios constitucionales, 1993), 232.","plainCitation":"María Inmaculada Rodríguez Flores, El perdón real en Castilla (siglos XIII-XVIII) (Salamanca: Universidad de Salamanca, 1971), 12–14; Michel Foucault, Vigilar y castigar: nacimiento de la prisión, trad. Aurelio Garzón del Camino, 2a edición revisada (México: Siglo Veintiuno, 2015), 64; María Paz Alonso Romero y António Manuel Hespanha, “Les peines dans les pays ibériques (XVIIe-XIXe siècles)”, en La peine - Punishment. Europe depuis le XVIIIe siècle, vol. 3, Recueils de la Société Jean Bodin pour l’Histoire Comparative des Institutions 57 (Bruxelles: De Boeck Université, 1989), 201–2; António Manuel Hespanha, “De iustitia a disciplina”, en La gracia del derecho: economía de la cultura en la edad moderna, trad. Ana Cañellas Haurie (Madrid: Centro de estudios constitucionales, 1993), 232.","noteIndex":16},"citationItems":[{"id":2654,"uris":["http://zotero.org/users/163570/items/APZE9XAC"],"uri":["http://zotero.org/users/163570/items/APZE9XAC"],"itemData":{"id":2654,"type":"book","title":"El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Inmaculada"}],"issued":{"date-parts":[["1971"]]}},"locator":"12-14","label":"page"},{"id":8219,"uris":["http://zotero.org/users/163570/items/FSB4WV2J"],"uri":["http://zotero.org/users/163570/items/FSB4WV2J"],"itemData":{"id":8219,"type":"book","title":"Vigilar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Camino","given":"Aurelio"}],"issued":{"date-parts":[["2015"]]}},"locator":"64","label":"page"},{"id":8134,"uris":["http://zotero.org/users/163570/items/K4N9M6GT"],"uri":["http://zotero.org/users/163570/items/K4N9M6GT"],"itemData":{"id":8134,"type":"chapter","title":"Les peines dans les pays ibériques (XVIIe-XIXe siècles)","container-title":"La peine - Punishment. Europe depuis le XVIIIe siècle","collection-title":"Recueils de la Société Jean Bodin pour l'Histoire Comparative des Institutions","collection-number":"57","publisher":"De Boeck Université","publisher-place":"Bruxelles","page":"195-225","volume":"3","source":"Gemeinsamer Bibliotheksverbund ISBN","event-place":"Bruxelles","ISBN":"978-2-8041-1232-5","note":"OCLC: 58575189","shortTitle":"Les peines dans les pays ibériques","language":"Français","author":[{"family":"Alonso Romero","given":"María Paz"},{"family":"Hespanha","given":"António Manuel"}],"issued":{"date-parts":[["1989"]]}},"locator":"201-202","label":"page"},{"id":8287,"uris":["http://zotero.org/users/163570/items/XEIM5I84"],"uri":["http://zotero.org/users/163570/items/XEIM5I84"],"itemData":{"id":8287,"type":"chapter","title":"De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Haurie","given":"Ana"}],"issued":{"date-parts":[["1993"]]}},"locator":"232","label":"page"}],"schema":"https://github.com/citation-style-language/schema/raw/master/csl-citation.json"} </w:instrText>
      </w:r>
      <w:r>
        <w:fldChar w:fldCharType="separate"/>
      </w:r>
      <w:r w:rsidRPr="00411DD3">
        <w:rPr>
          <w:rFonts w:cs="Times New Roman"/>
          <w:szCs w:val="24"/>
        </w:rPr>
        <w:t xml:space="preserve">María Inmaculada Rodríguez Flores, </w:t>
      </w:r>
      <w:r w:rsidRPr="00411DD3">
        <w:rPr>
          <w:rFonts w:cs="Times New Roman"/>
          <w:i/>
          <w:iCs/>
          <w:szCs w:val="24"/>
        </w:rPr>
        <w:t>El perdón real en Castilla (siglos XIII-XVIII)</w:t>
      </w:r>
      <w:r w:rsidRPr="00411DD3">
        <w:rPr>
          <w:rFonts w:cs="Times New Roman"/>
          <w:szCs w:val="24"/>
        </w:rPr>
        <w:t xml:space="preserve"> (Salamanca: Universidad de Salamanca, 1971), 12–14; Michel Foucault, </w:t>
      </w:r>
      <w:r w:rsidRPr="00411DD3">
        <w:rPr>
          <w:rFonts w:cs="Times New Roman"/>
          <w:i/>
          <w:iCs/>
          <w:szCs w:val="24"/>
        </w:rPr>
        <w:t>Vigilar y castigar: nacimiento de la prisión</w:t>
      </w:r>
      <w:r w:rsidRPr="00411DD3">
        <w:rPr>
          <w:rFonts w:cs="Times New Roman"/>
          <w:szCs w:val="24"/>
        </w:rPr>
        <w:t xml:space="preserve">, trad. Aurelio Garzón del Camino, 2a edición revisada (México: Siglo Veintiuno, 2015), 64; María Paz Alonso Romero y António Manuel Hespanha, “Les peines dans les pays ibériques (XVIIe-XIXe siècles)”, en </w:t>
      </w:r>
      <w:r w:rsidRPr="00411DD3">
        <w:rPr>
          <w:rFonts w:cs="Times New Roman"/>
          <w:i/>
          <w:iCs/>
          <w:szCs w:val="24"/>
        </w:rPr>
        <w:t xml:space="preserve">La peine - Punishment. </w:t>
      </w:r>
      <w:r w:rsidRPr="00411DD3">
        <w:rPr>
          <w:rFonts w:cs="Times New Roman"/>
          <w:i/>
          <w:iCs/>
          <w:szCs w:val="24"/>
          <w:lang w:val="fr-FR"/>
        </w:rPr>
        <w:t>Europe depuis le XVIIIe siècle</w:t>
      </w:r>
      <w:r w:rsidRPr="00411DD3">
        <w:rPr>
          <w:rFonts w:cs="Times New Roman"/>
          <w:szCs w:val="24"/>
          <w:lang w:val="fr-FR"/>
        </w:rPr>
        <w:t xml:space="preserve">, vol. 3, Recueils de la Société Jean Bodin pour l’Histoire Comparative des Institutions 57 (Bruxelles: De Boeck Université, 1989), 201–2; António Manuel Hespanha, “De iustitia a disciplina”, en </w:t>
      </w:r>
      <w:r w:rsidRPr="00411DD3">
        <w:rPr>
          <w:rFonts w:cs="Times New Roman"/>
          <w:i/>
          <w:iCs/>
          <w:szCs w:val="24"/>
          <w:lang w:val="fr-FR"/>
        </w:rPr>
        <w:t>La gracia del derecho: economía de la cultura en la edad moderna</w:t>
      </w:r>
      <w:r w:rsidRPr="00411DD3">
        <w:rPr>
          <w:rFonts w:cs="Times New Roman"/>
          <w:szCs w:val="24"/>
          <w:lang w:val="fr-FR"/>
        </w:rPr>
        <w:t xml:space="preserve">, trad. </w:t>
      </w:r>
      <w:r w:rsidRPr="00411DD3">
        <w:rPr>
          <w:rFonts w:cs="Times New Roman"/>
          <w:szCs w:val="24"/>
        </w:rPr>
        <w:t>Ana Cañellas Haurie (Madrid: Centro de estudios constitucionales, 1993), 232.</w:t>
      </w:r>
      <w:r>
        <w:fldChar w:fldCharType="end"/>
      </w:r>
    </w:p>
  </w:footnote>
  <w:footnote w:id="17">
    <w:p w14:paraId="165E1BD0" w14:textId="569F43CA" w:rsidR="00631397" w:rsidRPr="00411DD3" w:rsidRDefault="00631397">
      <w:pPr>
        <w:pStyle w:val="Textonotapie"/>
      </w:pPr>
      <w:r>
        <w:rPr>
          <w:rStyle w:val="Refdenotaalpie"/>
        </w:rPr>
        <w:footnoteRef/>
      </w:r>
      <w:r w:rsidRPr="00411DD3">
        <w:t xml:space="preserve"> </w:t>
      </w:r>
      <w:r>
        <w:fldChar w:fldCharType="begin"/>
      </w:r>
      <w:r w:rsidRPr="00411DD3">
        <w:instrText xml:space="preserve"> ADDIN ZOTERO_ITEM CSL_CITATION {"citationID":"xi4Zwyf4","properties":{"formattedCitation":"Hespanha, \\uc0\\u8220{}De iustitia a disciplina\\uc0\\u8221{}, 233.","plainCitation":"Hespanha, “De iustitia a disciplina”, 233.","noteIndex":17},"citationItems":[{"id":8287,"uris":["http://zotero.org/users/163570/items/XEIM5I84"],"uri":["http://zotero.org/users/163570/items/XEIM5I84"],"itemData":{"id":8287,"type":"chapter","title":"De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Haurie","given":"Ana"}],"issued":{"date-parts":[["1993"]]}},"locator":"233","label":"page"}],"schema":"https://github.com/citation-style-language/schema/raw/master/csl-citation.json"} </w:instrText>
      </w:r>
      <w:r>
        <w:fldChar w:fldCharType="separate"/>
      </w:r>
      <w:r w:rsidRPr="00411DD3">
        <w:rPr>
          <w:rFonts w:cs="Times New Roman"/>
          <w:szCs w:val="24"/>
        </w:rPr>
        <w:t>Hespanha, “De iustitia a disciplina”, 233.</w:t>
      </w:r>
      <w:r>
        <w:fldChar w:fldCharType="end"/>
      </w:r>
    </w:p>
  </w:footnote>
  <w:footnote w:id="18">
    <w:p w14:paraId="55D18CBA" w14:textId="5980DFAF" w:rsidR="00631397" w:rsidRDefault="00631397">
      <w:pPr>
        <w:pStyle w:val="Textonotapie"/>
      </w:pPr>
      <w:r>
        <w:rPr>
          <w:rStyle w:val="Refdenotaalpie"/>
        </w:rPr>
        <w:footnoteRef/>
      </w:r>
      <w:r>
        <w:t xml:space="preserve"> </w:t>
      </w:r>
      <w:r>
        <w:fldChar w:fldCharType="begin"/>
      </w:r>
      <w:r>
        <w:instrText xml:space="preserve"> ADDIN ZOTERO_ITEM CSL_CITATION {"citationID":"YSuFNdbX","properties":{"formattedCitation":"Ant\\uc0\\u243{}nio Manuel Hespanha, \\uc0\\u8220{}La senda amorosa del derecho. Amor y iustitia en el discurso jur\\uc0\\u237{}dico moderno\\uc0\\u8221{}, en {\\i{}Pasiones del jurista. Amor, memoria, melancol\\uc0\\u237{}a, imaginaci\\uc0\\u243{}n}, ed. Carlos Petit, Historia de la sociedad pol\\uc0\\u237{}tica (Madrid: Centro de Estudios Constitucionales, 1997), 37; Alejandro Ag\\uc0\\u252{}ero Nazar, {\\i{}Castigar y perdonar cuando conviene a la Rep\\uc0\\u250{}blica: la justicia penal de C\\uc0\\u243{}rdoba del Tucum\\uc0\\u225{}n, siglos XVII y XVIII} (Madrid: Centro de Estudios Pol\\uc0\\u237{}ticos y Constitucionales, 2008), 145.","plainCitation":"António Manuel Hespanha, “La senda amorosa del derecho. Amor y iustitia en el discurso jurídico moderno”, en Pasiones del jurista. Amor, memoria, melancolía, imaginación, ed. Carlos Petit, Historia de la sociedad política (Madrid: Centro de Estudios Constitucionales, 1997), 37; Alejandro Agüero Nazar, Castigar y perdonar cuando conviene a la República: la justicia penal de Córdoba del Tucumán, siglos XVII y XVIII (Madrid: Centro de Estudios Políticos y Constitucionales, 2008), 145.","noteIndex":18},"citationItems":[{"id":8288,"uris":["http://zotero.org/users/163570/items/NSE92RRB"],"uri":["http://zotero.org/users/163570/items/NSE92RRB"],"itemData":{"id":8288,"type":"chapter","title":"La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37","label":"page"},{"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Nazar","given":"Alejandro"}],"issued":{"date-parts":[["2008"]]}},"locator":"145","label":"page"}],"schema":"https://github.com/citation-style-language/schema/raw/master/csl-citation.json"} </w:instrText>
      </w:r>
      <w:r>
        <w:fldChar w:fldCharType="separate"/>
      </w:r>
      <w:r w:rsidRPr="00411DD3">
        <w:rPr>
          <w:rFonts w:cs="Times New Roman"/>
          <w:szCs w:val="24"/>
        </w:rPr>
        <w:t xml:space="preserve">António Manuel Hespanha, “La senda amorosa del derecho. Amor y iustitia en el discurso jurídico moderno”, en </w:t>
      </w:r>
      <w:r w:rsidRPr="00411DD3">
        <w:rPr>
          <w:rFonts w:cs="Times New Roman"/>
          <w:i/>
          <w:iCs/>
          <w:szCs w:val="24"/>
        </w:rPr>
        <w:t>Pasiones del jurista. Amor, memoria, melancolía, imaginación</w:t>
      </w:r>
      <w:r w:rsidRPr="00411DD3">
        <w:rPr>
          <w:rFonts w:cs="Times New Roman"/>
          <w:szCs w:val="24"/>
        </w:rPr>
        <w:t xml:space="preserve">, ed. Carlos Petit, Historia de la sociedad política (Madrid: Centro de Estudios Constitucionales, 1997), 37; Alejandro Agüero Nazar, </w:t>
      </w:r>
      <w:r w:rsidRPr="00411DD3">
        <w:rPr>
          <w:rFonts w:cs="Times New Roman"/>
          <w:i/>
          <w:iCs/>
          <w:szCs w:val="24"/>
        </w:rPr>
        <w:t>Castigar y perdonar cuando conviene a la República: la justicia penal de Córdoba del Tucumán, siglos XVII y XVIII</w:t>
      </w:r>
      <w:r w:rsidRPr="00411DD3">
        <w:rPr>
          <w:rFonts w:cs="Times New Roman"/>
          <w:szCs w:val="24"/>
        </w:rPr>
        <w:t xml:space="preserve"> (Madrid: Centro de Estudios Políticos y Constitucionales, 2008), 145.</w:t>
      </w:r>
      <w:r>
        <w:fldChar w:fldCharType="end"/>
      </w:r>
    </w:p>
  </w:footnote>
  <w:footnote w:id="19">
    <w:p w14:paraId="113CE3CD" w14:textId="79746876" w:rsidR="00631397" w:rsidRDefault="00631397">
      <w:pPr>
        <w:pStyle w:val="Textonotapie"/>
      </w:pPr>
      <w:r>
        <w:rPr>
          <w:rStyle w:val="Refdenotaalpie"/>
        </w:rPr>
        <w:footnoteRef/>
      </w:r>
      <w:r>
        <w:t xml:space="preserve"> </w:t>
      </w:r>
      <w:r>
        <w:fldChar w:fldCharType="begin"/>
      </w:r>
      <w:r>
        <w:instrText xml:space="preserve"> ADDIN ZOTERO_ITEM CSL_CITATION {"citationID":"6Tu0Z2Lo","properties":{"formattedCitation":"Francisco Tom\\uc0\\u225{}s y Valiente, \\uc0\\u8220{}\\uc0\\u171{}In dubio pro reo\\uc0\\u187{}, libre apreciaci\\uc0\\u243{}n de la prueba y presunci\\uc0\\u243{}n de inocencia\\uc0\\u8221{}, {\\i{}Revista Espa\\uc0\\u241{}ola de Derecho Constitucional}, n\\uc0\\u250{}m. 20 (1987): 12.","plainCitation":"Francisco Tomás y Valiente, “«In dubio pro reo», libre apreciación de la prueba y presunción de inocencia”, Revista Española de Derecho Constitucional, núm. 20 (1987): 12.","noteIndex":19},"citationItems":[{"id":8214,"uris":["http://zotero.org/users/163570/items/6KAVYLUY"],"uri":["http://zotero.org/users/163570/items/6KAVYLUY"],"itemData":{"id":8214,"type":"article-journal","title":"«In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 xml:space="preserve">Francisco Tomás y Valiente, “«In dubio pro reo», libre apreciación de la prueba y presunción de inocencia”, </w:t>
      </w:r>
      <w:r w:rsidRPr="00411DD3">
        <w:rPr>
          <w:rFonts w:cs="Times New Roman"/>
          <w:i/>
          <w:iCs/>
          <w:szCs w:val="24"/>
        </w:rPr>
        <w:t>Revista Española de Derecho Constitucional</w:t>
      </w:r>
      <w:r w:rsidRPr="00411DD3">
        <w:rPr>
          <w:rFonts w:cs="Times New Roman"/>
          <w:szCs w:val="24"/>
        </w:rPr>
        <w:t>, núm. 20 (1987): 12.</w:t>
      </w:r>
      <w:r>
        <w:fldChar w:fldCharType="end"/>
      </w:r>
    </w:p>
  </w:footnote>
  <w:footnote w:id="20">
    <w:p w14:paraId="2346F6FD" w14:textId="212E4381" w:rsidR="00631397" w:rsidRDefault="00631397">
      <w:pPr>
        <w:pStyle w:val="Textonotapie"/>
      </w:pPr>
      <w:r>
        <w:rPr>
          <w:rStyle w:val="Refdenotaalpie"/>
        </w:rPr>
        <w:footnoteRef/>
      </w:r>
      <w:r>
        <w:t xml:space="preserve"> </w:t>
      </w:r>
      <w:r w:rsidRPr="00732D81">
        <w:rPr>
          <w:highlight w:val="yellow"/>
        </w:rPr>
        <w:t xml:space="preserve">Juan de Mariana, </w:t>
      </w:r>
      <w:r w:rsidRPr="00732D81">
        <w:rPr>
          <w:i/>
          <w:iCs/>
          <w:highlight w:val="yellow"/>
        </w:rPr>
        <w:t>La dignidad real y la educación del rey (De rege et regis institutione)</w:t>
      </w:r>
      <w:r w:rsidRPr="00C3030E">
        <w:t>, ed. Luis Sánchez Agesta, Colección Clásicos políticos (Madrid: Centro de E</w:t>
      </w:r>
      <w:r>
        <w:t>studios Constitucionales, 1981), lib. I, cap. I.</w:t>
      </w:r>
    </w:p>
  </w:footnote>
  <w:footnote w:id="21">
    <w:p w14:paraId="4F0D3CDE" w14:textId="77777777" w:rsidR="00631397" w:rsidRDefault="00631397" w:rsidP="00A903F1">
      <w:pPr>
        <w:pStyle w:val="Textonotapie"/>
      </w:pPr>
      <w:r>
        <w:rPr>
          <w:rStyle w:val="Refdenotaalpie"/>
        </w:rPr>
        <w:footnoteRef/>
      </w:r>
      <w:r>
        <w:t xml:space="preserve"> “Perdonar es no castigar a quien consideras digno de castigo; el perdón es la absolución de un castigo merecido.” </w:t>
      </w:r>
      <w:r>
        <w:rPr>
          <w:lang w:val="it-IT"/>
        </w:rPr>
        <w:t>(</w:t>
      </w:r>
      <w:r>
        <w:rPr>
          <w:i/>
          <w:lang w:val="it-IT"/>
        </w:rPr>
        <w:t>Ignoscere autem est, quem iudices puniendum, non punire; venia debitae poenae remissio est.</w:t>
      </w:r>
      <w:r>
        <w:rPr>
          <w:lang w:val="it-IT"/>
        </w:rPr>
        <w:t xml:space="preserve">) </w:t>
      </w:r>
      <w:r>
        <w:t xml:space="preserve">Seneca, </w:t>
      </w:r>
      <w:r>
        <w:rPr>
          <w:lang w:eastAsia="es-MX"/>
        </w:rPr>
        <w:t>“De Clementia”</w:t>
      </w:r>
      <w:r>
        <w:t xml:space="preserve">, Liber II, párr. 7. Tomás de Aquino, </w:t>
      </w:r>
      <w:r>
        <w:rPr>
          <w:lang w:eastAsia="es-MX"/>
        </w:rPr>
        <w:t>“Summa Theologiae”,</w:t>
      </w:r>
      <w:r>
        <w:t xml:space="preserve"> IIª-IIae, q. 157 a. 2 ad 2.</w:t>
      </w:r>
    </w:p>
  </w:footnote>
  <w:footnote w:id="22">
    <w:p w14:paraId="2558BE4C" w14:textId="77777777" w:rsidR="00631397" w:rsidRDefault="00631397" w:rsidP="00732D81">
      <w:pPr>
        <w:pStyle w:val="Textonotapie"/>
      </w:pPr>
      <w:r>
        <w:rPr>
          <w:rStyle w:val="Refdenotaalpie"/>
        </w:rPr>
        <w:footnoteRef/>
      </w:r>
      <w:r>
        <w:t xml:space="preserve"> </w:t>
      </w:r>
      <w:r>
        <w:rPr>
          <w:i/>
        </w:rPr>
        <w:t>Las Siete Partidas</w:t>
      </w:r>
      <w:r>
        <w:t>, P. II, tít. II, l. III</w:t>
      </w:r>
    </w:p>
  </w:footnote>
  <w:footnote w:id="23">
    <w:p w14:paraId="395A255E" w14:textId="1BD21D7A" w:rsidR="00631397" w:rsidRDefault="00631397">
      <w:pPr>
        <w:pStyle w:val="Textonotapie"/>
      </w:pPr>
      <w:r>
        <w:rPr>
          <w:rStyle w:val="Refdenotaalpie"/>
        </w:rPr>
        <w:footnoteRef/>
      </w:r>
      <w:r>
        <w:t xml:space="preserve"> </w:t>
      </w:r>
      <w:r>
        <w:fldChar w:fldCharType="begin"/>
      </w:r>
      <w:r>
        <w:instrText xml:space="preserve"> ADDIN ZOTERO_ITEM CSL_CITATION {"citationID":"erhVvxVz","properties":{"formattedCitation":"Hespanha, \\uc0\\u8220{}La senda amorosa del derecho\\uc0\\u8221{}, 39.","plainCitation":"Hespanha, “La senda amorosa del derecho”, 39.","noteIndex":23},"citationItems":[{"id":8288,"uris":["http://zotero.org/users/163570/items/NSE92RRB"],"uri":["http://zotero.org/users/163570/items/NSE92RRB"],"itemData":{"id":8288,"type":"chapter","title":"La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Manuel"}],"editor":[{"family":"Petit","given":"Carlos"}],"issued":{"date-parts":[["1997"]]}},"locator":"39","label":"page"}],"schema":"https://github.com/citation-style-language/schema/raw/master/csl-citation.json"} </w:instrText>
      </w:r>
      <w:r>
        <w:fldChar w:fldCharType="separate"/>
      </w:r>
      <w:r w:rsidRPr="00411DD3">
        <w:rPr>
          <w:rFonts w:cs="Times New Roman"/>
          <w:szCs w:val="24"/>
        </w:rPr>
        <w:t>Hespanha, “La senda amorosa del derecho”, 39.</w:t>
      </w:r>
      <w:r>
        <w:fldChar w:fldCharType="end"/>
      </w:r>
    </w:p>
  </w:footnote>
  <w:footnote w:id="24">
    <w:p w14:paraId="5A06E80A" w14:textId="77777777" w:rsidR="006B18D9" w:rsidRPr="00F35A64" w:rsidRDefault="006B18D9" w:rsidP="006B18D9">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considerada opuesta a la ley de dios. En buena medida la interpretación de las virtudes, en particular de la prudencia, fue compartida tanto por Maquiavelo como por sus más relevantes opositores en España. </w:t>
      </w:r>
      <w:r>
        <w:fldChar w:fldCharType="begin"/>
      </w:r>
      <w:r>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75–78.","noteIndex":28},"citationItems":[{"id":8255,"uris":["http://zotero.org/users/163570/items/Q4PKIA5Z"],"uri":["http://zotero.org/users/163570/items/Q4PKIA5Z"],"itemData":{"id":8255,"type":"book","title":"The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411DD3">
        <w:rPr>
          <w:rFonts w:cs="Times New Roman"/>
          <w:szCs w:val="24"/>
          <w:lang w:val="en-US"/>
        </w:rPr>
        <w:t xml:space="preserve">Keith David Howard, </w:t>
      </w:r>
      <w:r w:rsidRPr="00411DD3">
        <w:rPr>
          <w:rFonts w:cs="Times New Roman"/>
          <w:i/>
          <w:iCs/>
          <w:szCs w:val="24"/>
          <w:lang w:val="en-US"/>
        </w:rPr>
        <w:t>The Reception of Machiavelli in Early Modern Spain</w:t>
      </w:r>
      <w:r w:rsidRPr="00411DD3">
        <w:rPr>
          <w:rFonts w:cs="Times New Roman"/>
          <w:szCs w:val="24"/>
          <w:lang w:val="en-US"/>
        </w:rPr>
        <w:t>, Colección Tamesis Serie A: Monografías 338 (Woodbridge: Tamesis, 2014), 35–40, 75–78.</w:t>
      </w:r>
      <w:r>
        <w:fldChar w:fldCharType="end"/>
      </w:r>
    </w:p>
  </w:footnote>
  <w:footnote w:id="25">
    <w:p w14:paraId="222BF0BB" w14:textId="60B0B22A" w:rsidR="00631397" w:rsidRDefault="00631397">
      <w:pPr>
        <w:pStyle w:val="Textonotapie"/>
      </w:pPr>
      <w:r>
        <w:rPr>
          <w:rStyle w:val="Refdenotaalpie"/>
        </w:rPr>
        <w:footnoteRef/>
      </w:r>
      <w:r>
        <w:t xml:space="preserve"> </w:t>
      </w:r>
      <w:r w:rsidR="00A82B65" w:rsidRPr="001E0330">
        <w:rPr>
          <w:highlight w:val="yellow"/>
        </w:rPr>
        <w:t xml:space="preserve">Pedro de Ribadeneyra, </w:t>
      </w:r>
      <w:r w:rsidR="00A82B65" w:rsidRPr="001E0330">
        <w:rPr>
          <w:i/>
          <w:highlight w:val="yellow"/>
        </w:rPr>
        <w:t>Tratado de la religión y virtudes que deve tener el Príncipe Christiano, para governar y conservar sus estados</w:t>
      </w:r>
      <w:r w:rsidR="00A82B65" w:rsidRPr="001E0330">
        <w:rPr>
          <w:highlight w:val="yellow"/>
        </w:rPr>
        <w:t xml:space="preserve"> (Amberes: Imprenta plantiniana, 1597)</w:t>
      </w:r>
      <w:r w:rsidR="00A82B65">
        <w:t>, lib. II, cap. XXXV.</w:t>
      </w:r>
    </w:p>
  </w:footnote>
  <w:footnote w:id="26">
    <w:p w14:paraId="28A7CD9E" w14:textId="7C05FA0E" w:rsidR="000E3421" w:rsidRDefault="000E3421">
      <w:pPr>
        <w:pStyle w:val="Textonotapie"/>
      </w:pPr>
      <w:r>
        <w:rPr>
          <w:rStyle w:val="Refdenotaalpie"/>
        </w:rPr>
        <w:footnoteRef/>
      </w:r>
      <w:r>
        <w:t xml:space="preserve"> Mt 5:44.</w:t>
      </w:r>
    </w:p>
  </w:footnote>
  <w:footnote w:id="27">
    <w:p w14:paraId="4A5A103B" w14:textId="3392283D" w:rsidR="00130D3D" w:rsidRDefault="00130D3D">
      <w:pPr>
        <w:pStyle w:val="Textonotapie"/>
      </w:pPr>
      <w:r>
        <w:rPr>
          <w:rStyle w:val="Refdenotaalpie"/>
        </w:rPr>
        <w:footnoteRef/>
      </w:r>
      <w:r>
        <w:t xml:space="preserve"> Lc 6:35.</w:t>
      </w:r>
    </w:p>
  </w:footnote>
  <w:footnote w:id="28">
    <w:p w14:paraId="68E9B7B9" w14:textId="4C3113AB" w:rsidR="00130D3D" w:rsidRPr="00130D3D" w:rsidRDefault="00130D3D">
      <w:pPr>
        <w:pStyle w:val="Textonotapie"/>
      </w:pPr>
      <w:r>
        <w:rPr>
          <w:rStyle w:val="Refdenotaalpie"/>
        </w:rPr>
        <w:footnoteRef/>
      </w:r>
      <w:r>
        <w:t xml:space="preserve"> Juan López de Cuéllar, </w:t>
      </w:r>
      <w:r>
        <w:rPr>
          <w:i/>
        </w:rPr>
        <w:t>Tratado iuridico-politico: practica de indultos</w:t>
      </w:r>
      <w:r>
        <w:t xml:space="preserve"> (Pamplona: por Martín Gregorio de Zabala, 1690), núm. 9.</w:t>
      </w:r>
    </w:p>
  </w:footnote>
  <w:footnote w:id="29">
    <w:p w14:paraId="54F1F3B3" w14:textId="38D8F792" w:rsidR="002F3900" w:rsidRDefault="002F3900">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sidR="00DD5967">
        <w:t xml:space="preserve">, </w:t>
      </w:r>
      <w:r w:rsidR="00DD5967">
        <w:t xml:space="preserve">emp. 22, </w:t>
      </w:r>
      <w:r w:rsidR="00DD5967" w:rsidRPr="00F7244B">
        <w:t>lema “præsidia maiestatis”</w:t>
      </w:r>
      <w:r w:rsidR="00DD5967">
        <w:t>.</w:t>
      </w:r>
    </w:p>
  </w:footnote>
  <w:footnote w:id="30">
    <w:p w14:paraId="306228D9" w14:textId="466E808C" w:rsidR="00631397" w:rsidRDefault="00631397">
      <w:pPr>
        <w:pStyle w:val="Textonotapie"/>
      </w:pPr>
      <w:r>
        <w:rPr>
          <w:rStyle w:val="Refdenotaalpie"/>
        </w:rPr>
        <w:footnoteRef/>
      </w:r>
      <w:r w:rsidRPr="005C4226">
        <w:t xml:space="preserve"> Dicc. </w:t>
      </w:r>
      <w:r>
        <w:t>Etim, Gher-</w:t>
      </w:r>
      <w:r w:rsidRPr="00AC23AE">
        <w:rPr>
          <w:vertAlign w:val="superscript"/>
        </w:rPr>
        <w:t>4</w:t>
      </w:r>
      <w:r>
        <w:t>.</w:t>
      </w:r>
    </w:p>
  </w:footnote>
  <w:footnote w:id="31">
    <w:p w14:paraId="1EF39231" w14:textId="5DE329D8" w:rsidR="00631397" w:rsidRPr="00EE7AF4" w:rsidRDefault="00631397">
      <w:pPr>
        <w:pStyle w:val="Textonotapie"/>
      </w:pPr>
      <w:r>
        <w:rPr>
          <w:rStyle w:val="Refdenotaalpie"/>
        </w:rPr>
        <w:footnoteRef/>
      </w:r>
      <w:r>
        <w:t xml:space="preserve"> El </w:t>
      </w:r>
      <w:r>
        <w:rPr>
          <w:i/>
        </w:rPr>
        <w:t>Vocobolario</w:t>
      </w:r>
      <w:r>
        <w:t xml:space="preserve"> italiano de 1731 enuncia el sentido de </w:t>
      </w:r>
      <w:r>
        <w:rPr>
          <w:i/>
        </w:rPr>
        <w:t>grazia</w:t>
      </w:r>
      <w:r>
        <w:t xml:space="preserve"> como perdón. En cambio, el </w:t>
      </w:r>
      <w:r>
        <w:rPr>
          <w:i/>
        </w:rPr>
        <w:t>Diccionario de autoridades</w:t>
      </w:r>
      <w:r>
        <w:t xml:space="preserve"> tan sólo menciona que la “gracia” refiere también a la idea de benevolencia o amistad. Sin embargo, el uso común y jurídico de la gracia se mantuvo durante buena parte del siglo y por lo que muestran los análisis léxicos, sólo pierde vigencia en las últimas décadas del siglo XVIII.</w:t>
      </w:r>
    </w:p>
  </w:footnote>
  <w:footnote w:id="32">
    <w:p w14:paraId="6AC8EF8F" w14:textId="10EF25D3" w:rsidR="00631397" w:rsidRDefault="00631397">
      <w:pPr>
        <w:pStyle w:val="Textonotapie"/>
      </w:pPr>
      <w:r>
        <w:rPr>
          <w:rStyle w:val="Refdenotaalpie"/>
        </w:rPr>
        <w:footnoteRef/>
      </w:r>
      <w:r w:rsidRPr="006B38EA">
        <w:t xml:space="preserve"> Juan Eusebio Nieremberg, </w:t>
      </w:r>
      <w:r w:rsidRPr="006B38EA">
        <w:rPr>
          <w:i/>
          <w:highlight w:val="yellow"/>
        </w:rPr>
        <w:t xml:space="preserve">Obras y días. </w:t>
      </w:r>
      <w:r w:rsidRPr="00F96FD3">
        <w:rPr>
          <w:i/>
          <w:highlight w:val="yellow"/>
        </w:rPr>
        <w:t>Manual de señores y príncipes</w:t>
      </w:r>
      <w:r w:rsidRPr="00F96FD3">
        <w:rPr>
          <w:highlight w:val="yellow"/>
        </w:rPr>
        <w:t xml:space="preserve"> (Madrid: </w:t>
      </w:r>
      <w:r>
        <w:rPr>
          <w:highlight w:val="yellow"/>
        </w:rPr>
        <w:t>por la viuda de Alonso Martin</w:t>
      </w:r>
      <w:r w:rsidRPr="00F96FD3">
        <w:rPr>
          <w:highlight w:val="yellow"/>
        </w:rPr>
        <w:t>, 16</w:t>
      </w:r>
      <w:r>
        <w:rPr>
          <w:highlight w:val="yellow"/>
        </w:rPr>
        <w:t>29</w:t>
      </w:r>
      <w:r w:rsidRPr="00F96FD3">
        <w:rPr>
          <w:highlight w:val="yellow"/>
        </w:rPr>
        <w:t>)</w:t>
      </w:r>
      <w:r>
        <w:t>, cap. III.</w:t>
      </w:r>
    </w:p>
  </w:footnote>
  <w:footnote w:id="33">
    <w:p w14:paraId="75EB9207" w14:textId="116005CC" w:rsidR="00631397" w:rsidRPr="00323B53" w:rsidRDefault="00631397">
      <w:pPr>
        <w:pStyle w:val="Textonotapie"/>
      </w:pPr>
      <w:r>
        <w:rPr>
          <w:rStyle w:val="Refdenotaalpie"/>
        </w:rPr>
        <w:footnoteRef/>
      </w:r>
      <w:r>
        <w:t xml:space="preserve"> Castillo de Bovadilla, </w:t>
      </w:r>
      <w:r>
        <w:rPr>
          <w:i/>
        </w:rPr>
        <w:t>Política para corregidores</w:t>
      </w:r>
      <w:r>
        <w:t>, Lib. I, cap. III, núm. 6 y 23.</w:t>
      </w:r>
    </w:p>
  </w:footnote>
  <w:footnote w:id="34">
    <w:p w14:paraId="51A12FDE" w14:textId="79D8C801" w:rsidR="00631397" w:rsidRPr="001E0330" w:rsidRDefault="00631397">
      <w:pPr>
        <w:pStyle w:val="Textonotapie"/>
      </w:pPr>
      <w:r>
        <w:rPr>
          <w:rStyle w:val="Refdenotaalpie"/>
        </w:rPr>
        <w:footnoteRef/>
      </w:r>
      <w:r>
        <w:t xml:space="preserve"> </w:t>
      </w:r>
      <w:r w:rsidRPr="001E0330">
        <w:rPr>
          <w:highlight w:val="yellow"/>
        </w:rPr>
        <w:t xml:space="preserve">Ribadeneyra, </w:t>
      </w:r>
      <w:r w:rsidRPr="001E0330">
        <w:rPr>
          <w:i/>
          <w:highlight w:val="yellow"/>
        </w:rPr>
        <w:t>Tratado de la religión y virtudes</w:t>
      </w:r>
      <w:r>
        <w:t>, 5</w:t>
      </w:r>
    </w:p>
  </w:footnote>
  <w:footnote w:id="35">
    <w:p w14:paraId="1335ECE5" w14:textId="6E7B88AE" w:rsidR="00631397" w:rsidRPr="00C24EFF" w:rsidRDefault="00631397">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36">
    <w:p w14:paraId="448F145B" w14:textId="06E06EDA" w:rsidR="00631397" w:rsidRPr="009A7156" w:rsidRDefault="00631397">
      <w:pPr>
        <w:pStyle w:val="Textonotapie"/>
      </w:pPr>
      <w:r>
        <w:rPr>
          <w:rStyle w:val="Refdenotaalpie"/>
        </w:rPr>
        <w:footnoteRef/>
      </w:r>
      <w:r>
        <w:t xml:space="preserve"> </w:t>
      </w:r>
      <w:r w:rsidRPr="00C3030E">
        <w:t xml:space="preserve">Juan de Mariana, </w:t>
      </w:r>
      <w:r w:rsidRPr="00C3030E">
        <w:rPr>
          <w:i/>
          <w:iCs/>
        </w:rPr>
        <w:t>La dignidad real</w:t>
      </w:r>
      <w:r>
        <w:t xml:space="preserve">,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37">
    <w:p w14:paraId="0835D4FA" w14:textId="77469138" w:rsidR="00631397" w:rsidRDefault="00631397">
      <w:pPr>
        <w:pStyle w:val="Textonotapie"/>
      </w:pPr>
      <w:r>
        <w:rPr>
          <w:rStyle w:val="Refdenotaalpie"/>
        </w:rPr>
        <w:footnoteRef/>
      </w:r>
      <w:r>
        <w:t xml:space="preserve"> Ribadeneyra, </w:t>
      </w:r>
      <w:r>
        <w:rPr>
          <w:i/>
        </w:rPr>
        <w:t>Tratado de la religión y las virtudes</w:t>
      </w:r>
      <w:r>
        <w:t>, lib. II, cap. IX.</w:t>
      </w:r>
    </w:p>
  </w:footnote>
  <w:footnote w:id="38">
    <w:p w14:paraId="2A69C54E" w14:textId="338B7B54" w:rsidR="00631397" w:rsidRDefault="00631397">
      <w:pPr>
        <w:pStyle w:val="Textonotapie"/>
      </w:pPr>
      <w:r>
        <w:rPr>
          <w:rStyle w:val="Refdenotaalpie"/>
        </w:rPr>
        <w:footnoteRef/>
      </w:r>
      <w:r>
        <w:t xml:space="preserve"> Véase el “sentido estricto” del indulto según </w:t>
      </w:r>
      <w:r>
        <w:fldChar w:fldCharType="begin"/>
      </w:r>
      <w:r>
        <w:instrText xml:space="preserve"> ADDIN ZOTERO_ITEM CSL_CITATION {"citationID":"LXvsdfe3","properties":{"formattedCitation":"Rodr\\uc0\\u237{}guez Flores, {\\i{}El perd\\uc0\\u243{}n real}, 15.","plainCitation":"Rodríguez Flores, El perdón real, 15.","noteIndex":33},"citationItems":[{"id":2654,"uris":["http://zotero.org/users/163570/items/APZE9XAC"],"uri":["http://zotero.org/users/163570/items/APZE9XAC"],"itemData":{"id":2654,"type":"book","title":"El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15.</w:t>
      </w:r>
      <w:r>
        <w:fldChar w:fldCharType="end"/>
      </w:r>
    </w:p>
  </w:footnote>
  <w:footnote w:id="39">
    <w:p w14:paraId="735C36CF" w14:textId="3B1163EC" w:rsidR="00631397" w:rsidRPr="0047499D" w:rsidRDefault="00631397">
      <w:pPr>
        <w:pStyle w:val="Textonotapie"/>
      </w:pPr>
      <w:r>
        <w:rPr>
          <w:rStyle w:val="Refdenotaalpie"/>
        </w:rPr>
        <w:footnoteRef/>
      </w:r>
      <w:r>
        <w:t xml:space="preserve"> Acerca de las acciones indebidas de los magistrados véase </w:t>
      </w:r>
      <w:r>
        <w:fldChar w:fldCharType="begin"/>
      </w:r>
      <w:r>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723.","noteIndex":34},"citationItems":[{"id":3373,"uris":["http://zotero.org/users/163570/items/5RFI5HKQ"],"uri":["http://zotero.org/users/163570/items/5RFI5HKQ"],"itemData":{"id":3373,"type":"chapter","title":"Las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11DD3">
        <w:rPr>
          <w:rFonts w:cs="Times New Roman"/>
          <w:szCs w:val="24"/>
        </w:rPr>
        <w:t xml:space="preserve">Carlos Garriga Acosta, “Las Audiencias: la justicia y el gobierno de las Indias”, en </w:t>
      </w:r>
      <w:r w:rsidRPr="00411DD3">
        <w:rPr>
          <w:rFonts w:cs="Times New Roman"/>
          <w:i/>
          <w:iCs/>
          <w:szCs w:val="24"/>
        </w:rPr>
        <w:t>El gobierno de un mundo, virreinatos y audiencias en la América hispánica</w:t>
      </w:r>
      <w:r w:rsidRPr="00411DD3">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instrText xml:space="preserve"> ADDIN ZOTERO_ITEM CSL_CITATION {"citationID":"v90I5hao","properties":{"formattedCitation":"Carlos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90\\uc0\\u8211{}99.","plainCitation":"Carlos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90–99.","noteIndex":34},"citationItems":[{"id":8215,"uris":["http://zotero.org/users/163570/items/7K7GNDCS"],"uri":["http://zotero.org/users/163570/items/7K7GNDCS"],"itemData":{"id":8215,"type":"chapter","title":"Justicia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Pr="00411DD3">
        <w:rPr>
          <w:rFonts w:cs="Times New Roman"/>
          <w:szCs w:val="24"/>
        </w:rPr>
        <w:t xml:space="preserve">Carlos Garriga Acosta, “Justicia animada: dispositivos de la justicia en la monarquía católica”,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40">
    <w:p w14:paraId="4CCEBF02" w14:textId="0427BD97" w:rsidR="00631397" w:rsidRDefault="00631397">
      <w:pPr>
        <w:pStyle w:val="Textonotapie"/>
      </w:pPr>
      <w:r>
        <w:rPr>
          <w:rStyle w:val="Refdenotaalpie"/>
        </w:rPr>
        <w:footnoteRef/>
      </w:r>
      <w:r>
        <w:t xml:space="preserve"> Anteriormente el tratadista aclaró que el temor de dios que constriñe al príncipe, al juez y al gobernador es filial, es decir, que teme por amor y no por miedo al castigo. En este sentido la relación de temor-amor entre las potestades y la divinidad es de diferente naturaleza a la de los vasallos y los gobernantes. Castillo de Bovadilla, </w:t>
      </w:r>
      <w:r>
        <w:rPr>
          <w:i/>
        </w:rPr>
        <w:t>Política para corregidores</w:t>
      </w:r>
      <w:r>
        <w:t>, Lib. I, cap. III, núm. 27</w:t>
      </w:r>
    </w:p>
  </w:footnote>
  <w:footnote w:id="41">
    <w:p w14:paraId="0B95ACCE" w14:textId="03A1026C" w:rsidR="00631397" w:rsidRPr="006102A2" w:rsidRDefault="00631397">
      <w:pPr>
        <w:pStyle w:val="Textonotapie"/>
      </w:pPr>
      <w:r>
        <w:rPr>
          <w:rStyle w:val="Refdenotaalpie"/>
        </w:rPr>
        <w:footnoteRef/>
      </w:r>
      <w:r>
        <w:t xml:space="preserve"> Castillo de Bovadilla, Lib. I, cap. III, núm. 51.</w:t>
      </w:r>
    </w:p>
  </w:footnote>
  <w:footnote w:id="42">
    <w:p w14:paraId="6C560A05" w14:textId="12F92BE5" w:rsidR="00631397" w:rsidRPr="00D215CF" w:rsidRDefault="00631397"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D61588">
        <w:rPr>
          <w:i/>
        </w:rPr>
        <w:t>Obras y días</w:t>
      </w:r>
      <w:r w:rsidRPr="00D61588">
        <w:t>,</w:t>
      </w:r>
      <w:r>
        <w:t xml:space="preserve"> Cap. XVI.</w:t>
      </w:r>
    </w:p>
  </w:footnote>
  <w:footnote w:id="43">
    <w:p w14:paraId="6979BDE5" w14:textId="7019D9D5" w:rsidR="00631397" w:rsidRPr="004F2AE6" w:rsidRDefault="00631397" w:rsidP="00F65E56">
      <w:pPr>
        <w:pStyle w:val="Textonotapie"/>
      </w:pPr>
      <w:r>
        <w:rPr>
          <w:rStyle w:val="Refdenotaalpie"/>
        </w:rPr>
        <w:footnoteRef/>
      </w:r>
      <w:r w:rsidRPr="00D23EB3">
        <w:t xml:space="preserve"> “</w:t>
      </w:r>
      <w:r w:rsidRPr="00D23EB3">
        <w:rPr>
          <w:i/>
        </w:rPr>
        <w:t>Clementia est temperantia animi in potestate ulciscendi vel lenitas superioris adversus inferiorem in constituendis poenis</w:t>
      </w:r>
      <w:r w:rsidRPr="00D23EB3">
        <w:t xml:space="preserve">.” </w:t>
      </w:r>
      <w:r>
        <w:t>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44">
    <w:p w14:paraId="0DDAD7A7" w14:textId="10CD7846" w:rsidR="00631397" w:rsidRDefault="00631397">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IV.","noteIndex":39},"citationItems":[{"id":8143,"uris":["http://zotero.org/users/163570/items/BA2QIUT3"],"uri":["http://zotero.org/users/163570/items/BA2QIUT3"],"itemData":{"id":8143,"type":"thesis","title":"Las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411DD3">
        <w:rPr>
          <w:rFonts w:cs="Times New Roman"/>
          <w:szCs w:val="24"/>
        </w:rPr>
        <w:t>Margarita Freixas Alas, “Las autoridades en el primer diccionario de la Real Academia Española” (Universitat Autònoma de Barcelona, 2003), cap. VI y Anexo IV.</w:t>
      </w:r>
      <w:r>
        <w:fldChar w:fldCharType="end"/>
      </w:r>
    </w:p>
  </w:footnote>
  <w:footnote w:id="45">
    <w:p w14:paraId="501A1615" w14:textId="0704232D" w:rsidR="00631397" w:rsidRPr="00265A20" w:rsidRDefault="00631397">
      <w:pPr>
        <w:pStyle w:val="Textonotapie"/>
      </w:pPr>
      <w:r>
        <w:rPr>
          <w:rStyle w:val="Refdenotaalpie"/>
        </w:rPr>
        <w:footnoteRef/>
      </w:r>
      <w:r>
        <w:t xml:space="preserv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46">
    <w:p w14:paraId="66F64105" w14:textId="77777777" w:rsidR="00631397" w:rsidRPr="00515929" w:rsidRDefault="00631397"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47">
    <w:p w14:paraId="4944A0CE" w14:textId="0485C1C9" w:rsidR="00631397" w:rsidRPr="00827997" w:rsidRDefault="00631397" w:rsidP="00D10A0A">
      <w:pPr>
        <w:pStyle w:val="Textonotapie"/>
      </w:pPr>
      <w:r w:rsidRPr="002B6C75">
        <w:rPr>
          <w:rStyle w:val="Refdenotaalpie"/>
        </w:rPr>
        <w:footnoteRef/>
      </w:r>
      <w:r>
        <w:t xml:space="preserve"> </w:t>
      </w:r>
      <w:r>
        <w:fldChar w:fldCharType="begin"/>
      </w:r>
      <w:r>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249.","noteIndex":42},"citationItems":[{"id":6282,"uris":["http://zotero.org/users/163570/items/XWZB3NWU"],"uri":["http://zotero.org/users/163570/items/XWZB3NWU"],"itemData":{"id":6282,"type":"book","title":"El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411DD3">
        <w:rPr>
          <w:rFonts w:cs="Times New Roman"/>
          <w:szCs w:val="24"/>
        </w:rPr>
        <w:t xml:space="preserve">Javier Barrientos Grandon, </w:t>
      </w:r>
      <w:r w:rsidRPr="00411DD3">
        <w:rPr>
          <w:rFonts w:cs="Times New Roman"/>
          <w:i/>
          <w:iCs/>
          <w:szCs w:val="24"/>
        </w:rPr>
        <w:t>El gobierno de las Indias</w:t>
      </w:r>
      <w:r w:rsidRPr="00411DD3">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48">
    <w:p w14:paraId="2C2837B2" w14:textId="3863E5C7" w:rsidR="00631397" w:rsidRDefault="00631397"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49">
    <w:p w14:paraId="4D5531B0" w14:textId="7AE25A4D" w:rsidR="00631397" w:rsidRDefault="00631397">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50">
    <w:p w14:paraId="10D30FAE" w14:textId="5AB129B7" w:rsidR="00631397" w:rsidRDefault="00631397">
      <w:pPr>
        <w:pStyle w:val="Textonotapie"/>
      </w:pPr>
      <w:r>
        <w:rPr>
          <w:rStyle w:val="Refdenotaalpie"/>
        </w:rPr>
        <w:footnoteRef/>
      </w:r>
      <w:r>
        <w:t xml:space="preserve"> </w:t>
      </w:r>
      <w:r w:rsidRPr="00323B53">
        <w:t xml:space="preserve">Castillo de Bovadilla, </w:t>
      </w:r>
      <w:r w:rsidRPr="00323B53">
        <w:rPr>
          <w:i/>
        </w:rPr>
        <w:t>Política para corregidores</w:t>
      </w:r>
      <w:r w:rsidRPr="00323B53">
        <w:t>, Lib. II, cap. II, núm. 63-64.</w:t>
      </w:r>
      <w:r>
        <w:t xml:space="preserve"> </w:t>
      </w:r>
    </w:p>
  </w:footnote>
  <w:footnote w:id="51">
    <w:p w14:paraId="4290A584" w14:textId="24DC2ED9" w:rsidR="00631397" w:rsidRPr="004D5E2F" w:rsidRDefault="00631397" w:rsidP="004A499C">
      <w:pPr>
        <w:pStyle w:val="Textonotapie"/>
      </w:pPr>
      <w:r w:rsidRPr="002B6C75">
        <w:rPr>
          <w:rStyle w:val="Refdenotaalpie"/>
        </w:rPr>
        <w:footnoteRef/>
      </w:r>
      <w:r>
        <w:t xml:space="preserve"> </w:t>
      </w:r>
      <w:r w:rsidRPr="00B9631D">
        <w:t>“</w:t>
      </w:r>
      <w:r w:rsidRPr="00FB1454">
        <w:rPr>
          <w:i/>
        </w:rPr>
        <w:t>Misericordia, et veritas, custodiunt Regem, et roboratur clementia thronus illius.</w:t>
      </w:r>
      <w:r w:rsidRPr="00B9631D">
        <w:t>”</w:t>
      </w:r>
      <w:r>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 xml:space="preserve"> y es citada por Juan López de Cuéllar, </w:t>
      </w:r>
      <w:r>
        <w:rPr>
          <w:i/>
        </w:rPr>
        <w:t>Tratado iuridico-politico</w:t>
      </w:r>
      <w:r>
        <w:t>, núm. 26, “Y á quien deben los Soberanos su mayor defensa, y la duración de sus monarquías.”</w:t>
      </w:r>
    </w:p>
  </w:footnote>
  <w:footnote w:id="52">
    <w:p w14:paraId="422AA2D4" w14:textId="1405477B" w:rsidR="00631397" w:rsidRDefault="00631397"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53">
    <w:p w14:paraId="1DFED9C9" w14:textId="165093ED" w:rsidR="00631397" w:rsidRPr="00E342B0" w:rsidRDefault="00631397">
      <w:pPr>
        <w:pStyle w:val="Textonotapie"/>
        <w:rPr>
          <w:lang w:val="it-IT"/>
        </w:rPr>
      </w:pPr>
      <w:r>
        <w:rPr>
          <w:rStyle w:val="Refdenotaalpie"/>
        </w:rPr>
        <w:footnoteRef/>
      </w:r>
      <w:r>
        <w:t xml:space="preserve"> “Clementiam itaque Princeps quodammodo divinitatem decorem, ac pulchritudinem assequitur, in exemplat ad imitandum sibi Deum constituit, subditorum observantiam, &amp; amorem sibi conciliat, securitatem sibi parat, médium efficacissimum ad prohibitendum mala sibi comparat.” </w:t>
      </w:r>
      <w:r w:rsidRPr="00E342B0">
        <w:rPr>
          <w:lang w:val="it-IT"/>
        </w:rPr>
        <w:t xml:space="preserve">Garsia Mastrillo, </w:t>
      </w:r>
      <w:r w:rsidRPr="00E342B0">
        <w:rPr>
          <w:i/>
          <w:lang w:val="it-IT"/>
        </w:rPr>
        <w:t>Ad indultum generale</w:t>
      </w:r>
      <w:r w:rsidRPr="00E342B0">
        <w:rPr>
          <w:lang w:val="it-IT"/>
        </w:rPr>
        <w:t xml:space="preserve"> (Palermo: Apud Franciscum Ciottum Venetum, 1616)</w:t>
      </w:r>
      <w:r>
        <w:rPr>
          <w:lang w:val="it-IT"/>
        </w:rPr>
        <w:t>, prohemium.</w:t>
      </w:r>
    </w:p>
  </w:footnote>
  <w:footnote w:id="54">
    <w:p w14:paraId="78B56BBD" w14:textId="354A2DFC" w:rsidR="00631397" w:rsidRPr="00AA0E9B" w:rsidRDefault="00631397"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55">
    <w:p w14:paraId="62F331DC" w14:textId="7A5FE51E" w:rsidR="00631397" w:rsidRPr="00AA0E9B" w:rsidRDefault="00631397"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56">
    <w:p w14:paraId="26CCBD09" w14:textId="19577DAF" w:rsidR="00631397" w:rsidRPr="00734344" w:rsidRDefault="00631397"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57">
    <w:p w14:paraId="669686E5" w14:textId="77777777" w:rsidR="00631397" w:rsidRPr="00137320" w:rsidRDefault="00631397"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58">
    <w:p w14:paraId="37C1F667" w14:textId="610044F4" w:rsidR="00631397" w:rsidRDefault="00631397" w:rsidP="000B2B9E">
      <w:pPr>
        <w:pStyle w:val="Textonotapie"/>
      </w:pPr>
      <w:r>
        <w:rPr>
          <w:rStyle w:val="Refdenotaalpie"/>
        </w:rPr>
        <w:footnoteRef/>
      </w:r>
      <w:r>
        <w:t xml:space="preserve"> </w:t>
      </w:r>
      <w:r>
        <w:fldChar w:fldCharType="begin"/>
      </w:r>
      <w:r>
        <w:instrText xml:space="preserve"> ADDIN ZOTERO_ITEM CSL_CITATION {"citationID":"yYCHYdV9","properties":{"formattedCitation":"Tom\\uc0\\u225{}s y Valiente, \\uc0\\u8220{}\\uc0\\u171{}In dubio pro reo\\uc0\\u187{}\\uc0\\u8221{}, 14.","plainCitation":"Tomás y Valiente, “«In dubio pro reo»”, 14.","noteIndex":53},"citationItems":[{"id":8214,"uris":["http://zotero.org/users/163570/items/6KAVYLUY"],"uri":["http://zotero.org/users/163570/items/6KAVYLUY"],"itemData":{"id":8214,"type":"article-journal","title":"«In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411DD3">
        <w:rPr>
          <w:rFonts w:cs="Times New Roman"/>
          <w:szCs w:val="24"/>
        </w:rPr>
        <w:t>Tomás y Valiente, “«In dubio pro reo»”,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201.","noteIndex":53},"citationItems":[{"id":8216,"uris":["http://zotero.org/users/163570/items/UAKUXGM3"],"uri":["http://zotero.org/users/163570/items/UAKUXGM3"],"itemData":{"id":8216,"type":"article-journal","title":"El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411DD3">
        <w:rPr>
          <w:rFonts w:cs="Times New Roman"/>
          <w:szCs w:val="24"/>
        </w:rPr>
        <w:t xml:space="preserve">María Paz Alonso Romero, “El proceso penal en la Castilla Moderna”, </w:t>
      </w:r>
      <w:r w:rsidRPr="00411DD3">
        <w:rPr>
          <w:rFonts w:cs="Times New Roman"/>
          <w:i/>
          <w:iCs/>
          <w:szCs w:val="24"/>
        </w:rPr>
        <w:t>Estudis: Revista de historia moderna</w:t>
      </w:r>
      <w:r w:rsidRPr="00411DD3">
        <w:rPr>
          <w:rFonts w:cs="Times New Roman"/>
          <w:szCs w:val="24"/>
        </w:rPr>
        <w:t>, núm. 22 (1996): 201.</w:t>
      </w:r>
      <w:r>
        <w:fldChar w:fldCharType="end"/>
      </w:r>
    </w:p>
  </w:footnote>
  <w:footnote w:id="59">
    <w:p w14:paraId="2716A6E2" w14:textId="2BED9B7D" w:rsidR="00631397" w:rsidRDefault="00631397" w:rsidP="000B2B9E">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9–10.","noteIndex":53},"citationItems":[{"id":8192,"uris":["http://zotero.org/users/163570/items/AY4587QQ"],"uri":["http://zotero.org/users/163570/items/AY4587QQ"],"itemData":{"id":8192,"type":"book","title":"El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411DD3">
        <w:rPr>
          <w:rFonts w:cs="Times New Roman"/>
          <w:szCs w:val="24"/>
        </w:rPr>
        <w:t xml:space="preserve">Calderón de la Barca, </w:t>
      </w:r>
      <w:r w:rsidRPr="00411DD3">
        <w:rPr>
          <w:rFonts w:cs="Times New Roman"/>
          <w:i/>
          <w:iCs/>
          <w:szCs w:val="24"/>
        </w:rPr>
        <w:t>El indulto general</w:t>
      </w:r>
      <w:r w:rsidRPr="00411DD3">
        <w:rPr>
          <w:rFonts w:cs="Times New Roman"/>
          <w:szCs w:val="24"/>
        </w:rPr>
        <w:t>, 9–10.</w:t>
      </w:r>
      <w:r>
        <w:fldChar w:fldCharType="end"/>
      </w:r>
    </w:p>
  </w:footnote>
  <w:footnote w:id="60">
    <w:p w14:paraId="2B0D014C" w14:textId="63601410" w:rsidR="00631397" w:rsidRDefault="00631397" w:rsidP="000B2B9E">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12–13.","noteIndex":55},"citationItems":[{"id":8214,"uris":["http://zotero.org/users/163570/items/6KAVYLUY"],"uri":["http://zotero.org/users/163570/items/6KAVYLUY"],"itemData":{"id":8214,"type":"article-journal","title":"«In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411DD3">
        <w:rPr>
          <w:rFonts w:cs="Times New Roman"/>
          <w:szCs w:val="24"/>
        </w:rPr>
        <w:t>Tomás y Valiente, “«In dubio pro reo»”, 12–13.</w:t>
      </w:r>
      <w:r>
        <w:fldChar w:fldCharType="end"/>
      </w:r>
    </w:p>
  </w:footnote>
  <w:footnote w:id="61">
    <w:p w14:paraId="5CDB52B6" w14:textId="4ED4659F" w:rsidR="00631397" w:rsidRDefault="00631397" w:rsidP="000B2B9E">
      <w:pPr>
        <w:pStyle w:val="Textonotapie"/>
      </w:pPr>
      <w:r>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12.","noteIndex":56},"citationItems":[{"id":8214,"uris":["http://zotero.org/users/163570/items/6KAVYLUY"],"uri":["http://zotero.org/users/163570/items/6KAVYLUY"],"itemData":{"id":8214,"type":"article-journal","title":"«In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Tomás y Valiente, 12.</w:t>
      </w:r>
      <w:r>
        <w:fldChar w:fldCharType="end"/>
      </w:r>
    </w:p>
  </w:footnote>
  <w:footnote w:id="62">
    <w:p w14:paraId="6500F0C6" w14:textId="77777777" w:rsidR="00631397" w:rsidRDefault="00631397" w:rsidP="000B2B9E">
      <w:pPr>
        <w:pStyle w:val="Textonotapie"/>
      </w:pPr>
      <w:r>
        <w:rPr>
          <w:rStyle w:val="Refdenotaalpie"/>
        </w:rPr>
        <w:footnoteRef/>
      </w:r>
      <w:r>
        <w:t xml:space="preserve"> Referencia en el original a tres citas bíblicas: Mt 12:7, Sal 106, Pr 3:3.</w:t>
      </w:r>
    </w:p>
  </w:footnote>
  <w:footnote w:id="63">
    <w:p w14:paraId="7021C1E8" w14:textId="769E811D" w:rsidR="00631397" w:rsidRPr="002E634A" w:rsidRDefault="00631397"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w:t>
      </w:r>
    </w:p>
  </w:footnote>
  <w:footnote w:id="64">
    <w:p w14:paraId="56F0EA9E" w14:textId="05994B8B" w:rsidR="00631397" w:rsidRDefault="00631397">
      <w:pPr>
        <w:pStyle w:val="Textonotapie"/>
      </w:pPr>
      <w:r>
        <w:rPr>
          <w:rStyle w:val="Refdenotaalpie"/>
        </w:rPr>
        <w:footnoteRef/>
      </w:r>
      <w:r>
        <w:t xml:space="preserve"> </w:t>
      </w:r>
      <w:r>
        <w:fldChar w:fldCharType="begin"/>
      </w:r>
      <w:r>
        <w:instrText xml:space="preserve"> ADDIN ZOTERO_ITEM CSL_CITATION {"citationID":"k8Q0v8O2","properties":{"formattedCitation":"Miguel Pino Abad, \\uc0\\u8220{}El recurso de suplicaci\\uc0\\u243{}n en el Consejo de Indias\\uc0\\u8221{}, en {\\i{}Actas del XIX congreso del Instituto Internacional de Historia del Derecho Indiano. Berl\\uc0\\u237{}n 2016.}, ed. Thomas Duve, vol. II, II vols. (Madrid: Dykinson, 2017), 1163\\uc0\\u8211{}83.","plainCitation":"Miguel Pino Abad, “El recurso de suplicación en el Consejo de Indias”, en Actas del XIX congreso del Instituto Internacional de Historia del Derecho Indiano. Berlín 2016., ed. Thomas Duve, vol. II, II vols. (Madrid: Dykinson, 2017), 1163–83.","noteIndex":59},"citationItems":[{"id":8281,"uris":["http://zotero.org/users/163570/items/3MUXUI9U"],"uri":["http://zotero.org/users/163570/items/3MUXUI9U"],"itemData":{"id":8281,"type":"chapter","title":"El recurso de suplicación en el Consejo de Indias","container-title":"Actas del XIX congreso del Instituto Internacional de Historia del Derecho Indiano. Berlín 2016.","publisher":"Dykinson","publisher-place":"Madrid","page":"1163-1183","volume":"II","number-of-volumes":"II","source":"Gemeinsamer Bibliotheksverbund ISBN","event-place":"Madrid","ISBN":"978-84-9148-421-9","note":"OCLC: 1026493914","language":"spa","editor":[{"family":"Duve","given":"Thomas"}],"author":[{"family":"Pino Abad","given":"Miguel"}],"issued":{"date-parts":[["2017"]]}}}],"schema":"https://github.com/citation-style-language/schema/raw/master/csl-citation.json"} </w:instrText>
      </w:r>
      <w:r>
        <w:fldChar w:fldCharType="separate"/>
      </w:r>
      <w:r w:rsidRPr="00411DD3">
        <w:rPr>
          <w:rFonts w:cs="Times New Roman"/>
          <w:szCs w:val="24"/>
        </w:rPr>
        <w:t xml:space="preserve">Miguel Pino Abad, “El recurso de suplicación en el Consejo de Indias”, en </w:t>
      </w:r>
      <w:r w:rsidRPr="00411DD3">
        <w:rPr>
          <w:rFonts w:cs="Times New Roman"/>
          <w:i/>
          <w:iCs/>
          <w:szCs w:val="24"/>
        </w:rPr>
        <w:t>Actas del XIX congreso del Instituto Internacional de Historia del Derecho Indiano. Berlín 2016.</w:t>
      </w:r>
      <w:r w:rsidRPr="00411DD3">
        <w:rPr>
          <w:rFonts w:cs="Times New Roman"/>
          <w:szCs w:val="24"/>
        </w:rPr>
        <w:t>, ed. Thomas Duve, vol. II, II vols. (Madrid: Dykinson, 2017), 1163–83.</w:t>
      </w:r>
      <w:r>
        <w:fldChar w:fldCharType="end"/>
      </w:r>
    </w:p>
  </w:footnote>
  <w:footnote w:id="65">
    <w:p w14:paraId="038FB7BD" w14:textId="71B1901E" w:rsidR="00631397" w:rsidRPr="0042190A" w:rsidRDefault="00631397"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66">
    <w:p w14:paraId="3B8870CD" w14:textId="0753EB86" w:rsidR="00631397" w:rsidRPr="00C44AAB" w:rsidRDefault="00631397"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67">
    <w:p w14:paraId="7C5C4994" w14:textId="77777777" w:rsidR="00631397" w:rsidRPr="001155D2" w:rsidRDefault="00631397"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68">
    <w:p w14:paraId="34A0353E" w14:textId="579493C3" w:rsidR="00631397" w:rsidRPr="00C054C4" w:rsidRDefault="00631397" w:rsidP="008E4E99">
      <w:pPr>
        <w:pStyle w:val="Textonotapie"/>
      </w:pPr>
      <w:r>
        <w:rPr>
          <w:rStyle w:val="Refdenotaalpie"/>
        </w:rPr>
        <w:footnoteRef/>
      </w:r>
      <w:r>
        <w:t xml:space="preserve"> Castillo de Bovadilla, </w:t>
      </w:r>
      <w:r>
        <w:rPr>
          <w:i/>
        </w:rPr>
        <w:t>Politica para corregidores</w:t>
      </w:r>
      <w:r>
        <w:t>,</w:t>
      </w:r>
      <w:r>
        <w:rPr>
          <w:i/>
        </w:rPr>
        <w:t xml:space="preserve"> </w:t>
      </w:r>
      <w:r>
        <w:t xml:space="preserve">lib. II, cap. III, núm. 32. La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69">
    <w:p w14:paraId="0127643E" w14:textId="77777777" w:rsidR="00631397" w:rsidRDefault="00631397" w:rsidP="008E4E99">
      <w:pPr>
        <w:pStyle w:val="Textonotapie"/>
      </w:pPr>
      <w:r>
        <w:rPr>
          <w:rStyle w:val="Refdenotaalpie"/>
        </w:rPr>
        <w:footnoteRef/>
      </w:r>
      <w:r>
        <w:t xml:space="preserve"> Castillo de Bovadilla, lib. III, cap. XII, núm. 7.</w:t>
      </w:r>
    </w:p>
  </w:footnote>
  <w:footnote w:id="70">
    <w:p w14:paraId="5F3D5465" w14:textId="77777777" w:rsidR="00631397" w:rsidRPr="00C05F45" w:rsidRDefault="00631397" w:rsidP="008E4E99">
      <w:pPr>
        <w:pStyle w:val="Textonotapie"/>
      </w:pPr>
      <w:r>
        <w:rPr>
          <w:rStyle w:val="Refdenotaalpie"/>
        </w:rPr>
        <w:footnoteRef/>
      </w:r>
      <w:r>
        <w:t xml:space="preserve"> Castillo de Bovadilla, lib. </w:t>
      </w:r>
      <w:r w:rsidRPr="00F05BA7">
        <w:t xml:space="preserve">III, cap. </w:t>
      </w:r>
      <w:r w:rsidRPr="00C05F45">
        <w:t>XII, núm. 8.</w:t>
      </w:r>
    </w:p>
  </w:footnote>
  <w:footnote w:id="71">
    <w:p w14:paraId="147A2B6E" w14:textId="14CFF7D3" w:rsidR="00631397" w:rsidRPr="003A403C" w:rsidRDefault="00631397" w:rsidP="00D27E44">
      <w:pPr>
        <w:pStyle w:val="Textonotapie"/>
      </w:pPr>
      <w:r w:rsidRPr="002B6C75">
        <w:rPr>
          <w:rStyle w:val="Refdenotaalpie"/>
        </w:rPr>
        <w:footnoteRef/>
      </w:r>
      <w:r w:rsidRPr="00315BAF">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72">
    <w:p w14:paraId="2DE0CAD7" w14:textId="5830E643" w:rsidR="00631397" w:rsidRPr="008E4E99" w:rsidRDefault="00631397"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73">
    <w:p w14:paraId="23D27692" w14:textId="060AE21D" w:rsidR="00631397" w:rsidRPr="000560AE" w:rsidRDefault="00631397"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68},"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411DD3">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74">
    <w:p w14:paraId="5C1B780F" w14:textId="56168A14" w:rsidR="00631397" w:rsidRPr="00185E50" w:rsidRDefault="00631397" w:rsidP="008E4E99">
      <w:pPr>
        <w:pStyle w:val="Textonotapie"/>
      </w:pPr>
      <w:r w:rsidRPr="002B6C75">
        <w:rPr>
          <w:rStyle w:val="Refdenotaalpie"/>
        </w:rPr>
        <w:footnoteRef/>
      </w:r>
      <w:r w:rsidRPr="00766A7E">
        <w:t xml:space="preserve"> </w:t>
      </w:r>
      <w:r w:rsidRPr="00B9631D">
        <w:t>“</w:t>
      </w:r>
      <w:r w:rsidRPr="00766A7E">
        <w:rPr>
          <w:i/>
        </w:rPr>
        <w:t>ut quos non allicit amor, coerceat timor</w:t>
      </w:r>
      <w:r>
        <w:t>.</w:t>
      </w:r>
      <w:r w:rsidRPr="00B9631D">
        <w:t>”</w:t>
      </w:r>
      <w:r w:rsidRPr="00766A7E">
        <w:t xml:space="preserve"> Murillo Velarde, </w:t>
      </w:r>
      <w:r w:rsidRPr="00766A7E">
        <w:rPr>
          <w:i/>
        </w:rPr>
        <w:t>Cursus iuris canonici</w:t>
      </w:r>
      <w:r w:rsidRPr="00766A7E">
        <w:t xml:space="preserve">, L. V, tít. </w:t>
      </w:r>
      <w:r>
        <w:t xml:space="preserve">XXXVII, </w:t>
      </w:r>
      <w:r w:rsidRPr="00F47F3C">
        <w:t>“De pœnis”</w:t>
      </w:r>
      <w:r>
        <w:t>, No. 319.</w:t>
      </w:r>
    </w:p>
  </w:footnote>
  <w:footnote w:id="75">
    <w:p w14:paraId="24D9BA0F" w14:textId="77777777" w:rsidR="00631397" w:rsidRPr="009D2BC9" w:rsidRDefault="00631397"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76">
    <w:p w14:paraId="4FC3866C" w14:textId="77777777" w:rsidR="00631397" w:rsidRPr="00573862" w:rsidRDefault="00631397"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77">
    <w:p w14:paraId="1B08C730" w14:textId="679B4758" w:rsidR="00631397" w:rsidRDefault="00631397"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instrText xml:space="preserve"> ADDIN ZOTERO_ITEM CSL_CITATION {"citationID":"0wHfMMhw","properties":{"formattedCitation":"Rodr\\uc0\\u237{}guez Flores, {\\i{}El perd\\uc0\\u243{}n real}, 14.","plainCitation":"Rodríguez Flores, El perdón real, 14.","noteIndex":72},"citationItems":[{"id":2654,"uris":["http://zotero.org/users/163570/items/APZE9XAC"],"uri":["http://zotero.org/users/163570/items/APZE9XAC"],"itemData":{"id":2654,"type":"book","title":"El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78">
    <w:p w14:paraId="3ACE29C5" w14:textId="7649E927" w:rsidR="00631397" w:rsidRPr="00090E5A" w:rsidRDefault="00631397"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rsidR="00130D3D">
        <w:t>, núm.</w:t>
      </w:r>
      <w:r w:rsidRPr="00912069">
        <w:t xml:space="preserve">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instrText xml:space="preserve"> ADDIN ZOTERO_ITEM CSL_CITATION {"citationID":"fI73Vgkx","properties":{"formattedCitation":"Paolo Prodi, {\\i{}Una historia de la justicia: de la pluralidad de fueros al dualismo moderno entre conciencia y derecho}, trad. Luciano Padilla L\\uc0\\u243{}pez (Madrid: Katz Editores, 2008), 42.","plainCitation":"Paolo Prodi, Una historia de la justicia: de la pluralidad de fueros al dualismo moderno entre conciencia y derecho, trad. Luciano Padilla López (Madrid: Katz Editores, 2008), 42.","noteIndex":73},"citationItems":[{"id":3390,"uris":["http://zotero.org/users/163570/items/C54QSDGR"],"uri":["http://zotero.org/users/163570/items/C54QSDGR"],"itemData":{"id":3390,"type":"book","title":"Una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411DD3">
        <w:rPr>
          <w:rFonts w:cs="Times New Roman"/>
          <w:szCs w:val="24"/>
        </w:rPr>
        <w:t xml:space="preserve">Paolo Prodi, </w:t>
      </w:r>
      <w:r w:rsidRPr="00411DD3">
        <w:rPr>
          <w:rFonts w:cs="Times New Roman"/>
          <w:i/>
          <w:iCs/>
          <w:szCs w:val="24"/>
        </w:rPr>
        <w:t>Una historia de la justicia: de la pluralidad de fueros al dualismo moderno entre conciencia y derecho</w:t>
      </w:r>
      <w:r w:rsidRPr="00411DD3">
        <w:rPr>
          <w:rFonts w:cs="Times New Roman"/>
          <w:szCs w:val="24"/>
        </w:rPr>
        <w:t>, trad. Luciano Padilla López (Madrid: Katz Editores, 2008), 42.</w:t>
      </w:r>
      <w:r>
        <w:fldChar w:fldCharType="end"/>
      </w:r>
    </w:p>
  </w:footnote>
  <w:footnote w:id="79">
    <w:p w14:paraId="1225404A" w14:textId="77777777" w:rsidR="00631397" w:rsidRPr="00273553" w:rsidRDefault="00631397"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80">
    <w:p w14:paraId="3A200291" w14:textId="77777777" w:rsidR="00631397" w:rsidRPr="00B3069B" w:rsidRDefault="00631397"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81">
    <w:p w14:paraId="790F4A8A" w14:textId="0FF357B8" w:rsidR="00631397" w:rsidRPr="000560AE" w:rsidRDefault="00631397"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82">
    <w:p w14:paraId="5AAB967A" w14:textId="77777777" w:rsidR="00631397" w:rsidRPr="008E4E99" w:rsidRDefault="00631397"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83">
    <w:p w14:paraId="4C2507FD" w14:textId="7EC5362D" w:rsidR="00631397" w:rsidRDefault="00631397">
      <w:pPr>
        <w:pStyle w:val="Textonotapie"/>
      </w:pPr>
      <w:r>
        <w:rPr>
          <w:rStyle w:val="Refdenotaalpie"/>
        </w:rPr>
        <w:footnoteRef/>
      </w:r>
      <w:r>
        <w:t xml:space="preserve"> </w:t>
      </w:r>
      <w:r>
        <w:fldChar w:fldCharType="begin"/>
      </w:r>
      <w:r>
        <w:instrText xml:space="preserve"> ADDIN ZOTERO_ITEM CSL_CITATION {"citationID":"HCAKZCRI","properties":{"formattedCitation":"Rodr\\uc0\\u237{}guez Flores, {\\i{}El perd\\uc0\\u243{}n real}, 14.","plainCitation":"Rodríguez Flores, El perdón real, 14.","noteIndex":78},"citationItems":[{"id":2654,"uris":["http://zotero.org/users/163570/items/APZE9XAC"],"uri":["http://zotero.org/users/163570/items/APZE9XAC"],"itemData":{"id":2654,"type":"book","title":"El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84">
    <w:p w14:paraId="11F3A4B0" w14:textId="717BC0A5" w:rsidR="00631397" w:rsidRDefault="00631397">
      <w:pPr>
        <w:pStyle w:val="Textonotapie"/>
      </w:pPr>
      <w:r>
        <w:rPr>
          <w:rStyle w:val="Refdenotaalpie"/>
        </w:rPr>
        <w:footnoteRef/>
      </w:r>
      <w:r>
        <w:t xml:space="preserve"> </w:t>
      </w:r>
      <w:r>
        <w:fldChar w:fldCharType="begin"/>
      </w:r>
      <w:r>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79},"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411DD3">
        <w:rPr>
          <w:rFonts w:cs="Times New Roman"/>
          <w:szCs w:val="24"/>
        </w:rPr>
        <w:t xml:space="preserve">Bartolomé Clavero, “Justicia y gobierno, economía y gracia”, en </w:t>
      </w:r>
      <w:r w:rsidRPr="00411DD3">
        <w:rPr>
          <w:rFonts w:cs="Times New Roman"/>
          <w:i/>
          <w:iCs/>
          <w:szCs w:val="24"/>
        </w:rPr>
        <w:t>Real Chancillería de Granada: V Centenario 1505-2005</w:t>
      </w:r>
      <w:r w:rsidRPr="00411DD3">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85">
    <w:p w14:paraId="5EA2974A" w14:textId="2F81C17C" w:rsidR="00631397" w:rsidRDefault="00631397">
      <w:pPr>
        <w:pStyle w:val="Textonotapie"/>
      </w:pPr>
      <w:r>
        <w:rPr>
          <w:rStyle w:val="Refdenotaalpie"/>
        </w:rPr>
        <w:footnoteRef/>
      </w:r>
      <w:r>
        <w:t xml:space="preserve"> </w:t>
      </w:r>
      <w:r>
        <w:fldChar w:fldCharType="begin"/>
      </w:r>
      <w:r>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67.","noteIndex":80},"citationItems":[{"id":8230,"uris":["http://zotero.org/users/163570/items/TCD7A8EM"],"uri":["http://zotero.org/users/163570/items/TCD7A8EM"],"itemData":{"id":8230,"type":"chapter","title":"Orden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 xml:space="preserve">Carlos Garriga Acosta, “Orden jurídico y poder político en el antiguo régimen”, en </w:t>
      </w:r>
      <w:r w:rsidRPr="00411DD3">
        <w:rPr>
          <w:rFonts w:cs="Times New Roman"/>
          <w:i/>
          <w:iCs/>
          <w:szCs w:val="24"/>
        </w:rPr>
        <w:t>Cádiz, 1812. La Constitución jurisdiccional</w:t>
      </w:r>
      <w:r w:rsidRPr="00411DD3">
        <w:rPr>
          <w:rFonts w:cs="Times New Roman"/>
          <w:szCs w:val="24"/>
        </w:rPr>
        <w:t>, de Carlos Garriga Acosta y Marta Lorente Sariñena, Cuadernos y debates 174 (Madrid: Centro de Estudios Políticos y Constitucionales, 2007), 67.</w:t>
      </w:r>
      <w:r>
        <w:fldChar w:fldCharType="end"/>
      </w:r>
    </w:p>
  </w:footnote>
  <w:footnote w:id="86">
    <w:p w14:paraId="28F2A1EE" w14:textId="419C4726" w:rsidR="00631397" w:rsidRDefault="00631397">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87">
    <w:p w14:paraId="765A4B8A" w14:textId="7CA95054" w:rsidR="00631397" w:rsidRDefault="00631397">
      <w:pPr>
        <w:pStyle w:val="Textonotapie"/>
      </w:pPr>
      <w:r>
        <w:rPr>
          <w:rStyle w:val="Refdenotaalpie"/>
        </w:rPr>
        <w:footnoteRef/>
      </w:r>
      <w:r>
        <w:t xml:space="preserve"> </w:t>
      </w:r>
      <w:r>
        <w:fldChar w:fldCharType="begin"/>
      </w:r>
      <w:r>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45.","noteIndex":82},"citationItems":[{"id":5999,"uris":["http://zotero.org/users/163570/items/HQHICPD6"],"uri":["http://zotero.org/users/163570/items/HQHICPD6"],"itemData":{"id":5999,"type":"chapter","title":"Las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411DD3">
        <w:rPr>
          <w:rFonts w:cs="Times New Roman"/>
          <w:szCs w:val="24"/>
        </w:rPr>
        <w:t xml:space="preserve">Alejandro Agüero Nazar, “Las categorías básicas de la cultura jurisdiccional”,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45.</w:t>
      </w:r>
      <w:r>
        <w:fldChar w:fldCharType="end"/>
      </w:r>
    </w:p>
  </w:footnote>
  <w:footnote w:id="88">
    <w:p w14:paraId="79021727" w14:textId="0D3F2378" w:rsidR="00631397" w:rsidRPr="00BA76C0" w:rsidRDefault="00631397">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89">
    <w:p w14:paraId="0B7D8553" w14:textId="668E525D" w:rsidR="00631397" w:rsidRDefault="00631397">
      <w:pPr>
        <w:pStyle w:val="Textonotapie"/>
      </w:pPr>
      <w:r>
        <w:rPr>
          <w:rStyle w:val="Refdenotaalpie"/>
        </w:rPr>
        <w:footnoteRef/>
      </w:r>
      <w:r>
        <w:t xml:space="preserve"> </w:t>
      </w:r>
      <w:r>
        <w:fldChar w:fldCharType="begin"/>
      </w:r>
      <w:r>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151–76.","noteIndex":84},"citationItems":[{"id":8246,"uris":["http://zotero.org/users/163570/items/YR6E2SPQ"],"uri":["http://zotero.org/users/163570/items/YR6E2SPQ"],"itemData":{"id":8246,"type":"paper-conference","title":"Justicia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411DD3">
        <w:rPr>
          <w:rFonts w:cs="Times New Roman"/>
          <w:szCs w:val="24"/>
        </w:rPr>
        <w:t xml:space="preserve">Clavero, “Justicia y gobierno, economía y gracia”; </w:t>
      </w:r>
      <w:r w:rsidRPr="00411DD3">
        <w:rPr>
          <w:rFonts w:cs="Times New Roman"/>
          <w:i/>
          <w:iCs/>
          <w:szCs w:val="24"/>
        </w:rPr>
        <w:t>Antidora: antropología católica de la economía moderna</w:t>
      </w:r>
      <w:r w:rsidRPr="00411DD3">
        <w:rPr>
          <w:rFonts w:cs="Times New Roman"/>
          <w:szCs w:val="24"/>
        </w:rPr>
        <w:t xml:space="preserve">, Per la storia del pensiero giuridico moderno 39 (Milán: Giuffrè, 1991); António Manuel Hespanha, “La economía de la gracia”, en </w:t>
      </w:r>
      <w:r w:rsidRPr="00411DD3">
        <w:rPr>
          <w:rFonts w:cs="Times New Roman"/>
          <w:i/>
          <w:iCs/>
          <w:szCs w:val="24"/>
        </w:rPr>
        <w:t>La gracia del derecho: economía de la cultura en la edad moderna</w:t>
      </w:r>
      <w:r w:rsidRPr="00411DD3">
        <w:rPr>
          <w:rFonts w:cs="Times New Roman"/>
          <w:szCs w:val="24"/>
        </w:rPr>
        <w:t>, trad. Ana Cañellas Haurie (Madrid: Centro de estudios constitucionales, 1993), 151–76.</w:t>
      </w:r>
      <w:r>
        <w:fldChar w:fldCharType="end"/>
      </w:r>
    </w:p>
  </w:footnote>
  <w:footnote w:id="90">
    <w:p w14:paraId="2CBAA388" w14:textId="0EFDB417" w:rsidR="00631397" w:rsidRDefault="00631397">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91">
    <w:p w14:paraId="4AB2DC3B" w14:textId="28CDFD9B" w:rsidR="00631397" w:rsidRDefault="00631397">
      <w:pPr>
        <w:pStyle w:val="Textonotapie"/>
      </w:pPr>
      <w:r>
        <w:rPr>
          <w:rStyle w:val="Refdenotaalpie"/>
        </w:rPr>
        <w:footnoteRef/>
      </w:r>
      <w:r>
        <w:t xml:space="preserve"> </w:t>
      </w:r>
      <w:r>
        <w:fldChar w:fldCharType="begin"/>
      </w:r>
      <w:r>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315–20.","noteIndex":86},"citationItems":[{"id":8248,"uris":["http://zotero.org/users/163570/items/YEN73JLK"],"uri":["http://zotero.org/users/163570/items/YEN73JLK"],"itemData":{"id":8248,"type":"book","title":"Necesidad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11DD3">
        <w:rPr>
          <w:rFonts w:cs="Times New Roman"/>
          <w:szCs w:val="24"/>
        </w:rPr>
        <w:t xml:space="preserve">Francisco Andújar Castillo, </w:t>
      </w:r>
      <w:r w:rsidRPr="00411DD3">
        <w:rPr>
          <w:rFonts w:cs="Times New Roman"/>
          <w:i/>
          <w:iCs/>
          <w:szCs w:val="24"/>
        </w:rPr>
        <w:t>Necesidad y venalidad: España e Indias 1704-1711</w:t>
      </w:r>
      <w:r w:rsidRPr="00411DD3">
        <w:rPr>
          <w:rFonts w:cs="Times New Roman"/>
          <w:szCs w:val="24"/>
        </w:rPr>
        <w:t>, Colección Historia de la sociedad política (Madrid: Centro de Estudios Políticos y Constitucionales, 2008), 315–20.</w:t>
      </w:r>
      <w:r>
        <w:fldChar w:fldCharType="end"/>
      </w:r>
    </w:p>
  </w:footnote>
  <w:footnote w:id="92">
    <w:p w14:paraId="0B2564F6" w14:textId="453BD1EE" w:rsidR="00631397" w:rsidRDefault="00631397">
      <w:pPr>
        <w:pStyle w:val="Textonotapie"/>
      </w:pPr>
      <w:r>
        <w:rPr>
          <w:rStyle w:val="Refdenotaalpie"/>
        </w:rPr>
        <w:footnoteRef/>
      </w:r>
      <w:r>
        <w:t xml:space="preserve"> Al respecto resalto el trabajo compilatorio de </w:t>
      </w:r>
      <w:r>
        <w:fldChar w:fldCharType="begin"/>
      </w:r>
      <w:r>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2016).","noteIndex":87},"citationItems":[{"id":8250,"uris":["http://zotero.org/users/163570/items/TIWVX7J9"],"uri":["http://zotero.org/users/163570/items/TIWVX7J9"],"itemData":{"id":8250,"type":"book","title":"Mérito,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11DD3">
        <w:rPr>
          <w:rFonts w:cs="Times New Roman"/>
          <w:szCs w:val="24"/>
        </w:rPr>
        <w:t xml:space="preserve">Pilar Ponce Leiva y Francisco Andújar Castillo, eds., </w:t>
      </w:r>
      <w:r w:rsidRPr="00411DD3">
        <w:rPr>
          <w:rFonts w:cs="Times New Roman"/>
          <w:i/>
          <w:iCs/>
          <w:szCs w:val="24"/>
        </w:rPr>
        <w:t>Mérito, venalidad y corrupción en España y América, siglos XVII y XVIII</w:t>
      </w:r>
      <w:r w:rsidRPr="00411DD3">
        <w:rPr>
          <w:rFonts w:cs="Times New Roman"/>
          <w:szCs w:val="24"/>
        </w:rPr>
        <w:t>, Colección Historia de España y su proyección internacional 10 (Valencia: Albatros, 2016).</w:t>
      </w:r>
      <w:r>
        <w:fldChar w:fldCharType="end"/>
      </w:r>
    </w:p>
  </w:footnote>
  <w:footnote w:id="93">
    <w:p w14:paraId="7DD94F36" w14:textId="6DDBEF3B" w:rsidR="00631397" w:rsidRPr="008F36FD" w:rsidRDefault="00631397">
      <w:pPr>
        <w:pStyle w:val="Textonotapie"/>
        <w:rPr>
          <w:lang w:val="fr-FR"/>
        </w:rPr>
      </w:pPr>
      <w:r>
        <w:rPr>
          <w:rStyle w:val="Refdenotaalpie"/>
        </w:rPr>
        <w:footnoteRef/>
      </w:r>
      <w:r w:rsidRPr="008F36FD">
        <w:rPr>
          <w:lang w:val="fr-FR"/>
        </w:rPr>
        <w:t xml:space="preserve"> </w:t>
      </w:r>
      <w:r>
        <w:fldChar w:fldCharType="begin"/>
      </w:r>
      <w:r>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66–69.","noteIndex":88},"citationItems":[{"id":8002,"uris":["http://zotero.org/users/163570/items/GERVJL77"],"uri":["http://zotero.org/users/163570/items/GERVJL77"],"itemData":{"id":8002,"type":"book","title":"Crimes,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411DD3">
        <w:rPr>
          <w:rFonts w:cs="Times New Roman"/>
          <w:szCs w:val="24"/>
          <w:lang w:val="fr-FR"/>
        </w:rPr>
        <w:t xml:space="preserve">Rudy Chaulet, </w:t>
      </w:r>
      <w:r w:rsidRPr="00411DD3">
        <w:rPr>
          <w:rFonts w:cs="Times New Roman"/>
          <w:i/>
          <w:iCs/>
          <w:szCs w:val="24"/>
          <w:lang w:val="fr-FR"/>
        </w:rPr>
        <w:t>Crimes, rixes et bruits d’épées: homicides pardonnés en Castille au siècle d’or</w:t>
      </w:r>
      <w:r w:rsidRPr="00411DD3">
        <w:rPr>
          <w:rFonts w:cs="Times New Roman"/>
          <w:szCs w:val="24"/>
          <w:lang w:val="fr-FR"/>
        </w:rPr>
        <w:t xml:space="preserve">, Espagne médiévale et moderne 11 (Montpellier: Presses Universitaires de la Méditerranée, 2007), 375–76; Rodríguez Flores, </w:t>
      </w:r>
      <w:r w:rsidRPr="00411DD3">
        <w:rPr>
          <w:rFonts w:cs="Times New Roman"/>
          <w:i/>
          <w:iCs/>
          <w:szCs w:val="24"/>
          <w:lang w:val="fr-FR"/>
        </w:rPr>
        <w:t>El perdón real</w:t>
      </w:r>
      <w:r w:rsidRPr="00411DD3">
        <w:rPr>
          <w:rFonts w:cs="Times New Roman"/>
          <w:szCs w:val="24"/>
          <w:lang w:val="fr-FR"/>
        </w:rPr>
        <w:t>, 66–69.</w:t>
      </w:r>
      <w:r>
        <w:fldChar w:fldCharType="end"/>
      </w:r>
    </w:p>
  </w:footnote>
  <w:footnote w:id="94">
    <w:p w14:paraId="5285D108" w14:textId="0854AE40" w:rsidR="00631397" w:rsidRDefault="00631397">
      <w:pPr>
        <w:pStyle w:val="Textonotapie"/>
      </w:pPr>
      <w:r>
        <w:rPr>
          <w:rStyle w:val="Refdenotaalpie"/>
        </w:rPr>
        <w:footnoteRef/>
      </w:r>
      <w:r>
        <w:t xml:space="preserve"> </w:t>
      </w:r>
      <w:r>
        <w:fldChar w:fldCharType="begin"/>
      </w:r>
      <w:r>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249–50.","noteIndex":89},"citationItems":[{"id":8027,"uris":["http://zotero.org/users/163570/items/WNQSRIKP"],"uri":["http://zotero.org/users/163570/items/WNQSRIKP"],"itemData":{"id":8027,"type":"book","title":"La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411DD3">
        <w:rPr>
          <w:rFonts w:cs="Times New Roman"/>
          <w:szCs w:val="24"/>
        </w:rPr>
        <w:t xml:space="preserve">Tamar Herzog, </w:t>
      </w:r>
      <w:r w:rsidRPr="00411DD3">
        <w:rPr>
          <w:rFonts w:cs="Times New Roman"/>
          <w:i/>
          <w:iCs/>
          <w:szCs w:val="24"/>
        </w:rPr>
        <w:t>La administración como un fenómeno social: la justicia penal de la ciudad de Quito (1650 - 1750)</w:t>
      </w:r>
      <w:r w:rsidRPr="00411DD3">
        <w:rPr>
          <w:rFonts w:cs="Times New Roman"/>
          <w:szCs w:val="24"/>
        </w:rPr>
        <w:t>, Historia de la sociedad política (Madrid: Centro de Estudios Constitucionales, 1995), 249–50.</w:t>
      </w:r>
      <w:r>
        <w:fldChar w:fldCharType="end"/>
      </w:r>
    </w:p>
  </w:footnote>
  <w:footnote w:id="95">
    <w:p w14:paraId="782BC615" w14:textId="5AF6F94E" w:rsidR="00631397" w:rsidRDefault="00631397" w:rsidP="003B65A6">
      <w:pPr>
        <w:pStyle w:val="Textonotapie"/>
      </w:pPr>
      <w:r>
        <w:rPr>
          <w:rStyle w:val="Refdenotaalpie"/>
        </w:rPr>
        <w:footnoteRef/>
      </w:r>
      <w:r>
        <w:t xml:space="preserve"> </w:t>
      </w:r>
      <w:r>
        <w:fldChar w:fldCharType="begin"/>
      </w:r>
      <w:r>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67.","noteIndex":90},"citationItems":[{"id":8246,"uris":["http://zotero.org/users/163570/items/YR6E2SPQ"],"uri":["http://zotero.org/users/163570/items/YR6E2SPQ"],"itemData":{"id":8246,"type":"paper-conference","title":"Justicia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Clavero, “Justicia y gobierno, economía y gracia”; Garriga Acosta, “Orden jurídico y poder político”, 67.</w:t>
      </w:r>
      <w:r>
        <w:fldChar w:fldCharType="end"/>
      </w:r>
    </w:p>
  </w:footnote>
  <w:footnote w:id="96">
    <w:p w14:paraId="2CF4D1B5" w14:textId="5F2BB545" w:rsidR="00631397" w:rsidRDefault="00631397">
      <w:pPr>
        <w:pStyle w:val="Textonotapie"/>
      </w:pPr>
      <w:r>
        <w:rPr>
          <w:rStyle w:val="Refdenotaalpie"/>
        </w:rPr>
        <w:footnoteRef/>
      </w:r>
      <w:r>
        <w:t xml:space="preserve"> </w:t>
      </w:r>
      <w:r>
        <w:fldChar w:fldCharType="begin"/>
      </w:r>
      <w:r>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326–27.","noteIndex":91},"citationItems":[{"id":5913,"uris":["http://zotero.org/users/163570/items/2BICB3CT"],"uri":["http://zotero.org/users/163570/items/2BICB3CT"],"itemData":{"id":5913,"type":"article-journal","title":"El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411DD3">
        <w:rPr>
          <w:rFonts w:cs="Times New Roman"/>
          <w:szCs w:val="24"/>
        </w:rPr>
        <w:t xml:space="preserve">Salustiano de Dios, “El ejercicio de la gracia regia en Castilla entre 1250 y 1530, los inicios del Consejo de la Cámara”, </w:t>
      </w:r>
      <w:r w:rsidRPr="00411DD3">
        <w:rPr>
          <w:rFonts w:cs="Times New Roman"/>
          <w:i/>
          <w:iCs/>
          <w:szCs w:val="24"/>
        </w:rPr>
        <w:t>Anuario de historia del derecho español</w:t>
      </w:r>
      <w:r w:rsidRPr="00411DD3">
        <w:rPr>
          <w:rFonts w:cs="Times New Roman"/>
          <w:szCs w:val="24"/>
        </w:rPr>
        <w:t>, núm. 60 (1990): 326–27.</w:t>
      </w:r>
      <w:r>
        <w:fldChar w:fldCharType="end"/>
      </w:r>
    </w:p>
  </w:footnote>
  <w:footnote w:id="97">
    <w:p w14:paraId="50EA41B8" w14:textId="6AA109F4" w:rsidR="00631397" w:rsidRDefault="00631397">
      <w:pPr>
        <w:pStyle w:val="Textonotapie"/>
      </w:pPr>
      <w:r>
        <w:rPr>
          <w:rStyle w:val="Refdenotaalpie"/>
        </w:rPr>
        <w:footnoteRef/>
      </w:r>
      <w:r>
        <w:t xml:space="preserve"> </w:t>
      </w:r>
      <w:r w:rsidRPr="00DD5967">
        <w:t xml:space="preserve">Saavedra Fajardo, </w:t>
      </w:r>
      <w:r w:rsidRPr="00DD5967">
        <w:rPr>
          <w:i/>
        </w:rPr>
        <w:t>Idea de un príncipe político christiano</w:t>
      </w:r>
      <w:r w:rsidRPr="00DD5967">
        <w:t>, emp. 73, lema “compressa quiescunt”.</w:t>
      </w:r>
    </w:p>
  </w:footnote>
  <w:footnote w:id="98">
    <w:p w14:paraId="7C5A3E76" w14:textId="64564A5B" w:rsidR="00631397" w:rsidRDefault="00631397">
      <w:pPr>
        <w:pStyle w:val="Textonotapie"/>
      </w:pPr>
      <w:r>
        <w:rPr>
          <w:rStyle w:val="Refdenotaalpie"/>
        </w:rPr>
        <w:footnoteRef/>
      </w:r>
      <w:r>
        <w:t xml:space="preserve"> Saavedra Fajardo, emp. 11, lema “ex pulsu noscitur”. Las referencias bíblicas tomadas por Saavedra son Eccl. 5:4 y Eccl. 4:34.</w:t>
      </w:r>
    </w:p>
  </w:footnote>
  <w:footnote w:id="99">
    <w:p w14:paraId="6859A76C" w14:textId="4E1583FD" w:rsidR="00631397" w:rsidRPr="003C35C1" w:rsidRDefault="00631397"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sidR="00130D3D">
        <w:rPr>
          <w:lang w:val="it-IT"/>
        </w:rPr>
        <w:t>, núm.</w:t>
      </w:r>
      <w:r w:rsidRPr="009C45CC">
        <w:rPr>
          <w:lang w:val="it-IT"/>
        </w:rPr>
        <w:t xml:space="preserve">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100">
    <w:p w14:paraId="5278C48F" w14:textId="77777777" w:rsidR="00631397" w:rsidRPr="00F47F3C" w:rsidRDefault="00631397"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101">
    <w:p w14:paraId="7E19721E" w14:textId="21583116" w:rsidR="00631397" w:rsidRPr="005A04A0" w:rsidRDefault="00631397"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Seneca, “</w:t>
      </w:r>
      <w:r w:rsidRPr="00215D8E">
        <w:t>De clementia</w:t>
      </w:r>
      <w:r>
        <w:t>,” Liber II, párr. 7. “</w:t>
      </w:r>
      <w:r w:rsidRPr="00DA246C">
        <w:t>Summa Theologiae</w:t>
      </w:r>
      <w:r>
        <w:t xml:space="preserve">,” </w:t>
      </w:r>
      <w:r w:rsidRPr="005A04A0">
        <w:t>IIª-IIae, q. 157 a. 2 ad 2</w:t>
      </w:r>
      <w:r>
        <w:t>.</w:t>
      </w:r>
    </w:p>
  </w:footnote>
  <w:footnote w:id="102">
    <w:p w14:paraId="313BF6BD" w14:textId="77777777" w:rsidR="00631397" w:rsidRPr="00494FBE" w:rsidRDefault="00631397"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103">
    <w:p w14:paraId="647584A7" w14:textId="593FF596" w:rsidR="00631397" w:rsidRPr="008129CF" w:rsidRDefault="00631397"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instrText xml:space="preserve"> ADDIN ZOTERO_ITEM CSL_CITATION {"citationID":"lyM7Do61","properties":{"formattedCitation":"Rodr\\uc0\\u237{}guez Flores, {\\i{}El perd\\uc0\\u243{}n real}, 190\\uc0\\u8211{}225.","plainCitation":"Rodríguez Flores, El perdón real, 190–225.","noteIndex":98},"citationItems":[{"id":2654,"uris":["http://zotero.org/users/163570/items/APZE9XAC"],"uri":["http://zotero.org/users/163570/items/APZE9XAC"],"itemData":{"id":2654,"type":"book","title":"El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190–225.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A10"/>
    <w:rsid w:val="00003EAA"/>
    <w:rsid w:val="00004051"/>
    <w:rsid w:val="00005E55"/>
    <w:rsid w:val="000068F8"/>
    <w:rsid w:val="00007A64"/>
    <w:rsid w:val="000100A2"/>
    <w:rsid w:val="00010BC5"/>
    <w:rsid w:val="000113E8"/>
    <w:rsid w:val="00012424"/>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1E67"/>
    <w:rsid w:val="0005300F"/>
    <w:rsid w:val="00054D95"/>
    <w:rsid w:val="00055714"/>
    <w:rsid w:val="000560AE"/>
    <w:rsid w:val="00057411"/>
    <w:rsid w:val="000602A4"/>
    <w:rsid w:val="00065B9B"/>
    <w:rsid w:val="00065F91"/>
    <w:rsid w:val="00067D02"/>
    <w:rsid w:val="00071531"/>
    <w:rsid w:val="000719C6"/>
    <w:rsid w:val="000778C1"/>
    <w:rsid w:val="0008025F"/>
    <w:rsid w:val="00080325"/>
    <w:rsid w:val="00081ED4"/>
    <w:rsid w:val="00087B96"/>
    <w:rsid w:val="00087BC1"/>
    <w:rsid w:val="0009056F"/>
    <w:rsid w:val="00090E5A"/>
    <w:rsid w:val="0009524D"/>
    <w:rsid w:val="000960E7"/>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3B14"/>
    <w:rsid w:val="000D46D3"/>
    <w:rsid w:val="000D77E0"/>
    <w:rsid w:val="000D7C7C"/>
    <w:rsid w:val="000E0A21"/>
    <w:rsid w:val="000E2090"/>
    <w:rsid w:val="000E3421"/>
    <w:rsid w:val="000E4B53"/>
    <w:rsid w:val="000E7114"/>
    <w:rsid w:val="000F01DD"/>
    <w:rsid w:val="000F0EAD"/>
    <w:rsid w:val="000F2BAD"/>
    <w:rsid w:val="000F3839"/>
    <w:rsid w:val="000F3AA5"/>
    <w:rsid w:val="000F415D"/>
    <w:rsid w:val="000F59E1"/>
    <w:rsid w:val="00102968"/>
    <w:rsid w:val="0010513E"/>
    <w:rsid w:val="001056D4"/>
    <w:rsid w:val="00106F3F"/>
    <w:rsid w:val="00111F38"/>
    <w:rsid w:val="00112B69"/>
    <w:rsid w:val="00113798"/>
    <w:rsid w:val="0011469E"/>
    <w:rsid w:val="00116273"/>
    <w:rsid w:val="00116CF3"/>
    <w:rsid w:val="00117822"/>
    <w:rsid w:val="00117A9C"/>
    <w:rsid w:val="00122329"/>
    <w:rsid w:val="0012263D"/>
    <w:rsid w:val="00123602"/>
    <w:rsid w:val="00123CC7"/>
    <w:rsid w:val="00126721"/>
    <w:rsid w:val="00126935"/>
    <w:rsid w:val="00127A9C"/>
    <w:rsid w:val="00127DD7"/>
    <w:rsid w:val="0013002E"/>
    <w:rsid w:val="001309A5"/>
    <w:rsid w:val="00130D3D"/>
    <w:rsid w:val="00131992"/>
    <w:rsid w:val="00131A0A"/>
    <w:rsid w:val="00132E3A"/>
    <w:rsid w:val="00134E68"/>
    <w:rsid w:val="00135A97"/>
    <w:rsid w:val="00137320"/>
    <w:rsid w:val="0014170D"/>
    <w:rsid w:val="00142E02"/>
    <w:rsid w:val="00143848"/>
    <w:rsid w:val="0014412D"/>
    <w:rsid w:val="00146FD9"/>
    <w:rsid w:val="001478CB"/>
    <w:rsid w:val="001530D7"/>
    <w:rsid w:val="001543B8"/>
    <w:rsid w:val="001544D0"/>
    <w:rsid w:val="0015686F"/>
    <w:rsid w:val="001573BA"/>
    <w:rsid w:val="00157B4F"/>
    <w:rsid w:val="00160A4C"/>
    <w:rsid w:val="0016104C"/>
    <w:rsid w:val="00164B64"/>
    <w:rsid w:val="0016649F"/>
    <w:rsid w:val="00170F83"/>
    <w:rsid w:val="001754C2"/>
    <w:rsid w:val="001758E1"/>
    <w:rsid w:val="001858CC"/>
    <w:rsid w:val="001917AB"/>
    <w:rsid w:val="00191C85"/>
    <w:rsid w:val="00191E14"/>
    <w:rsid w:val="0019518C"/>
    <w:rsid w:val="001A138B"/>
    <w:rsid w:val="001A5687"/>
    <w:rsid w:val="001B2249"/>
    <w:rsid w:val="001B2339"/>
    <w:rsid w:val="001B3281"/>
    <w:rsid w:val="001B4764"/>
    <w:rsid w:val="001B61B0"/>
    <w:rsid w:val="001B79A8"/>
    <w:rsid w:val="001C0FBA"/>
    <w:rsid w:val="001C4925"/>
    <w:rsid w:val="001D2949"/>
    <w:rsid w:val="001D4E85"/>
    <w:rsid w:val="001D5205"/>
    <w:rsid w:val="001D58D7"/>
    <w:rsid w:val="001E0330"/>
    <w:rsid w:val="001E15B1"/>
    <w:rsid w:val="001E16B2"/>
    <w:rsid w:val="001E1BEF"/>
    <w:rsid w:val="001E394C"/>
    <w:rsid w:val="001E5979"/>
    <w:rsid w:val="001F55DA"/>
    <w:rsid w:val="001F6A3F"/>
    <w:rsid w:val="001F7A79"/>
    <w:rsid w:val="00201290"/>
    <w:rsid w:val="0020271B"/>
    <w:rsid w:val="002056AD"/>
    <w:rsid w:val="0020622A"/>
    <w:rsid w:val="00211A92"/>
    <w:rsid w:val="00213058"/>
    <w:rsid w:val="00215D8E"/>
    <w:rsid w:val="00220385"/>
    <w:rsid w:val="002235DA"/>
    <w:rsid w:val="0022561B"/>
    <w:rsid w:val="00226D1A"/>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3DD3"/>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5A0D"/>
    <w:rsid w:val="002974D2"/>
    <w:rsid w:val="002A1714"/>
    <w:rsid w:val="002A1C33"/>
    <w:rsid w:val="002A1EB5"/>
    <w:rsid w:val="002A3D12"/>
    <w:rsid w:val="002A4004"/>
    <w:rsid w:val="002A4B7D"/>
    <w:rsid w:val="002A6BED"/>
    <w:rsid w:val="002A6D37"/>
    <w:rsid w:val="002A6F16"/>
    <w:rsid w:val="002A7C29"/>
    <w:rsid w:val="002B3A59"/>
    <w:rsid w:val="002B4F9E"/>
    <w:rsid w:val="002B6C75"/>
    <w:rsid w:val="002B71A0"/>
    <w:rsid w:val="002B7F68"/>
    <w:rsid w:val="002C0CF3"/>
    <w:rsid w:val="002C31D4"/>
    <w:rsid w:val="002C36EE"/>
    <w:rsid w:val="002C53AF"/>
    <w:rsid w:val="002C5578"/>
    <w:rsid w:val="002C58DF"/>
    <w:rsid w:val="002D17B5"/>
    <w:rsid w:val="002D344A"/>
    <w:rsid w:val="002D4546"/>
    <w:rsid w:val="002D535C"/>
    <w:rsid w:val="002D661C"/>
    <w:rsid w:val="002E1398"/>
    <w:rsid w:val="002E15D5"/>
    <w:rsid w:val="002E266C"/>
    <w:rsid w:val="002E634A"/>
    <w:rsid w:val="002F071D"/>
    <w:rsid w:val="002F1799"/>
    <w:rsid w:val="002F1F37"/>
    <w:rsid w:val="002F2950"/>
    <w:rsid w:val="002F3900"/>
    <w:rsid w:val="002F3FD6"/>
    <w:rsid w:val="00301BE4"/>
    <w:rsid w:val="00302F7B"/>
    <w:rsid w:val="0030389A"/>
    <w:rsid w:val="0030460D"/>
    <w:rsid w:val="00304BCC"/>
    <w:rsid w:val="00306997"/>
    <w:rsid w:val="003100C2"/>
    <w:rsid w:val="00311A3C"/>
    <w:rsid w:val="00312258"/>
    <w:rsid w:val="00312A9B"/>
    <w:rsid w:val="00312EC9"/>
    <w:rsid w:val="00312EF0"/>
    <w:rsid w:val="00314027"/>
    <w:rsid w:val="003142C3"/>
    <w:rsid w:val="003145D6"/>
    <w:rsid w:val="00315BAF"/>
    <w:rsid w:val="00323B53"/>
    <w:rsid w:val="0032430F"/>
    <w:rsid w:val="00325A34"/>
    <w:rsid w:val="003268DD"/>
    <w:rsid w:val="003307D4"/>
    <w:rsid w:val="00330F81"/>
    <w:rsid w:val="00331B59"/>
    <w:rsid w:val="00336BAF"/>
    <w:rsid w:val="00341052"/>
    <w:rsid w:val="00341DA2"/>
    <w:rsid w:val="0034339A"/>
    <w:rsid w:val="0034609E"/>
    <w:rsid w:val="00352AAE"/>
    <w:rsid w:val="00353440"/>
    <w:rsid w:val="0036187F"/>
    <w:rsid w:val="00361CCF"/>
    <w:rsid w:val="00363556"/>
    <w:rsid w:val="00364BD5"/>
    <w:rsid w:val="00364D51"/>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63E0"/>
    <w:rsid w:val="003C75C0"/>
    <w:rsid w:val="003D1575"/>
    <w:rsid w:val="003D4F03"/>
    <w:rsid w:val="003D54BA"/>
    <w:rsid w:val="003D647C"/>
    <w:rsid w:val="003D6EAE"/>
    <w:rsid w:val="003E057C"/>
    <w:rsid w:val="003E1218"/>
    <w:rsid w:val="003E21B3"/>
    <w:rsid w:val="003E3A62"/>
    <w:rsid w:val="003E52CC"/>
    <w:rsid w:val="003E5E29"/>
    <w:rsid w:val="003E6DF7"/>
    <w:rsid w:val="003E7F64"/>
    <w:rsid w:val="003F0504"/>
    <w:rsid w:val="003F4E71"/>
    <w:rsid w:val="003F7359"/>
    <w:rsid w:val="00403B8A"/>
    <w:rsid w:val="004047C1"/>
    <w:rsid w:val="00407BD8"/>
    <w:rsid w:val="00411451"/>
    <w:rsid w:val="00411DD3"/>
    <w:rsid w:val="004135B7"/>
    <w:rsid w:val="00413C14"/>
    <w:rsid w:val="004142D1"/>
    <w:rsid w:val="00414710"/>
    <w:rsid w:val="00414A82"/>
    <w:rsid w:val="00420BB0"/>
    <w:rsid w:val="00421861"/>
    <w:rsid w:val="0042190A"/>
    <w:rsid w:val="00421B52"/>
    <w:rsid w:val="00422F2B"/>
    <w:rsid w:val="0042459E"/>
    <w:rsid w:val="00425D60"/>
    <w:rsid w:val="004308E1"/>
    <w:rsid w:val="00432FBA"/>
    <w:rsid w:val="00444FE7"/>
    <w:rsid w:val="0045090F"/>
    <w:rsid w:val="00450953"/>
    <w:rsid w:val="00452E15"/>
    <w:rsid w:val="00453281"/>
    <w:rsid w:val="00455C81"/>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91039"/>
    <w:rsid w:val="00492B29"/>
    <w:rsid w:val="00493605"/>
    <w:rsid w:val="00494234"/>
    <w:rsid w:val="004956DE"/>
    <w:rsid w:val="004970C2"/>
    <w:rsid w:val="00497A7D"/>
    <w:rsid w:val="004A15F4"/>
    <w:rsid w:val="004A1A9C"/>
    <w:rsid w:val="004A1C86"/>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5E2F"/>
    <w:rsid w:val="004D6C81"/>
    <w:rsid w:val="004E0EEF"/>
    <w:rsid w:val="004E398A"/>
    <w:rsid w:val="004E6A40"/>
    <w:rsid w:val="004E6D14"/>
    <w:rsid w:val="004E7906"/>
    <w:rsid w:val="004F0066"/>
    <w:rsid w:val="004F0B24"/>
    <w:rsid w:val="004F2730"/>
    <w:rsid w:val="004F2AE6"/>
    <w:rsid w:val="004F2FDB"/>
    <w:rsid w:val="00500348"/>
    <w:rsid w:val="00503A44"/>
    <w:rsid w:val="0050477D"/>
    <w:rsid w:val="00505CD1"/>
    <w:rsid w:val="00505F86"/>
    <w:rsid w:val="00507B87"/>
    <w:rsid w:val="005137D0"/>
    <w:rsid w:val="00515929"/>
    <w:rsid w:val="005166E9"/>
    <w:rsid w:val="00516F63"/>
    <w:rsid w:val="00520895"/>
    <w:rsid w:val="00523356"/>
    <w:rsid w:val="00525F67"/>
    <w:rsid w:val="00526429"/>
    <w:rsid w:val="005306EA"/>
    <w:rsid w:val="00533D9A"/>
    <w:rsid w:val="005356F7"/>
    <w:rsid w:val="00537AE8"/>
    <w:rsid w:val="005433D6"/>
    <w:rsid w:val="005440D9"/>
    <w:rsid w:val="00545629"/>
    <w:rsid w:val="005613F2"/>
    <w:rsid w:val="00564920"/>
    <w:rsid w:val="00565B64"/>
    <w:rsid w:val="005666D8"/>
    <w:rsid w:val="00567C76"/>
    <w:rsid w:val="00570D59"/>
    <w:rsid w:val="00572F2C"/>
    <w:rsid w:val="0057471E"/>
    <w:rsid w:val="005779E7"/>
    <w:rsid w:val="00577FF2"/>
    <w:rsid w:val="00580E83"/>
    <w:rsid w:val="005844AE"/>
    <w:rsid w:val="00590FCC"/>
    <w:rsid w:val="00592AD1"/>
    <w:rsid w:val="00593031"/>
    <w:rsid w:val="005935C1"/>
    <w:rsid w:val="00593D82"/>
    <w:rsid w:val="00594ACD"/>
    <w:rsid w:val="00595B83"/>
    <w:rsid w:val="005A12A8"/>
    <w:rsid w:val="005A29B6"/>
    <w:rsid w:val="005A4693"/>
    <w:rsid w:val="005A53FF"/>
    <w:rsid w:val="005A68E3"/>
    <w:rsid w:val="005A77FF"/>
    <w:rsid w:val="005B055C"/>
    <w:rsid w:val="005B05B1"/>
    <w:rsid w:val="005B2C6F"/>
    <w:rsid w:val="005B6AAC"/>
    <w:rsid w:val="005C4226"/>
    <w:rsid w:val="005D3FA1"/>
    <w:rsid w:val="005D46DD"/>
    <w:rsid w:val="005D781A"/>
    <w:rsid w:val="005E4727"/>
    <w:rsid w:val="005E6CE4"/>
    <w:rsid w:val="005E7BAC"/>
    <w:rsid w:val="005F1025"/>
    <w:rsid w:val="005F746C"/>
    <w:rsid w:val="00601520"/>
    <w:rsid w:val="0060289C"/>
    <w:rsid w:val="00602CC3"/>
    <w:rsid w:val="00604337"/>
    <w:rsid w:val="00604C80"/>
    <w:rsid w:val="006102A2"/>
    <w:rsid w:val="006126EC"/>
    <w:rsid w:val="006128BA"/>
    <w:rsid w:val="00613890"/>
    <w:rsid w:val="00614710"/>
    <w:rsid w:val="006211F4"/>
    <w:rsid w:val="0062417A"/>
    <w:rsid w:val="00625740"/>
    <w:rsid w:val="00627034"/>
    <w:rsid w:val="00630E1A"/>
    <w:rsid w:val="00631397"/>
    <w:rsid w:val="00632255"/>
    <w:rsid w:val="00632536"/>
    <w:rsid w:val="00632A67"/>
    <w:rsid w:val="006349F2"/>
    <w:rsid w:val="00636256"/>
    <w:rsid w:val="00637FA8"/>
    <w:rsid w:val="006409A3"/>
    <w:rsid w:val="0064159E"/>
    <w:rsid w:val="00645E07"/>
    <w:rsid w:val="00647AB3"/>
    <w:rsid w:val="00650140"/>
    <w:rsid w:val="00650D67"/>
    <w:rsid w:val="00653A46"/>
    <w:rsid w:val="0065409B"/>
    <w:rsid w:val="00656FB4"/>
    <w:rsid w:val="00660639"/>
    <w:rsid w:val="0066090D"/>
    <w:rsid w:val="00662708"/>
    <w:rsid w:val="00662C12"/>
    <w:rsid w:val="00663420"/>
    <w:rsid w:val="0066409D"/>
    <w:rsid w:val="006659B5"/>
    <w:rsid w:val="006661B1"/>
    <w:rsid w:val="0066695C"/>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8D9"/>
    <w:rsid w:val="006B1DAE"/>
    <w:rsid w:val="006B20EE"/>
    <w:rsid w:val="006B2CCD"/>
    <w:rsid w:val="006B38EA"/>
    <w:rsid w:val="006B51F8"/>
    <w:rsid w:val="006B6B52"/>
    <w:rsid w:val="006B6E95"/>
    <w:rsid w:val="006C60FF"/>
    <w:rsid w:val="006D096D"/>
    <w:rsid w:val="006D2579"/>
    <w:rsid w:val="006D2682"/>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0517"/>
    <w:rsid w:val="007126D3"/>
    <w:rsid w:val="00714366"/>
    <w:rsid w:val="00715314"/>
    <w:rsid w:val="00720197"/>
    <w:rsid w:val="00721094"/>
    <w:rsid w:val="00722CBD"/>
    <w:rsid w:val="00724125"/>
    <w:rsid w:val="00724F89"/>
    <w:rsid w:val="0072566C"/>
    <w:rsid w:val="00725B91"/>
    <w:rsid w:val="007319E7"/>
    <w:rsid w:val="00732D81"/>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12D1"/>
    <w:rsid w:val="0078191E"/>
    <w:rsid w:val="007827E4"/>
    <w:rsid w:val="00784CA8"/>
    <w:rsid w:val="0078764D"/>
    <w:rsid w:val="0079524B"/>
    <w:rsid w:val="007A11BA"/>
    <w:rsid w:val="007A63BF"/>
    <w:rsid w:val="007A7D17"/>
    <w:rsid w:val="007B67FC"/>
    <w:rsid w:val="007C0571"/>
    <w:rsid w:val="007C09F3"/>
    <w:rsid w:val="007C516D"/>
    <w:rsid w:val="007C618D"/>
    <w:rsid w:val="007C6342"/>
    <w:rsid w:val="007C7C94"/>
    <w:rsid w:val="007D1F5B"/>
    <w:rsid w:val="007D4515"/>
    <w:rsid w:val="007D56D1"/>
    <w:rsid w:val="007D7629"/>
    <w:rsid w:val="007D7D42"/>
    <w:rsid w:val="007D7E74"/>
    <w:rsid w:val="007E2725"/>
    <w:rsid w:val="007E5CB7"/>
    <w:rsid w:val="007E7B8A"/>
    <w:rsid w:val="007F1766"/>
    <w:rsid w:val="007F24F4"/>
    <w:rsid w:val="007F36EF"/>
    <w:rsid w:val="007F47A9"/>
    <w:rsid w:val="007F52A4"/>
    <w:rsid w:val="00800EE5"/>
    <w:rsid w:val="008018E8"/>
    <w:rsid w:val="00803188"/>
    <w:rsid w:val="0080525F"/>
    <w:rsid w:val="008072E6"/>
    <w:rsid w:val="00812D7B"/>
    <w:rsid w:val="00816429"/>
    <w:rsid w:val="00817B95"/>
    <w:rsid w:val="008210C8"/>
    <w:rsid w:val="00823751"/>
    <w:rsid w:val="008252F6"/>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395D"/>
    <w:rsid w:val="00856AF5"/>
    <w:rsid w:val="00860041"/>
    <w:rsid w:val="00860C68"/>
    <w:rsid w:val="00860ED3"/>
    <w:rsid w:val="0086150A"/>
    <w:rsid w:val="00861C4D"/>
    <w:rsid w:val="00862D6F"/>
    <w:rsid w:val="008645D5"/>
    <w:rsid w:val="00866385"/>
    <w:rsid w:val="00866F29"/>
    <w:rsid w:val="00867493"/>
    <w:rsid w:val="0086793B"/>
    <w:rsid w:val="008704CE"/>
    <w:rsid w:val="008709A7"/>
    <w:rsid w:val="00873BED"/>
    <w:rsid w:val="008758BA"/>
    <w:rsid w:val="00875DC6"/>
    <w:rsid w:val="00875EC5"/>
    <w:rsid w:val="00883F5D"/>
    <w:rsid w:val="00886E44"/>
    <w:rsid w:val="00887352"/>
    <w:rsid w:val="00891315"/>
    <w:rsid w:val="00892BDA"/>
    <w:rsid w:val="00892D06"/>
    <w:rsid w:val="00893F33"/>
    <w:rsid w:val="00895690"/>
    <w:rsid w:val="008958FE"/>
    <w:rsid w:val="00897132"/>
    <w:rsid w:val="008979B9"/>
    <w:rsid w:val="008A21B7"/>
    <w:rsid w:val="008A2727"/>
    <w:rsid w:val="008A2DA7"/>
    <w:rsid w:val="008B1E67"/>
    <w:rsid w:val="008B2835"/>
    <w:rsid w:val="008B7B56"/>
    <w:rsid w:val="008C09F0"/>
    <w:rsid w:val="008C2CAC"/>
    <w:rsid w:val="008C6989"/>
    <w:rsid w:val="008C7F0E"/>
    <w:rsid w:val="008D23B4"/>
    <w:rsid w:val="008D5F8A"/>
    <w:rsid w:val="008D71A0"/>
    <w:rsid w:val="008D7B48"/>
    <w:rsid w:val="008E1FFC"/>
    <w:rsid w:val="008E21DD"/>
    <w:rsid w:val="008E453A"/>
    <w:rsid w:val="008E4E99"/>
    <w:rsid w:val="008E55EA"/>
    <w:rsid w:val="008F1007"/>
    <w:rsid w:val="008F36FD"/>
    <w:rsid w:val="008F377B"/>
    <w:rsid w:val="008F37D7"/>
    <w:rsid w:val="008F5280"/>
    <w:rsid w:val="008F628B"/>
    <w:rsid w:val="009002A6"/>
    <w:rsid w:val="009026DF"/>
    <w:rsid w:val="009045B6"/>
    <w:rsid w:val="009060CE"/>
    <w:rsid w:val="00906DD8"/>
    <w:rsid w:val="00911AD5"/>
    <w:rsid w:val="00912806"/>
    <w:rsid w:val="00912BF7"/>
    <w:rsid w:val="00914146"/>
    <w:rsid w:val="009144F1"/>
    <w:rsid w:val="00917E84"/>
    <w:rsid w:val="0092166A"/>
    <w:rsid w:val="00922CC8"/>
    <w:rsid w:val="00922D6F"/>
    <w:rsid w:val="00923C33"/>
    <w:rsid w:val="00925A8D"/>
    <w:rsid w:val="00925F98"/>
    <w:rsid w:val="00926DD1"/>
    <w:rsid w:val="00932469"/>
    <w:rsid w:val="009334BD"/>
    <w:rsid w:val="009355E1"/>
    <w:rsid w:val="009426D7"/>
    <w:rsid w:val="00944E5A"/>
    <w:rsid w:val="00947E39"/>
    <w:rsid w:val="009509EB"/>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50FD"/>
    <w:rsid w:val="009A5A86"/>
    <w:rsid w:val="009A609C"/>
    <w:rsid w:val="009A707D"/>
    <w:rsid w:val="009A7156"/>
    <w:rsid w:val="009B147C"/>
    <w:rsid w:val="009B3BC4"/>
    <w:rsid w:val="009B5CD1"/>
    <w:rsid w:val="009C2208"/>
    <w:rsid w:val="009C502A"/>
    <w:rsid w:val="009C58D9"/>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6F9B"/>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706D3"/>
    <w:rsid w:val="00A76491"/>
    <w:rsid w:val="00A76EFA"/>
    <w:rsid w:val="00A77E24"/>
    <w:rsid w:val="00A8093A"/>
    <w:rsid w:val="00A80EDA"/>
    <w:rsid w:val="00A82B65"/>
    <w:rsid w:val="00A842CE"/>
    <w:rsid w:val="00A86C78"/>
    <w:rsid w:val="00A903F1"/>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C0576"/>
    <w:rsid w:val="00AC086E"/>
    <w:rsid w:val="00AC23AE"/>
    <w:rsid w:val="00AC74F4"/>
    <w:rsid w:val="00AD04AD"/>
    <w:rsid w:val="00AD7100"/>
    <w:rsid w:val="00AE284D"/>
    <w:rsid w:val="00AE3608"/>
    <w:rsid w:val="00AE3978"/>
    <w:rsid w:val="00AE48AE"/>
    <w:rsid w:val="00AE68EA"/>
    <w:rsid w:val="00AF057A"/>
    <w:rsid w:val="00AF11C2"/>
    <w:rsid w:val="00AF1BA2"/>
    <w:rsid w:val="00AF29A2"/>
    <w:rsid w:val="00AF455D"/>
    <w:rsid w:val="00AF7B25"/>
    <w:rsid w:val="00B011C4"/>
    <w:rsid w:val="00B0400F"/>
    <w:rsid w:val="00B068AB"/>
    <w:rsid w:val="00B13ABF"/>
    <w:rsid w:val="00B169BD"/>
    <w:rsid w:val="00B20DA2"/>
    <w:rsid w:val="00B2236D"/>
    <w:rsid w:val="00B223FE"/>
    <w:rsid w:val="00B22F55"/>
    <w:rsid w:val="00B247B2"/>
    <w:rsid w:val="00B27F31"/>
    <w:rsid w:val="00B30064"/>
    <w:rsid w:val="00B3156A"/>
    <w:rsid w:val="00B32981"/>
    <w:rsid w:val="00B3358E"/>
    <w:rsid w:val="00B33E35"/>
    <w:rsid w:val="00B354EA"/>
    <w:rsid w:val="00B402E3"/>
    <w:rsid w:val="00B41251"/>
    <w:rsid w:val="00B453E4"/>
    <w:rsid w:val="00B45562"/>
    <w:rsid w:val="00B45861"/>
    <w:rsid w:val="00B47D13"/>
    <w:rsid w:val="00B530AB"/>
    <w:rsid w:val="00B5325E"/>
    <w:rsid w:val="00B5399E"/>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078A"/>
    <w:rsid w:val="00B81CD1"/>
    <w:rsid w:val="00B82B4D"/>
    <w:rsid w:val="00B839CA"/>
    <w:rsid w:val="00B844BB"/>
    <w:rsid w:val="00B90477"/>
    <w:rsid w:val="00B91863"/>
    <w:rsid w:val="00B92233"/>
    <w:rsid w:val="00B931C3"/>
    <w:rsid w:val="00B93C8F"/>
    <w:rsid w:val="00B94D0E"/>
    <w:rsid w:val="00B94F93"/>
    <w:rsid w:val="00B95181"/>
    <w:rsid w:val="00B9631D"/>
    <w:rsid w:val="00B97549"/>
    <w:rsid w:val="00BA2C62"/>
    <w:rsid w:val="00BA35EF"/>
    <w:rsid w:val="00BA6BF3"/>
    <w:rsid w:val="00BA7059"/>
    <w:rsid w:val="00BA76C0"/>
    <w:rsid w:val="00BB134C"/>
    <w:rsid w:val="00BB22D0"/>
    <w:rsid w:val="00BB378A"/>
    <w:rsid w:val="00BB38A4"/>
    <w:rsid w:val="00BB67EA"/>
    <w:rsid w:val="00BB71F6"/>
    <w:rsid w:val="00BB7363"/>
    <w:rsid w:val="00BB7479"/>
    <w:rsid w:val="00BB7F07"/>
    <w:rsid w:val="00BC18E6"/>
    <w:rsid w:val="00BC4CEA"/>
    <w:rsid w:val="00BC72A7"/>
    <w:rsid w:val="00BC74C3"/>
    <w:rsid w:val="00BD4CBD"/>
    <w:rsid w:val="00BD6200"/>
    <w:rsid w:val="00BD6753"/>
    <w:rsid w:val="00BD7E1E"/>
    <w:rsid w:val="00BE1540"/>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52E"/>
    <w:rsid w:val="00C23C84"/>
    <w:rsid w:val="00C24D3C"/>
    <w:rsid w:val="00C24EFF"/>
    <w:rsid w:val="00C256D3"/>
    <w:rsid w:val="00C27768"/>
    <w:rsid w:val="00C3030E"/>
    <w:rsid w:val="00C364E3"/>
    <w:rsid w:val="00C36C1C"/>
    <w:rsid w:val="00C37831"/>
    <w:rsid w:val="00C46D84"/>
    <w:rsid w:val="00C46E67"/>
    <w:rsid w:val="00C50376"/>
    <w:rsid w:val="00C50A72"/>
    <w:rsid w:val="00C5128F"/>
    <w:rsid w:val="00C52CE9"/>
    <w:rsid w:val="00C52EEA"/>
    <w:rsid w:val="00C54558"/>
    <w:rsid w:val="00C54BF5"/>
    <w:rsid w:val="00C61EB3"/>
    <w:rsid w:val="00C638EB"/>
    <w:rsid w:val="00C76389"/>
    <w:rsid w:val="00C76800"/>
    <w:rsid w:val="00C87243"/>
    <w:rsid w:val="00C921B6"/>
    <w:rsid w:val="00C976C5"/>
    <w:rsid w:val="00CA595E"/>
    <w:rsid w:val="00CA790F"/>
    <w:rsid w:val="00CB0A86"/>
    <w:rsid w:val="00CB7418"/>
    <w:rsid w:val="00CC0324"/>
    <w:rsid w:val="00CC2BEE"/>
    <w:rsid w:val="00CC2DB7"/>
    <w:rsid w:val="00CC5033"/>
    <w:rsid w:val="00CC6CFE"/>
    <w:rsid w:val="00CC6EA7"/>
    <w:rsid w:val="00CD0B42"/>
    <w:rsid w:val="00CD112A"/>
    <w:rsid w:val="00CD4A8A"/>
    <w:rsid w:val="00CE02A1"/>
    <w:rsid w:val="00CE1562"/>
    <w:rsid w:val="00CE1F32"/>
    <w:rsid w:val="00CF0BD6"/>
    <w:rsid w:val="00CF1AF3"/>
    <w:rsid w:val="00CF2633"/>
    <w:rsid w:val="00CF5358"/>
    <w:rsid w:val="00CF5F2B"/>
    <w:rsid w:val="00CF767A"/>
    <w:rsid w:val="00D01331"/>
    <w:rsid w:val="00D0522D"/>
    <w:rsid w:val="00D06A86"/>
    <w:rsid w:val="00D10A0A"/>
    <w:rsid w:val="00D10DAC"/>
    <w:rsid w:val="00D10FC2"/>
    <w:rsid w:val="00D112FD"/>
    <w:rsid w:val="00D1457C"/>
    <w:rsid w:val="00D14DD0"/>
    <w:rsid w:val="00D15002"/>
    <w:rsid w:val="00D17382"/>
    <w:rsid w:val="00D215CF"/>
    <w:rsid w:val="00D22DD7"/>
    <w:rsid w:val="00D23EB3"/>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16C3"/>
    <w:rsid w:val="00D531AD"/>
    <w:rsid w:val="00D53DB2"/>
    <w:rsid w:val="00D5570B"/>
    <w:rsid w:val="00D60460"/>
    <w:rsid w:val="00D61588"/>
    <w:rsid w:val="00D62165"/>
    <w:rsid w:val="00D63785"/>
    <w:rsid w:val="00D70071"/>
    <w:rsid w:val="00D70251"/>
    <w:rsid w:val="00D70380"/>
    <w:rsid w:val="00D70E0A"/>
    <w:rsid w:val="00D72814"/>
    <w:rsid w:val="00D7332C"/>
    <w:rsid w:val="00D749E6"/>
    <w:rsid w:val="00D77D3A"/>
    <w:rsid w:val="00D80C09"/>
    <w:rsid w:val="00D93561"/>
    <w:rsid w:val="00D9361C"/>
    <w:rsid w:val="00D95419"/>
    <w:rsid w:val="00D959A8"/>
    <w:rsid w:val="00D976B0"/>
    <w:rsid w:val="00DA246C"/>
    <w:rsid w:val="00DA2B30"/>
    <w:rsid w:val="00DA4530"/>
    <w:rsid w:val="00DB06F0"/>
    <w:rsid w:val="00DB2964"/>
    <w:rsid w:val="00DB33BE"/>
    <w:rsid w:val="00DB4B8E"/>
    <w:rsid w:val="00DB5562"/>
    <w:rsid w:val="00DB7584"/>
    <w:rsid w:val="00DC02A4"/>
    <w:rsid w:val="00DC1368"/>
    <w:rsid w:val="00DC2BC8"/>
    <w:rsid w:val="00DC508E"/>
    <w:rsid w:val="00DD1BDD"/>
    <w:rsid w:val="00DD3BAC"/>
    <w:rsid w:val="00DD5967"/>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42B0"/>
    <w:rsid w:val="00E37837"/>
    <w:rsid w:val="00E411AD"/>
    <w:rsid w:val="00E44201"/>
    <w:rsid w:val="00E44EC0"/>
    <w:rsid w:val="00E453AC"/>
    <w:rsid w:val="00E45B98"/>
    <w:rsid w:val="00E46A1D"/>
    <w:rsid w:val="00E517E4"/>
    <w:rsid w:val="00E6089A"/>
    <w:rsid w:val="00E6584F"/>
    <w:rsid w:val="00E66448"/>
    <w:rsid w:val="00E673DE"/>
    <w:rsid w:val="00E73C16"/>
    <w:rsid w:val="00E746A1"/>
    <w:rsid w:val="00E77F69"/>
    <w:rsid w:val="00E8285F"/>
    <w:rsid w:val="00E857BD"/>
    <w:rsid w:val="00E909EB"/>
    <w:rsid w:val="00E910A7"/>
    <w:rsid w:val="00E91FB0"/>
    <w:rsid w:val="00E970AB"/>
    <w:rsid w:val="00E973D3"/>
    <w:rsid w:val="00EA06BC"/>
    <w:rsid w:val="00EA3413"/>
    <w:rsid w:val="00EA3933"/>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EF"/>
    <w:rsid w:val="00EE7820"/>
    <w:rsid w:val="00EE7AF4"/>
    <w:rsid w:val="00EF00DF"/>
    <w:rsid w:val="00EF1C63"/>
    <w:rsid w:val="00EF1D5B"/>
    <w:rsid w:val="00EF339D"/>
    <w:rsid w:val="00EF6AF6"/>
    <w:rsid w:val="00EF718A"/>
    <w:rsid w:val="00F01192"/>
    <w:rsid w:val="00F0198D"/>
    <w:rsid w:val="00F03BEA"/>
    <w:rsid w:val="00F05BA7"/>
    <w:rsid w:val="00F06033"/>
    <w:rsid w:val="00F06C03"/>
    <w:rsid w:val="00F1203A"/>
    <w:rsid w:val="00F1286E"/>
    <w:rsid w:val="00F14FA0"/>
    <w:rsid w:val="00F22980"/>
    <w:rsid w:val="00F2452A"/>
    <w:rsid w:val="00F24859"/>
    <w:rsid w:val="00F259B1"/>
    <w:rsid w:val="00F25F79"/>
    <w:rsid w:val="00F273C6"/>
    <w:rsid w:val="00F277E6"/>
    <w:rsid w:val="00F27FDB"/>
    <w:rsid w:val="00F3022B"/>
    <w:rsid w:val="00F30C88"/>
    <w:rsid w:val="00F32962"/>
    <w:rsid w:val="00F32E78"/>
    <w:rsid w:val="00F3353F"/>
    <w:rsid w:val="00F35A64"/>
    <w:rsid w:val="00F35E58"/>
    <w:rsid w:val="00F4170E"/>
    <w:rsid w:val="00F41955"/>
    <w:rsid w:val="00F42389"/>
    <w:rsid w:val="00F43D0C"/>
    <w:rsid w:val="00F4524B"/>
    <w:rsid w:val="00F459DA"/>
    <w:rsid w:val="00F461CA"/>
    <w:rsid w:val="00F52557"/>
    <w:rsid w:val="00F5443E"/>
    <w:rsid w:val="00F546BD"/>
    <w:rsid w:val="00F54B95"/>
    <w:rsid w:val="00F55CBD"/>
    <w:rsid w:val="00F56205"/>
    <w:rsid w:val="00F56304"/>
    <w:rsid w:val="00F60496"/>
    <w:rsid w:val="00F60E2A"/>
    <w:rsid w:val="00F6481A"/>
    <w:rsid w:val="00F65812"/>
    <w:rsid w:val="00F65E56"/>
    <w:rsid w:val="00F7244B"/>
    <w:rsid w:val="00F73C7E"/>
    <w:rsid w:val="00F757CA"/>
    <w:rsid w:val="00F77026"/>
    <w:rsid w:val="00F80BE0"/>
    <w:rsid w:val="00F81B0B"/>
    <w:rsid w:val="00F869B3"/>
    <w:rsid w:val="00F957A5"/>
    <w:rsid w:val="00F96FD3"/>
    <w:rsid w:val="00FA12F3"/>
    <w:rsid w:val="00FA249B"/>
    <w:rsid w:val="00FA65B3"/>
    <w:rsid w:val="00FA6731"/>
    <w:rsid w:val="00FB0534"/>
    <w:rsid w:val="00FB0748"/>
    <w:rsid w:val="00FB1407"/>
    <w:rsid w:val="00FB1454"/>
    <w:rsid w:val="00FB5CBC"/>
    <w:rsid w:val="00FB5FC0"/>
    <w:rsid w:val="00FC3356"/>
    <w:rsid w:val="00FC74F2"/>
    <w:rsid w:val="00FD0EC4"/>
    <w:rsid w:val="00FD268F"/>
    <w:rsid w:val="00FD6312"/>
    <w:rsid w:val="00FD6E7C"/>
    <w:rsid w:val="00FD7684"/>
    <w:rsid w:val="00FE27EB"/>
    <w:rsid w:val="00FE4247"/>
    <w:rsid w:val="00FE426A"/>
    <w:rsid w:val="00FE642D"/>
    <w:rsid w:val="00FE68F4"/>
    <w:rsid w:val="00FE7F56"/>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9361">
      <w:bodyDiv w:val="1"/>
      <w:marLeft w:val="0"/>
      <w:marRight w:val="0"/>
      <w:marTop w:val="0"/>
      <w:marBottom w:val="0"/>
      <w:divBdr>
        <w:top w:val="none" w:sz="0" w:space="0" w:color="auto"/>
        <w:left w:val="none" w:sz="0" w:space="0" w:color="auto"/>
        <w:bottom w:val="none" w:sz="0" w:space="0" w:color="auto"/>
        <w:right w:val="none" w:sz="0" w:space="0" w:color="auto"/>
      </w:divBdr>
    </w:div>
    <w:div w:id="616449039">
      <w:bodyDiv w:val="1"/>
      <w:marLeft w:val="0"/>
      <w:marRight w:val="0"/>
      <w:marTop w:val="0"/>
      <w:marBottom w:val="0"/>
      <w:divBdr>
        <w:top w:val="none" w:sz="0" w:space="0" w:color="auto"/>
        <w:left w:val="none" w:sz="0" w:space="0" w:color="auto"/>
        <w:bottom w:val="none" w:sz="0" w:space="0" w:color="auto"/>
        <w:right w:val="none" w:sz="0" w:space="0" w:color="auto"/>
      </w:divBdr>
    </w:div>
    <w:div w:id="1291473002">
      <w:bodyDiv w:val="1"/>
      <w:marLeft w:val="0"/>
      <w:marRight w:val="0"/>
      <w:marTop w:val="0"/>
      <w:marBottom w:val="0"/>
      <w:divBdr>
        <w:top w:val="none" w:sz="0" w:space="0" w:color="auto"/>
        <w:left w:val="none" w:sz="0" w:space="0" w:color="auto"/>
        <w:bottom w:val="none" w:sz="0" w:space="0" w:color="auto"/>
        <w:right w:val="none" w:sz="0" w:space="0" w:color="auto"/>
      </w:divBdr>
    </w:div>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 w:id="1808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89E046B-2159-43A9-A5F7-25214219E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8362</TotalTime>
  <Pages>24</Pages>
  <Words>6893</Words>
  <Characters>37916</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59</cp:revision>
  <cp:lastPrinted>2018-06-11T17:37:00Z</cp:lastPrinted>
  <dcterms:created xsi:type="dcterms:W3CDTF">2018-06-05T17:57:00Z</dcterms:created>
  <dcterms:modified xsi:type="dcterms:W3CDTF">2018-06-21T05:50:00Z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zotero-version="5.0.51"&gt;&lt;session id="u9rO3OU4"/&gt;&lt;style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