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5B7F631" w:rsidR="00B9631D" w:rsidRPr="000F0EAD" w:rsidRDefault="00B9631D" w:rsidP="000F0EAD">
      <w:pPr>
        <w:keepNext/>
        <w:keepLines/>
        <w:spacing w:before="240"/>
        <w:ind w:firstLine="0"/>
        <w:jc w:val="center"/>
        <w:outlineLvl w:val="0"/>
        <w:rPr>
          <w:rFonts w:eastAsiaTheme="majorEastAsia" w:cstheme="majorBidi"/>
          <w:b/>
          <w:smallCaps/>
          <w:szCs w:val="32"/>
        </w:rPr>
      </w:pPr>
      <w:bookmarkStart w:id="0" w:name="_Toc508040699"/>
      <w:r w:rsidRPr="000F0EAD">
        <w:rPr>
          <w:rFonts w:eastAsiaTheme="majorEastAsia" w:cstheme="majorBidi"/>
          <w:b/>
          <w:smallCaps/>
          <w:szCs w:val="32"/>
        </w:rPr>
        <w:t xml:space="preserve">Capítulo I. El concepto del perdón </w:t>
      </w:r>
      <w:r w:rsidR="008B7B56" w:rsidRPr="000F0EAD">
        <w:rPr>
          <w:rFonts w:eastAsiaTheme="majorEastAsia" w:cstheme="majorBidi"/>
          <w:b/>
          <w:smallCaps/>
          <w:szCs w:val="32"/>
        </w:rPr>
        <w:t xml:space="preserve">real </w:t>
      </w:r>
      <w:bookmarkEnd w:id="0"/>
      <w:r w:rsidR="008B7B56" w:rsidRPr="000F0EAD">
        <w:rPr>
          <w:rFonts w:eastAsiaTheme="majorEastAsia" w:cstheme="majorBidi"/>
          <w:b/>
          <w:smallCaps/>
          <w:szCs w:val="32"/>
        </w:rPr>
        <w:t>en la tradición jurídic</w:t>
      </w:r>
      <w:r w:rsidR="00AD04AD" w:rsidRPr="000F0EAD">
        <w:rPr>
          <w:rFonts w:eastAsiaTheme="majorEastAsia" w:cstheme="majorBidi"/>
          <w:b/>
          <w:smallCaps/>
          <w:szCs w:val="32"/>
        </w:rPr>
        <w:t>o-política</w:t>
      </w:r>
      <w:r w:rsidR="008B7B56" w:rsidRPr="000F0EAD">
        <w:rPr>
          <w:rFonts w:eastAsiaTheme="majorEastAsia" w:cstheme="majorBidi"/>
          <w:b/>
          <w:smallCaps/>
          <w:szCs w:val="32"/>
        </w:rPr>
        <w:t xml:space="preserve"> </w:t>
      </w:r>
      <w:r w:rsidR="008E1FFC" w:rsidRPr="000F0EAD">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w:t>
      </w:r>
      <w:r w:rsidR="00AB3F05" w:rsidRPr="009705FF">
        <w:rPr>
          <w:rFonts w:eastAsia="Calibri" w:cs="Times New Roman"/>
          <w:iCs/>
        </w:rPr>
        <w:lastRenderedPageBreak/>
        <w:t>avia de salir este cavildo procesionalmente con el santisimo sacramento y asistencia del 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761D8165"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Sin embargo, esta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sería necesario el perdón de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D70251">
        <w:rPr>
          <w:rFonts w:eastAsia="Calibri" w:cs="Times New Roman"/>
          <w:iCs/>
        </w:rPr>
        <w:t>Sin</w:t>
      </w:r>
      <w:r w:rsidR="00E44EC0">
        <w:rPr>
          <w:rFonts w:eastAsia="Calibri" w:cs="Times New Roman"/>
          <w:iCs/>
        </w:rPr>
        <w:t xml:space="preserve"> embargo, el mismo monarca </w:t>
      </w:r>
      <w:r w:rsidR="00EA4F65">
        <w:rPr>
          <w:rFonts w:eastAsia="Calibri" w:cs="Times New Roman"/>
          <w:iCs/>
        </w:rPr>
        <w:t>aclaró</w:t>
      </w:r>
      <w:r w:rsidR="00F81B0B">
        <w:rPr>
          <w:rFonts w:eastAsia="Calibri" w:cs="Times New Roman"/>
          <w:iCs/>
        </w:rPr>
        <w:t xml:space="preserve"> a Eslava que la no ratificación implicaba</w:t>
      </w:r>
      <w:r w:rsidR="001E5979">
        <w:rPr>
          <w:rFonts w:eastAsia="Calibri" w:cs="Times New Roman"/>
          <w:iCs/>
        </w:rPr>
        <w:t xml:space="preserve"> vigilar los díscolos para proceder con rigor, antes que se originase una nueva sublevación, mas no</w:t>
      </w:r>
      <w:r w:rsidR="00F81B0B">
        <w:rPr>
          <w:rFonts w:eastAsia="Calibri" w:cs="Times New Roman"/>
          <w:iCs/>
        </w:rPr>
        <w:t xml:space="preserve"> propender por el castigo inmediato de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E44EC0">
        <w:rPr>
          <w:rFonts w:eastAsia="Calibri" w:cs="Times New Roman"/>
          <w:iCs/>
        </w:rPr>
        <w:t xml:space="preserve"> ¿</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7FB98268" w:rsidR="00F0198D" w:rsidRDefault="006D2579" w:rsidP="00AB263E">
      <w:r>
        <w:lastRenderedPageBreak/>
        <w:t>Consideramos que interpretar el perdón en el antiguo régimen implica abordarlo desde la lógica de la época, esto es, como una conjunción de acciones de gracia regia y de un 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de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6F95B9CE"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con lo cual se mostraba los esponsales simbólicos que daban sentido a la monarquía </w:t>
      </w:r>
      <w:r w:rsidR="009600DC" w:rsidRPr="009600DC">
        <w:lastRenderedPageBreak/>
        <w:t>que reconciliara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estos vicarios de él 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7DCD135D"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w:t>
      </w:r>
      <w:r w:rsidR="00E91FB0">
        <w:rPr>
          <w:rStyle w:val="Refdenotaalpie"/>
        </w:rPr>
        <w:footnoteReference w:id="12"/>
      </w:r>
      <w:r w:rsidR="00BF7F72">
        <w:t xml:space="preserve"> Más que un conocimiento de los “códigos de la élite”, acciones como las ejecutadas por los sublevados</w:t>
      </w:r>
      <w:r w:rsidR="00201290">
        <w:t xml:space="preserve"> </w:t>
      </w:r>
      <w:r w:rsidR="00BF7F72">
        <w:t xml:space="preserve">de Cartagena </w:t>
      </w:r>
      <w:r w:rsidR="00D0522D">
        <w:t>fueron</w:t>
      </w:r>
      <w:r w:rsidR="00BF7F72">
        <w:t xml:space="preserve"> </w:t>
      </w:r>
      <w:r w:rsidR="00BF7F72">
        <w:lastRenderedPageBreak/>
        <w:t xml:space="preserve">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3"/>
      </w:r>
    </w:p>
    <w:p w14:paraId="4C327C6F" w14:textId="78434C4D" w:rsidR="00B63CB5" w:rsidRDefault="002402EF" w:rsidP="00F42389">
      <w:r>
        <w:t>Este capítulo estará dedicado a la revisión de los patrones discursivos, simbólicos y doctrinales que construyeron el sentido del indulto desde la Baja Edad Media, 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4"/>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5"/>
      </w:r>
      <w:r w:rsidR="00F42389">
        <w:t xml:space="preserve"> por lo tanto, es en la lógica compleja que justificaba divina y terrenalmente el perdón que se encuentra este enlace entre la autoridad y la clemencia</w:t>
      </w:r>
      <w:r w:rsidR="00E909EB">
        <w:t xml:space="preserve"> que se</w:t>
      </w:r>
      <w:r w:rsidR="002974D2">
        <w:t xml:space="preserve"> manifesta</w:t>
      </w:r>
      <w:r w:rsidR="00E909EB">
        <w:t>ba</w:t>
      </w:r>
      <w:r w:rsidR="002974D2">
        <w:t xml:space="preserve"> en las peticiones y concesiones de indulto durante el siglo XVIII del </w:t>
      </w:r>
      <w:r w:rsidR="0015686F">
        <w:t xml:space="preserve">orbe indiano y del mismo modo en el </w:t>
      </w:r>
      <w:r w:rsidR="00EF339D">
        <w:t xml:space="preserve">ámbito del virreinato del </w:t>
      </w:r>
      <w:r w:rsidR="002974D2">
        <w:t>Nuevo Reino de Granada.</w:t>
      </w:r>
    </w:p>
    <w:p w14:paraId="3143EDFD" w14:textId="77777777" w:rsidR="006746FE" w:rsidRPr="009600DC" w:rsidRDefault="006746FE" w:rsidP="00F42389"/>
    <w:p w14:paraId="7274381E" w14:textId="4CDEECB4" w:rsidR="000F0EAD" w:rsidRDefault="000F0EAD" w:rsidP="00F32E78">
      <w:pPr>
        <w:pStyle w:val="Ttulo2"/>
        <w:numPr>
          <w:ilvl w:val="1"/>
          <w:numId w:val="28"/>
        </w:numPr>
      </w:pPr>
      <w:r>
        <w:t>Clemencia, castigo y la naturaleza de la potestad regia</w:t>
      </w:r>
    </w:p>
    <w:p w14:paraId="78AE79A6" w14:textId="77777777" w:rsidR="008C6989" w:rsidRDefault="008C6989" w:rsidP="008C6989"/>
    <w:p w14:paraId="411C59D6" w14:textId="39DA1768" w:rsidR="008C6989" w:rsidRDefault="008C6989" w:rsidP="008C6989">
      <w:r w:rsidRPr="00B9631D">
        <w:t xml:space="preserve">La lógica de la cultura jurisdiccional del </w:t>
      </w:r>
      <w:r w:rsidRPr="00B9631D">
        <w:rPr>
          <w:i/>
        </w:rPr>
        <w:t>ius commune</w:t>
      </w:r>
      <w:r w:rsidRPr="00B9631D">
        <w:t xml:space="preserve"> indicaba que Dios era la fuente de toda </w:t>
      </w:r>
      <w:r w:rsidRPr="00D14DD0">
        <w:t>jurisdicción</w:t>
      </w:r>
      <w:r w:rsidR="00895690">
        <w:t>,</w:t>
      </w:r>
      <w:r w:rsidRPr="002B6C75">
        <w:rPr>
          <w:rStyle w:val="Refdenotaalpie"/>
        </w:rPr>
        <w:footnoteReference w:id="16"/>
      </w:r>
      <w:r w:rsidRPr="00B9631D">
        <w:t xml:space="preserve"> por la cual se les había dado </w:t>
      </w:r>
      <w:r w:rsidR="00E03A47">
        <w:rPr>
          <w:i/>
        </w:rPr>
        <w:t>auctoritas</w:t>
      </w:r>
      <w:r w:rsidRPr="00B9631D">
        <w:t xml:space="preserve"> a los pontífices y príncipes para juzgar y gobernar</w:t>
      </w:r>
      <w:r w:rsidR="00895690">
        <w:t>.</w:t>
      </w:r>
      <w:r w:rsidRPr="002B6C75">
        <w:rPr>
          <w:rStyle w:val="Refdenotaalpie"/>
        </w:rPr>
        <w:footnoteReference w:id="17"/>
      </w:r>
      <w:r w:rsidRPr="00B9631D">
        <w:t xml:space="preserve"> En el caso del monarca se denominaba majestad, sinónimo de </w:t>
      </w:r>
      <w:r w:rsidRPr="00B9631D">
        <w:rPr>
          <w:i/>
        </w:rPr>
        <w:t>potestas</w:t>
      </w:r>
      <w:r w:rsidRPr="00B9631D">
        <w:t>, con la cual podía hacer uso del castigo</w:t>
      </w:r>
      <w:r w:rsidR="00895690">
        <w:t>,</w:t>
      </w:r>
      <w:r w:rsidRPr="002B6C75">
        <w:rPr>
          <w:rStyle w:val="Refdenotaalpie"/>
        </w:rPr>
        <w:footnoteReference w:id="18"/>
      </w:r>
      <w:r w:rsidRPr="00B9631D">
        <w:t xml:space="preserve"> para ser temido, y de la misericordia, para </w:t>
      </w:r>
      <w:r w:rsidRPr="00B9631D">
        <w:lastRenderedPageBreak/>
        <w:t>ser amado</w:t>
      </w:r>
      <w:r w:rsidR="00895690">
        <w:t>.</w:t>
      </w:r>
      <w:r w:rsidRPr="002B6C75">
        <w:rPr>
          <w:rStyle w:val="Refdenotaalpie"/>
        </w:rPr>
        <w:footnoteReference w:id="19"/>
      </w:r>
      <w:r w:rsidRPr="00B9631D">
        <w:t xml:space="preserve"> Como característica de una regalía mayor y correspondiente a la suma potestad, el soberano no podía desprenderse del “derecho mayestático” de indultar en ningún vasallo “ni por prescripción, costumbre o privilegio</w:t>
      </w:r>
      <w:r w:rsidR="00895690">
        <w:t>.</w:t>
      </w:r>
      <w:r w:rsidRPr="00B9631D">
        <w:t>”</w:t>
      </w:r>
      <w:r w:rsidRPr="002B6C75">
        <w:rPr>
          <w:rStyle w:val="Refdenotaalpie"/>
        </w:rPr>
        <w:footnoteReference w:id="20"/>
      </w:r>
      <w:r w:rsidRPr="00B9631D">
        <w:t xml:space="preserve"> De allí se desprende que se considerara al derecho de conceder indultos “una de las mas preciosas Regalías que adornan la corona de los Soberanos”, sobre todo porque conllevaba la potestad de remitir o conmutar la pena de aquellos que eran legítimos acreedores de la misma</w:t>
      </w:r>
      <w:r w:rsidR="00895690">
        <w:t>.</w:t>
      </w:r>
      <w:r w:rsidRPr="002B6C75">
        <w:rPr>
          <w:rStyle w:val="Refdenotaalpie"/>
        </w:rPr>
        <w:footnoteReference w:id="21"/>
      </w:r>
    </w:p>
    <w:p w14:paraId="7E123004" w14:textId="1277C32A" w:rsidR="0057471E" w:rsidRPr="003773DB" w:rsidRDefault="003773DB" w:rsidP="008C6989">
      <w:r>
        <w:t>Los tres latinajos utilizados en el párrafo anterior no tienen una intencionalidad meramente retórica, pretenden llamar la atención acerca del origen medieval (</w:t>
      </w:r>
      <w:r>
        <w:rPr>
          <w:i/>
        </w:rPr>
        <w:t>ius commune</w:t>
      </w:r>
      <w:r>
        <w:t>) de la diferenciación entre autoridad y potestad</w:t>
      </w:r>
      <w:r w:rsidR="003D54BA">
        <w:t>.</w:t>
      </w:r>
      <w:r w:rsidR="007C7C94">
        <w:rPr>
          <w:rStyle w:val="Refdenotaalpie"/>
        </w:rPr>
        <w:footnoteReference w:id="22"/>
      </w:r>
      <w:r w:rsidR="003D54BA">
        <w:t xml:space="preserve"> ¿Por qué razón traer a colación una dicotomía de la Edad Media a una investigación del siglo XVIII americano? </w:t>
      </w:r>
      <w:r w:rsidR="005A77FF">
        <w:t>A</w:t>
      </w:r>
      <w:r w:rsidR="003D54BA">
        <w:t xml:space="preserve">unque el mundo hispánico dieciochesco, en particular desde el reinado de Carlos III, se caracterizó como un periodo de reforma administrativa, la discusión ideológica que se ha considerado aneja al reformismo, denominada como Ilustración, no planteó cambios radicales al régimen jurídico tradicional y pluralista de la monarquía. El reformismo planteó modificaciones al orden jurídico-político tradicional que se llevaron avante cautelosamente, sin cuestionar el origen divino de la “constitución histórica” de la monarquía. Al respecto, Pedro Ruíz Torres ha </w:t>
      </w:r>
      <w:r w:rsidR="008E21DD">
        <w:t>señalado</w:t>
      </w:r>
      <w:r w:rsidR="003D54BA">
        <w:t xml:space="preserve"> que los ilustrados reformistas pretendieron reforzar el poder soberano del monarca</w:t>
      </w:r>
      <w:r w:rsidR="008E21DD">
        <w:t xml:space="preserve"> controlando el ejercicio de las facultades delegadas en las autoridades regias, una dinámica que Carlos Garriga ha denominado como la “</w:t>
      </w:r>
      <w:r w:rsidR="002F3FD6">
        <w:t>administrativización de la monarquía;”</w:t>
      </w:r>
      <w:r w:rsidR="00126721">
        <w:rPr>
          <w:rStyle w:val="Refdenotaalpie"/>
        </w:rPr>
        <w:footnoteReference w:id="23"/>
      </w:r>
      <w:r w:rsidR="008E21DD">
        <w:t xml:space="preserve"> sin embargo, tal pretensión tuvo menos impacto en España que en otras naciones europeas, </w:t>
      </w:r>
      <w:r w:rsidR="002B7F68">
        <w:t>según</w:t>
      </w:r>
      <w:r w:rsidR="008E21DD">
        <w:t xml:space="preserve"> Ruíz Torres: “aquí la impronta jurisdiccional continuó siendo muy manifiesta […] De ahí el corto avance en el sentido de una monarquía administrativa y </w:t>
      </w:r>
      <w:r w:rsidR="008E21DD">
        <w:lastRenderedPageBreak/>
        <w:t>centralizada y la fuerte impronta jurisdiccional que siguió manifestándose en la Constitución de 1812.”</w:t>
      </w:r>
      <w:r w:rsidR="00126721">
        <w:rPr>
          <w:rStyle w:val="Refdenotaalpie"/>
        </w:rPr>
        <w:footnoteReference w:id="24"/>
      </w:r>
      <w:r w:rsidR="005A77FF">
        <w:t xml:space="preserve"> </w:t>
      </w:r>
    </w:p>
    <w:p w14:paraId="68A4712C" w14:textId="4A650DD9" w:rsidR="003773DB" w:rsidRDefault="00614710" w:rsidP="008C6989">
      <w:r w:rsidRPr="00B9631D">
        <w:t xml:space="preserve">Dios era la fuente de toda </w:t>
      </w:r>
      <w:r w:rsidRPr="00D14DD0">
        <w:t>jurisdicción</w:t>
      </w:r>
    </w:p>
    <w:p w14:paraId="21D10C22" w14:textId="709CD2CE" w:rsidR="00614710" w:rsidRDefault="00614710" w:rsidP="008C6989">
      <w:r w:rsidRPr="00B9631D">
        <w:t xml:space="preserve">por la cual se les había dado </w:t>
      </w:r>
      <w:r>
        <w:rPr>
          <w:i/>
        </w:rPr>
        <w:t>auctoritas</w:t>
      </w:r>
      <w:r w:rsidRPr="00B9631D">
        <w:t xml:space="preserve"> a los pontífices y príncipes para juzgar y gobernar</w:t>
      </w:r>
    </w:p>
    <w:p w14:paraId="4B50273D" w14:textId="592ABDD2" w:rsidR="00614710" w:rsidRDefault="00614710" w:rsidP="008C6989">
      <w:r w:rsidRPr="00B9631D">
        <w:t xml:space="preserve">En el caso del monarca se denominaba majestad, sinónimo de </w:t>
      </w:r>
      <w:r w:rsidRPr="00B9631D">
        <w:rPr>
          <w:i/>
        </w:rPr>
        <w:t>potestas</w:t>
      </w:r>
      <w:r w:rsidRPr="00B9631D">
        <w:t>, con la cual podía hacer uso del castigo</w:t>
      </w:r>
    </w:p>
    <w:p w14:paraId="1AC909CF" w14:textId="54CA2B3A" w:rsidR="0057471E" w:rsidRDefault="00614710" w:rsidP="008C6989">
      <w:r w:rsidRPr="00B9631D">
        <w:t>para ser temido, y de la misericordia, para ser amado</w:t>
      </w:r>
    </w:p>
    <w:p w14:paraId="30A5696C" w14:textId="52741257" w:rsidR="00614710" w:rsidRDefault="00614710" w:rsidP="008C6989">
      <w:r w:rsidRPr="00B9631D">
        <w:t>Como característica de una regalía mayor y correspondiente a la suma potestad, el soberano no podía desprenderse del “derecho mayestático” de indultar en ningún vasallo “ni por prescripción, costumbre o privilegio</w:t>
      </w:r>
      <w:r>
        <w:t>.</w:t>
      </w:r>
      <w:r w:rsidRPr="00B9631D">
        <w:t>”</w:t>
      </w:r>
    </w:p>
    <w:p w14:paraId="298AFE42" w14:textId="7704B051" w:rsidR="00614710" w:rsidRDefault="00614710" w:rsidP="008C6989">
      <w:r w:rsidRPr="00B9631D">
        <w:t>De allí se desprende que se considerara al derecho de conceder indultos “una de las mas preciosas Regalías que adornan la corona de los Soberanos”, sobre todo porque conllevaba la potestad de remitir o conmutar la pena de aquellos que eran legítimos acreedores de la misma</w:t>
      </w:r>
    </w:p>
    <w:p w14:paraId="5448ECF6" w14:textId="77777777" w:rsidR="00614710" w:rsidRDefault="00614710" w:rsidP="008C6989"/>
    <w:p w14:paraId="0CB7820C" w14:textId="77777777" w:rsidR="00614710" w:rsidRDefault="00614710" w:rsidP="008C6989"/>
    <w:p w14:paraId="49F0790F" w14:textId="77777777" w:rsidR="00614710" w:rsidRPr="008C6989" w:rsidRDefault="00614710" w:rsidP="008C6989"/>
    <w:p w14:paraId="6F99CDE2" w14:textId="77777777" w:rsidR="000F0EAD" w:rsidRDefault="000F0EAD" w:rsidP="000F0EAD">
      <w:pPr>
        <w:rPr>
          <w:lang w:val="es-ES_tradnl" w:eastAsia="es-ES"/>
        </w:rPr>
      </w:pPr>
      <w:r w:rsidRPr="008F5280">
        <w:rPr>
          <w:highlight w:val="yellow"/>
          <w:lang w:val="es-ES_tradnl" w:eastAsia="es-ES"/>
        </w:rPr>
        <w:t>¿Por qué dios le otorga al príncipe su poder? Para castigar y perdonar. Según Mariana, las sociedades y la potestad regia surgen con el propósito de protegerse de los peligros de la violencia y los asesinatos, es decir, de los abusos de los fuertes a los débiles.</w:t>
      </w:r>
      <w:r w:rsidRPr="008F5280">
        <w:rPr>
          <w:rStyle w:val="Refdenotaalpie"/>
          <w:highlight w:val="yellow"/>
          <w:lang w:val="es-ES_tradnl" w:eastAsia="es-ES"/>
        </w:rPr>
        <w:footnoteReference w:id="25"/>
      </w:r>
      <w:r>
        <w:rPr>
          <w:lang w:val="es-ES_tradnl" w:eastAsia="es-ES"/>
        </w:rPr>
        <w:t xml:space="preserve"> El castigo como demostración de la fuerza del príncipe tendría como origen evitar que los “malvados” actuaran contra los “buenos”, pero si todo fuese temor, el rey no podría atraer el amor de los súbditos, por ello dios le otorgó la clemencia como modo de canalizar su compasión y atraer el amor.</w:t>
      </w:r>
    </w:p>
    <w:p w14:paraId="7A7C4205" w14:textId="77777777" w:rsidR="000F0EAD" w:rsidRDefault="000F0EAD" w:rsidP="000F0EAD">
      <w:pPr>
        <w:rPr>
          <w:lang w:val="es-ES_tradnl" w:eastAsia="es-ES"/>
        </w:rPr>
      </w:pPr>
    </w:p>
    <w:p w14:paraId="2101161E" w14:textId="77777777" w:rsidR="000F0EAD" w:rsidRPr="00832F46" w:rsidRDefault="000F0EAD" w:rsidP="000F0EAD">
      <w:pPr>
        <w:rPr>
          <w:lang w:val="es-ES_tradnl" w:eastAsia="es-ES"/>
        </w:rPr>
      </w:pPr>
    </w:p>
    <w:p w14:paraId="41BA304D" w14:textId="28776FB3" w:rsidR="000F0EAD" w:rsidRDefault="000F0EAD" w:rsidP="000F0EAD">
      <w:r>
        <w:lastRenderedPageBreak/>
        <w:t>En esta lógica, era el temor a la espada lo que hacía agradecer la clemencia, cuando el rey o sus delegados pudiendo castigar justificadamente no lo hacía estaban demostrando la grandeza del príncipe</w:t>
      </w:r>
      <w:r>
        <w:rPr>
          <w:rStyle w:val="Refdenotaalpie"/>
        </w:rPr>
        <w:footnoteReference w:id="26"/>
      </w:r>
      <w:r>
        <w:t>.</w:t>
      </w:r>
    </w:p>
    <w:p w14:paraId="1EDBC4AE" w14:textId="77777777" w:rsidR="000F0EAD" w:rsidRPr="0083523B" w:rsidRDefault="000F0EAD" w:rsidP="000F0EAD"/>
    <w:p w14:paraId="7014FE5B" w14:textId="77777777" w:rsidR="000F0EAD" w:rsidRDefault="000F0EAD" w:rsidP="000F0EAD">
      <w:r>
        <w:t>Por otra parte, el poder del rey no se vería disminuido por ejecutar actos de clemencia, al contrario, representaba la posibilidad de demostrar la magnificencia de la potestad regia, incomparable con ningún agente de la monarquía. Como lo señaló Michel Foucault: “El poder soberano que le ordenaba matar y mataba por medio de él no estaba presente en el verdugo ni se identificaba con su encarnizamiento. Y precisamente jamás aparecía tal poder con más esplendor que cuando interrumpía el gesto del verdugo con un mensaje de indulto.”</w:t>
      </w:r>
      <w:r>
        <w:rPr>
          <w:rStyle w:val="Refdenotaalpie"/>
        </w:rPr>
        <w:footnoteReference w:id="27"/>
      </w:r>
      <w:r>
        <w:t xml:space="preserve"> De allí la idea, tomada de Séneca y difundida vía Tomás de Aquino, según la cual perdonar consistía</w:t>
      </w:r>
      <w:r w:rsidRPr="00B9631D">
        <w:t xml:space="preserve"> en no castigar a quien merecía serlo, es decir, </w:t>
      </w:r>
      <w:r>
        <w:t>en</w:t>
      </w:r>
      <w:r w:rsidRPr="00B9631D">
        <w:t xml:space="preserve"> la remisión de un castigo que debía ser</w:t>
      </w:r>
      <w:r>
        <w:t>, en justicia,</w:t>
      </w:r>
      <w:r w:rsidRPr="00B9631D">
        <w:t xml:space="preserve"> infligido</w:t>
      </w:r>
      <w:r>
        <w:t>.</w:t>
      </w:r>
      <w:r w:rsidRPr="002B6C75">
        <w:rPr>
          <w:rStyle w:val="Refdenotaalpie"/>
        </w:rPr>
        <w:footnoteReference w:id="28"/>
      </w:r>
    </w:p>
    <w:p w14:paraId="706EDD45" w14:textId="77777777" w:rsidR="000F0EAD" w:rsidRDefault="000F0EAD" w:rsidP="000F0EAD"/>
    <w:p w14:paraId="682B95C7" w14:textId="77777777" w:rsidR="000F0EAD" w:rsidRPr="00466C1B" w:rsidRDefault="000F0EAD" w:rsidP="000F0EAD"/>
    <w:p w14:paraId="6B1DDAEB" w14:textId="77777777" w:rsidR="000F0EAD" w:rsidRDefault="000F0EAD" w:rsidP="000F0EAD">
      <w:r>
        <w:t>La justicia y la misericordia se consideraba debían ir juntas en los procedimientos judiciales, como alegorizó Calderón de la Barca:</w:t>
      </w:r>
    </w:p>
    <w:p w14:paraId="73644B3A" w14:textId="77777777" w:rsidR="000F0EAD" w:rsidRDefault="000F0EAD" w:rsidP="000F0EAD">
      <w:pPr>
        <w:pStyle w:val="Cita"/>
      </w:pPr>
      <w:r>
        <w:t>Id, pues, con la circunstancia</w:t>
      </w:r>
    </w:p>
    <w:p w14:paraId="69A6D299" w14:textId="77777777" w:rsidR="000F0EAD" w:rsidRDefault="000F0EAD" w:rsidP="000F0EAD">
      <w:pPr>
        <w:pStyle w:val="Cita"/>
      </w:pPr>
      <w:r>
        <w:t>de que vas, Misericordia,</w:t>
      </w:r>
    </w:p>
    <w:p w14:paraId="3FEA3264" w14:textId="77777777" w:rsidR="000F0EAD" w:rsidRDefault="000F0EAD" w:rsidP="000F0EAD">
      <w:pPr>
        <w:pStyle w:val="Cita"/>
      </w:pPr>
      <w:r>
        <w:t>de Justicia acompañada,</w:t>
      </w:r>
    </w:p>
    <w:p w14:paraId="169BF501" w14:textId="77777777" w:rsidR="000F0EAD" w:rsidRDefault="000F0EAD" w:rsidP="000F0EAD">
      <w:pPr>
        <w:pStyle w:val="Cita"/>
      </w:pPr>
      <w:r>
        <w:t xml:space="preserve">para que guardes justicia; </w:t>
      </w:r>
    </w:p>
    <w:p w14:paraId="7812F68F" w14:textId="77777777" w:rsidR="000F0EAD" w:rsidRDefault="000F0EAD" w:rsidP="000F0EAD">
      <w:pPr>
        <w:pStyle w:val="Cita"/>
      </w:pPr>
      <w:r>
        <w:t>y tú, Justicia, repara</w:t>
      </w:r>
    </w:p>
    <w:p w14:paraId="0A89CBEE" w14:textId="77777777" w:rsidR="000F0EAD" w:rsidRDefault="000F0EAD" w:rsidP="000F0EAD">
      <w:pPr>
        <w:pStyle w:val="Cita"/>
      </w:pPr>
      <w:r>
        <w:t>en que con Misericordia</w:t>
      </w:r>
    </w:p>
    <w:p w14:paraId="6361263A" w14:textId="77777777" w:rsidR="000F0EAD" w:rsidRDefault="000F0EAD" w:rsidP="000F0EAD">
      <w:pPr>
        <w:pStyle w:val="Cita"/>
      </w:pPr>
      <w:r>
        <w:t>vas también para guardarla;</w:t>
      </w:r>
    </w:p>
    <w:p w14:paraId="210464D3" w14:textId="77777777" w:rsidR="000F0EAD" w:rsidRDefault="000F0EAD" w:rsidP="000F0EAD">
      <w:pPr>
        <w:pStyle w:val="Cita"/>
      </w:pPr>
      <w:r>
        <w:t>que no será acierto en una</w:t>
      </w:r>
    </w:p>
    <w:p w14:paraId="409CBFC1" w14:textId="77777777" w:rsidR="000F0EAD" w:rsidRDefault="000F0EAD" w:rsidP="000F0EAD">
      <w:pPr>
        <w:pStyle w:val="Cita"/>
      </w:pPr>
      <w:r>
        <w:t>si no se da unión en ambas.</w:t>
      </w:r>
      <w:r>
        <w:rPr>
          <w:rStyle w:val="Refdenotaalpie"/>
        </w:rPr>
        <w:footnoteReference w:id="29"/>
      </w:r>
      <w:r>
        <w:t xml:space="preserve"> </w:t>
      </w:r>
    </w:p>
    <w:p w14:paraId="5875256E" w14:textId="77777777" w:rsidR="000F0EAD" w:rsidRPr="00CE1F32" w:rsidRDefault="000F0EAD" w:rsidP="000F0EAD"/>
    <w:p w14:paraId="2129D065" w14:textId="77777777" w:rsidR="000F0EAD" w:rsidRDefault="000F0EAD" w:rsidP="000F0EAD"/>
    <w:p w14:paraId="08E0D98D" w14:textId="26633446" w:rsidR="00FF75DB" w:rsidRDefault="00FF75DB" w:rsidP="00F32E78">
      <w:pPr>
        <w:pStyle w:val="Ttulo2"/>
        <w:numPr>
          <w:ilvl w:val="1"/>
          <w:numId w:val="28"/>
        </w:numPr>
        <w:rPr>
          <w:highlight w:val="yellow"/>
        </w:rPr>
      </w:pPr>
      <w:r>
        <w:rPr>
          <w:highlight w:val="yellow"/>
        </w:rPr>
        <w:lastRenderedPageBreak/>
        <w:t>El perdón como resultado virtuoso</w:t>
      </w:r>
      <w:r w:rsidR="00ED6883">
        <w:rPr>
          <w:highlight w:val="yellow"/>
        </w:rPr>
        <w:t xml:space="preserve"> de la clemencia y la gracia</w:t>
      </w:r>
    </w:p>
    <w:p w14:paraId="15AD3170" w14:textId="77777777" w:rsidR="0024383C" w:rsidRDefault="0024383C" w:rsidP="007F24F4"/>
    <w:p w14:paraId="01D9F703" w14:textId="1005844F" w:rsidR="00B75D5F" w:rsidRDefault="00DB4B8E" w:rsidP="002A3D12">
      <w:r w:rsidRPr="000E0A21">
        <w:rPr>
          <w:highlight w:val="yellow"/>
        </w:rPr>
        <w:t>Para comprender el sentido amplio del perdón conviene analiz</w:t>
      </w:r>
      <w:r w:rsidR="0026170B" w:rsidRPr="000E0A21">
        <w:rPr>
          <w:highlight w:val="yellow"/>
        </w:rPr>
        <w:t xml:space="preserve">arlo </w:t>
      </w:r>
      <w:r w:rsidR="00FF75DB" w:rsidRPr="000E0A21">
        <w:rPr>
          <w:highlight w:val="yellow"/>
        </w:rPr>
        <w:t>desde</w:t>
      </w:r>
      <w:r w:rsidR="00F4170E" w:rsidRPr="000E0A21">
        <w:rPr>
          <w:highlight w:val="yellow"/>
        </w:rPr>
        <w:t xml:space="preserve"> la </w:t>
      </w:r>
      <w:r w:rsidR="00FF75DB" w:rsidRPr="000E0A21">
        <w:rPr>
          <w:highlight w:val="yellow"/>
        </w:rPr>
        <w:t>lógica</w:t>
      </w:r>
      <w:r w:rsidR="00F4170E" w:rsidRPr="000E0A21">
        <w:rPr>
          <w:highlight w:val="yellow"/>
        </w:rPr>
        <w:t xml:space="preserve"> </w:t>
      </w:r>
      <w:r w:rsidR="009E6782" w:rsidRPr="000E0A21">
        <w:rPr>
          <w:highlight w:val="yellow"/>
        </w:rPr>
        <w:t>del poder político</w:t>
      </w:r>
      <w:r w:rsidR="00FF75DB" w:rsidRPr="000E0A21">
        <w:rPr>
          <w:highlight w:val="yellow"/>
        </w:rPr>
        <w:t xml:space="preserve"> del antiguo régimen que</w:t>
      </w:r>
      <w:r w:rsidR="00F4170E" w:rsidRPr="000E0A21">
        <w:rPr>
          <w:highlight w:val="yellow"/>
        </w:rPr>
        <w:t xml:space="preserve"> replicaba las virtudes cristianas como </w:t>
      </w:r>
      <w:r w:rsidR="009E6782" w:rsidRPr="000E0A21">
        <w:rPr>
          <w:highlight w:val="yellow"/>
        </w:rPr>
        <w:t>parte del ejercicio de la potestad</w:t>
      </w:r>
      <w:r w:rsidR="00FF75DB" w:rsidRPr="000E0A21">
        <w:rPr>
          <w:highlight w:val="yellow"/>
        </w:rPr>
        <w:t>, las cuales no se limitaban al fuero interno del soberano en tanto se evidenciaban en la pragmática del poder regio</w:t>
      </w:r>
      <w:r w:rsidR="00F4170E" w:rsidRPr="000E0A21">
        <w:rPr>
          <w:highlight w:val="yellow"/>
        </w:rPr>
        <w:t>.</w:t>
      </w:r>
      <w:r w:rsidR="001E0330">
        <w:t xml:space="preserve"> El príncipe debía recurrir a las virtudes para gobernar en justicia porque su obra no se consideraba exclusivamente terrena, en este sentido vale la premisa del jesuita Pedro de Ribadeneyr</w:t>
      </w:r>
      <w:r w:rsidR="0062417A">
        <w:t xml:space="preserve">a, quien en su tratado </w:t>
      </w:r>
      <w:r w:rsidR="00033206">
        <w:t>“</w:t>
      </w:r>
      <w:r w:rsidR="0062417A">
        <w:t>anti</w:t>
      </w:r>
      <w:r w:rsidR="000E0A21">
        <w:t>-</w:t>
      </w:r>
      <w:r w:rsidR="0062417A">
        <w:t>maquiavélico</w:t>
      </w:r>
      <w:r w:rsidR="00033206">
        <w:t>”</w:t>
      </w:r>
      <w:r w:rsidR="00B75D5F">
        <w:rPr>
          <w:rStyle w:val="Refdenotaalpie"/>
        </w:rPr>
        <w:footnoteReference w:id="30"/>
      </w:r>
      <w:r w:rsidR="0062417A">
        <w:t xml:space="preserve"> afirmó:</w:t>
      </w:r>
      <w:r w:rsidR="001E0330">
        <w:t xml:space="preserve"> “El ser y poder del Rey, es una participacion del ser y poder divino: y assi re</w:t>
      </w:r>
      <w:r w:rsidR="00EB3385">
        <w:t>q</w:t>
      </w:r>
      <w:r w:rsidR="001E0330">
        <w:t>uiere favor del Cielo, y divino, para poderle dignamente sustentar.”</w:t>
      </w:r>
      <w:r w:rsidR="001E0330">
        <w:rPr>
          <w:rStyle w:val="Refdenotaalpie"/>
        </w:rPr>
        <w:footnoteReference w:id="31"/>
      </w:r>
      <w:r w:rsidR="00EB3385">
        <w:t xml:space="preserve"> </w:t>
      </w:r>
      <w:r w:rsidR="00FF75DB">
        <w:t>Virtudes como la justicia, la p</w:t>
      </w:r>
      <w:r w:rsidR="008C7F0E">
        <w:t xml:space="preserve">rudencia, </w:t>
      </w:r>
      <w:r w:rsidR="00FF75DB">
        <w:t xml:space="preserve">la </w:t>
      </w:r>
      <w:r w:rsidR="008C7F0E">
        <w:t xml:space="preserve">gracia </w:t>
      </w:r>
      <w:r w:rsidR="00FF75DB">
        <w:t xml:space="preserve">o la </w:t>
      </w:r>
      <w:r w:rsidR="00EB3385">
        <w:t xml:space="preserve">clemencia formaban parte integral de la majestad de la entidad regia, </w:t>
      </w:r>
      <w:r w:rsidR="000E0A21">
        <w:t xml:space="preserve">haciendo </w:t>
      </w:r>
      <w:r w:rsidR="00EB3385">
        <w:t xml:space="preserve">incomprensible la figura de un príncipe cristiano carente de virtudes, en </w:t>
      </w:r>
      <w:r w:rsidR="00126935">
        <w:t>cuyo</w:t>
      </w:r>
      <w:r w:rsidR="00EB3385">
        <w:t xml:space="preserve"> caso ya no sería considerado rey sino tirano.</w:t>
      </w:r>
      <w:r w:rsidR="00C24EFF">
        <w:rPr>
          <w:rStyle w:val="Refdenotaalpie"/>
        </w:rPr>
        <w:footnoteReference w:id="32"/>
      </w:r>
      <w:r w:rsidR="00EB3385">
        <w:t xml:space="preserve"> Un ejemplo de esta idea fue señalada por el también jesuita Juan de Mariana cuando afirmó: “</w:t>
      </w:r>
      <w:r w:rsidR="00593D82">
        <w:t>La tiranía, que es la última y peor forma de gobierno, es también antitética de la monarquía, y ejerce sobre los súbditos un poder riguroso</w:t>
      </w:r>
      <w:r w:rsidR="00EB3385">
        <w:t>.</w:t>
      </w:r>
      <w:r w:rsidR="00593D82">
        <w:t xml:space="preserve"> Muchas veces el tirano arrebata el poder mediante la fuerza, pero, aun partiendo de un orden legítimo, degenera en todo género de vicios, principalmente en la codicia, la crueldad y la avaricia.</w:t>
      </w:r>
      <w:r w:rsidR="00EB3385">
        <w:t>”</w:t>
      </w:r>
      <w:r w:rsidR="00C3030E">
        <w:rPr>
          <w:rStyle w:val="Refdenotaalpie"/>
        </w:rPr>
        <w:footnoteReference w:id="33"/>
      </w:r>
      <w:r w:rsidR="004D1B52">
        <w:t xml:space="preserve"> </w:t>
      </w:r>
      <w:r w:rsidR="00FF75DB">
        <w:t>En este sentido, l</w:t>
      </w:r>
      <w:r w:rsidR="004D1B52">
        <w:t>as virtudes tenían como función ganar la obediencia y el amor de los súbditos</w:t>
      </w:r>
      <w:r w:rsidR="0073488D">
        <w:t xml:space="preserve"> en cambio</w:t>
      </w:r>
      <w:r w:rsidR="004D1B52">
        <w:t xml:space="preserve"> la tiran</w:t>
      </w:r>
      <w:r w:rsidR="00B530AB">
        <w:t xml:space="preserve">ía </w:t>
      </w:r>
      <w:r w:rsidR="0073488D">
        <w:t>lograría la</w:t>
      </w:r>
      <w:r w:rsidR="00B530AB">
        <w:t xml:space="preserve"> </w:t>
      </w:r>
      <w:r w:rsidR="0073488D">
        <w:t>sujeción</w:t>
      </w:r>
      <w:r w:rsidR="00B530AB">
        <w:t xml:space="preserve"> </w:t>
      </w:r>
      <w:r w:rsidR="004D1B52">
        <w:t>sólo con terror y</w:t>
      </w:r>
      <w:r w:rsidR="002367B0">
        <w:t xml:space="preserve"> temor.</w:t>
      </w:r>
      <w:r w:rsidR="004D1B52">
        <w:rPr>
          <w:rStyle w:val="Refdenotaalpie"/>
        </w:rPr>
        <w:footnoteReference w:id="34"/>
      </w:r>
    </w:p>
    <w:p w14:paraId="2164512C" w14:textId="3F47BA5D" w:rsidR="0012263D" w:rsidRDefault="006B51F8" w:rsidP="002A3D12">
      <w:r>
        <w:lastRenderedPageBreak/>
        <w:t xml:space="preserve">No todas las virtudes del príncipe tenían relación con el perdón real. </w:t>
      </w:r>
      <w:r w:rsidR="004D05B9">
        <w:t xml:space="preserve">Dentro de la jerarquía de la ética cristiana, el perdón estaba relacionado con mayor fuerza con la justicia, entendida esta como una virtud cardinal. Sin embargo, el perdón no era </w:t>
      </w:r>
      <w:r w:rsidR="00055714">
        <w:t xml:space="preserve">en sí mismo </w:t>
      </w:r>
      <w:r w:rsidR="004D05B9">
        <w:t>justicia ya que para que hubiese indulto se presumía culpabilidad</w:t>
      </w:r>
      <w:r w:rsidR="000560AE">
        <w:t>;</w:t>
      </w:r>
      <w:r w:rsidR="00055714">
        <w:rPr>
          <w:rStyle w:val="Refdenotaalpie"/>
        </w:rPr>
        <w:footnoteReference w:id="35"/>
      </w:r>
      <w:r w:rsidR="000560AE">
        <w:t xml:space="preserve"> como otras acciones del poder regio que tenían efecto en la justicia se consideraba al perdón como un acto excepcional</w:t>
      </w:r>
      <w:r w:rsidR="00B41251">
        <w:t xml:space="preserve">, expresión de la magnificencia de la potestad regia, </w:t>
      </w:r>
      <w:r w:rsidR="00B41251" w:rsidRPr="00B41251">
        <w:rPr>
          <w:highlight w:val="yellow"/>
        </w:rPr>
        <w:t>(la corte santa)</w:t>
      </w:r>
      <w:r w:rsidR="000560AE">
        <w:t xml:space="preserve"> puesto que </w:t>
      </w:r>
      <w:r w:rsidR="004D05B9">
        <w:t xml:space="preserve">para </w:t>
      </w:r>
      <w:r w:rsidR="000560AE">
        <w:t>aquellos</w:t>
      </w:r>
      <w:r w:rsidR="004D05B9">
        <w:t xml:space="preserve"> casos en los </w:t>
      </w:r>
      <w:r w:rsidR="004F2FDB">
        <w:t xml:space="preserve">que </w:t>
      </w:r>
      <w:r w:rsidR="000560AE">
        <w:t>el castigo derivaba de</w:t>
      </w:r>
      <w:r w:rsidR="004D05B9">
        <w:t xml:space="preserve"> un mal proceso, cohecho, maleficen</w:t>
      </w:r>
      <w:r w:rsidR="000560AE">
        <w:t>cia o cualquier otra injusticia;</w:t>
      </w:r>
      <w:r w:rsidR="004D05B9">
        <w:t xml:space="preserve"> se podía recurrir </w:t>
      </w:r>
      <w:r w:rsidR="004F2FDB">
        <w:t>las garantías</w:t>
      </w:r>
      <w:r w:rsidR="004D05B9">
        <w:t xml:space="preserve"> que para ello disponía el derecho como </w:t>
      </w:r>
      <w:r w:rsidR="004F2FDB">
        <w:t xml:space="preserve">eran </w:t>
      </w:r>
      <w:r w:rsidR="004D05B9">
        <w:t xml:space="preserve">las </w:t>
      </w:r>
      <w:r w:rsidR="00E910A7">
        <w:t xml:space="preserve">recusaciones, </w:t>
      </w:r>
      <w:r w:rsidR="004D05B9">
        <w:t>apelaciones o las súplicas</w:t>
      </w:r>
      <w:r w:rsidR="00EB679F">
        <w:t>.</w:t>
      </w:r>
      <w:r w:rsidR="00E910A7">
        <w:rPr>
          <w:rStyle w:val="Refdenotaalpie"/>
        </w:rPr>
        <w:footnoteReference w:id="36"/>
      </w:r>
      <w:r w:rsidR="006746FE">
        <w:t xml:space="preserve"> </w:t>
      </w:r>
      <w:r w:rsidR="0012263D">
        <w:t xml:space="preserve">La complejidad de la intrincada red de virtudes asociadas a la justicia y lo político en el antiguo régimen precisa que se distingan aquí aquellas que tuvieron mayor vinculación con el perdón real como fueron la clemencia y la gracia, las cuales a su vez servían como indicadores de la moderación de otras virtudes como la indulgencia, la misericordia o la liberalidad; del mismo modo que representaban la restricción a los vicios de la ira, la inclemencia, la crueldad o la avaricia. </w:t>
      </w:r>
      <w:r w:rsidR="006746FE">
        <w:t xml:space="preserve">Desde esta perspectiva se pretende desambiguar, hasta cierto punto, la compleja polisemia de términos que dependiendo del contexto de enunciación pueden confundirse, verbigracia la gracia, clemencia, misericordia, bondad, perdón e indulto. </w:t>
      </w:r>
    </w:p>
    <w:p w14:paraId="1F67F723" w14:textId="7D473C84" w:rsidR="008C7F0E" w:rsidRDefault="003D647C" w:rsidP="002A3D12">
      <w:r>
        <w:t xml:space="preserve">Para iniciar el análisis de la clemencia, es </w:t>
      </w:r>
      <w:r w:rsidR="00135A97">
        <w:t xml:space="preserve">relevante la definición construida en el </w:t>
      </w:r>
      <w:r w:rsidR="00135A97">
        <w:rPr>
          <w:i/>
        </w:rPr>
        <w:t>Diccionario de autoridades</w:t>
      </w:r>
      <w:r w:rsidR="00135A97">
        <w:t xml:space="preserve"> de 1726, la cual rezaba:</w:t>
      </w:r>
    </w:p>
    <w:p w14:paraId="584C2C2A" w14:textId="26432DCB" w:rsidR="00135A97" w:rsidRPr="00135A97" w:rsidRDefault="00F65E56" w:rsidP="00F65E56">
      <w:pPr>
        <w:pStyle w:val="Cita"/>
      </w:pPr>
      <w:r>
        <w:t xml:space="preserve">CLEMENCIA </w:t>
      </w:r>
      <w:r w:rsidRPr="000F59E1">
        <w:t xml:space="preserve">s. f. Es, segun Séneca, Blandúra y templanza del ánimo en el Príncipe, ò en el Superiór que tiene potestad de tomar venganza y de castigar. Es voz puramente Latina </w:t>
      </w:r>
      <w:r w:rsidRPr="004C2E13">
        <w:rPr>
          <w:i/>
        </w:rPr>
        <w:t>Clementia</w:t>
      </w:r>
      <w:r w:rsidRPr="000F59E1">
        <w:t xml:space="preserve">. COMEND. sob. las 300. fol. 37. La </w:t>
      </w:r>
      <w:r w:rsidRPr="004C2E13">
        <w:rPr>
          <w:i/>
        </w:rPr>
        <w:t>cleméncia</w:t>
      </w:r>
      <w:r w:rsidRPr="000F59E1">
        <w:t xml:space="preserve"> es necessaria en los Reyes y Príncipes mäs que otra virtud algúna. NIEREMB. Obr. y dias, cap. 16. Por la </w:t>
      </w:r>
      <w:r w:rsidRPr="004C2E13">
        <w:rPr>
          <w:i/>
        </w:rPr>
        <w:t>cleméncia</w:t>
      </w:r>
      <w:r w:rsidRPr="000F59E1">
        <w:t xml:space="preserve"> muestra el Príncipe que ama al particulár, y por la justicia à la República. SAAV. Empr. 22. La confianza del </w:t>
      </w:r>
      <w:r>
        <w:t>perdón hace atrevidos à los s</w:t>
      </w:r>
      <w:r w:rsidRPr="000F59E1">
        <w:t>ú</w:t>
      </w:r>
      <w:r>
        <w:t>b</w:t>
      </w:r>
      <w:r w:rsidRPr="000F59E1">
        <w:t xml:space="preserve">ditos; y la </w:t>
      </w:r>
      <w:r w:rsidRPr="00450953">
        <w:rPr>
          <w:i/>
        </w:rPr>
        <w:t>cleméncia</w:t>
      </w:r>
      <w:r w:rsidRPr="000F59E1">
        <w:t xml:space="preserve"> desordenada cria desprecios, ocasiona desacátos, y causa la ruina de los Estádos.</w:t>
      </w:r>
    </w:p>
    <w:p w14:paraId="64CB3463" w14:textId="77777777" w:rsidR="006F40B7" w:rsidRDefault="006F40B7" w:rsidP="00C54558"/>
    <w:p w14:paraId="74D29C7A" w14:textId="555B42CF" w:rsidR="001858CC" w:rsidRDefault="00F65E56" w:rsidP="00C05F45">
      <w:r>
        <w:lastRenderedPageBreak/>
        <w:t>La definición, tomada de</w:t>
      </w:r>
      <w:r w:rsidR="009639EA">
        <w:t>l libro</w:t>
      </w:r>
      <w:r w:rsidR="009639EA" w:rsidRPr="009639EA">
        <w:rPr>
          <w:i/>
        </w:rPr>
        <w:t xml:space="preserve"> </w:t>
      </w:r>
      <w:r w:rsidR="009639EA">
        <w:rPr>
          <w:i/>
        </w:rPr>
        <w:t>De clementia</w:t>
      </w:r>
      <w:r w:rsidR="009639EA">
        <w:t xml:space="preserve"> de</w:t>
      </w:r>
      <w:r>
        <w:t xml:space="preserve"> Séneca,</w:t>
      </w:r>
      <w:r w:rsidR="00F96FD3">
        <w:rPr>
          <w:rStyle w:val="Refdenotaalpie"/>
        </w:rPr>
        <w:footnoteReference w:id="37"/>
      </w:r>
      <w:r w:rsidR="009639EA">
        <w:t xml:space="preserve"> remite a su frase</w:t>
      </w:r>
      <w:r>
        <w:t>: “</w:t>
      </w:r>
      <w:r w:rsidRPr="003145D6">
        <w:rPr>
          <w:i/>
        </w:rPr>
        <w:t>Clementia est temperantia animi in potestate ulciscendi vel lenitas superioris adversus inferiorem in constituendis poenis</w:t>
      </w:r>
      <w:r>
        <w:t xml:space="preserve">.” </w:t>
      </w:r>
      <w:r w:rsidR="00CC2DB7">
        <w:t>(</w:t>
      </w:r>
      <w:r>
        <w:t xml:space="preserve">“La clemencia es la moderación del ánimo para ejercer la potestad de venganza, o la blandura del superior respecto al inferior </w:t>
      </w:r>
      <w:r w:rsidR="00CC2DB7">
        <w:t>en la determinación de una pena</w:t>
      </w:r>
      <w:r>
        <w:t>”</w:t>
      </w:r>
      <w:r w:rsidR="00CC2DB7">
        <w:t>).</w:t>
      </w:r>
      <w:r>
        <w:rPr>
          <w:rStyle w:val="Refdenotaalpie"/>
          <w:lang w:eastAsia="es-ES"/>
        </w:rPr>
        <w:footnoteReference w:id="38"/>
      </w:r>
      <w:r>
        <w:t xml:space="preserve"> A pesar de su brevedad, esta sentencia contiene los elementos fundamentales para la comprensión de la clemencia como virtud de los príncipes: se ejerce de los superiores a los inferiores, ya que son quienes tienen la capacidad de castigar; modera el ánimo y evita que el rey caiga en el pecado de la ira; y presume la justicia de la pena ya que no indica que se repare la injusticia o el exceso de rigor. </w:t>
      </w:r>
      <w:r w:rsidR="00F96FD3">
        <w:t>Del mismo modo, las tres autoridades utilizadas para mostrar el uso correcto de la palabra,</w:t>
      </w:r>
      <w:r w:rsidR="00F96FD3">
        <w:rPr>
          <w:rStyle w:val="Refdenotaalpie"/>
        </w:rPr>
        <w:footnoteReference w:id="39"/>
      </w:r>
      <w:r w:rsidR="00F96FD3">
        <w:t xml:space="preserve"> </w:t>
      </w:r>
      <w:r w:rsidR="00B81CD1">
        <w:t xml:space="preserve">remiten a la estructura lógica de la clemencia: es atribución del príncipe, se usa para ganar el amor de los súbditos, y su exceso conlleva al desorden. </w:t>
      </w:r>
    </w:p>
    <w:p w14:paraId="4057A5DB" w14:textId="6F66D5E5" w:rsidR="004A499C" w:rsidRDefault="001858CC" w:rsidP="005779E7">
      <w:r>
        <w:t xml:space="preserve">Antes de entrar de lleno a los aspectos de la clemencia, vale la pena hacer </w:t>
      </w:r>
      <w:r w:rsidR="00352AAE">
        <w:t xml:space="preserve">la distinción entre ésta y la misericordia. La primera </w:t>
      </w:r>
      <w:r w:rsidR="00E27ACA">
        <w:t>se relaciona con la</w:t>
      </w:r>
      <w:r w:rsidR="00352AAE">
        <w:t xml:space="preserve"> superioridad y venganza, en tanto la segunda implica</w:t>
      </w:r>
      <w:r w:rsidR="00E27ACA">
        <w:t>ba</w:t>
      </w:r>
      <w:r w:rsidR="00352AAE">
        <w:t xml:space="preserve"> compasión y piedad</w:t>
      </w:r>
      <w:r w:rsidR="00E27ACA">
        <w:t>.</w:t>
      </w:r>
      <w:r w:rsidR="00265A20">
        <w:rPr>
          <w:rStyle w:val="Refdenotaalpie"/>
        </w:rPr>
        <w:footnoteReference w:id="40"/>
      </w:r>
      <w:r w:rsidR="00E27ACA">
        <w:t xml:space="preserve"> Ambas fueron fundamentales en el ejercicio del indulto ya que podían incluir en ésta figura no sólo aquellos que fueran justamente castigados sino que además fueran dignos de misericordia, es decir, l</w:t>
      </w:r>
      <w:r w:rsidR="00C87243">
        <w:t>as personas</w:t>
      </w:r>
      <w:r w:rsidR="00E27ACA">
        <w:t xml:space="preserve"> </w:t>
      </w:r>
      <w:r w:rsidR="00116CF3">
        <w:t xml:space="preserve">que por su pobreza, indefensión, enfermedad o ignorancia se incluían en la calidad de </w:t>
      </w:r>
      <w:r w:rsidR="00E27ACA">
        <w:t>miserables;</w:t>
      </w:r>
      <w:r w:rsidR="00D10A0A">
        <w:rPr>
          <w:rStyle w:val="Refdenotaalpie"/>
        </w:rPr>
        <w:footnoteReference w:id="41"/>
      </w:r>
      <w:r w:rsidR="00E27ACA">
        <w:t xml:space="preserve"> q</w:t>
      </w:r>
      <w:r w:rsidR="004A499C">
        <w:t>ue</w:t>
      </w:r>
      <w:r w:rsidR="00E27ACA">
        <w:t xml:space="preserve"> en el orden indiano representaban a la importante población </w:t>
      </w:r>
      <w:r w:rsidR="004A499C">
        <w:t>nativa asociada a esa condición</w:t>
      </w:r>
      <w:r w:rsidR="00E27ACA">
        <w:t>.</w:t>
      </w:r>
      <w:r w:rsidR="00D10A0A" w:rsidRPr="002B6C75">
        <w:rPr>
          <w:rStyle w:val="Refdenotaalpie"/>
        </w:rPr>
        <w:footnoteReference w:id="42"/>
      </w:r>
      <w:r w:rsidR="003100C2" w:rsidRPr="003100C2">
        <w:rPr>
          <w:rStyle w:val="Refdenotaalpie"/>
        </w:rPr>
        <w:t xml:space="preserve"> </w:t>
      </w:r>
      <w:r w:rsidR="005779E7" w:rsidRPr="00B9631D">
        <w:lastRenderedPageBreak/>
        <w:t>Solórzano Pereyra aconsejaba que a los indios les fueran moderadas las penas y que los jueces en las penas corporales “usen más de oficio de padres que de jueces severos hasta que [los indios] se hallen más capaces de razón y más arraigada en</w:t>
      </w:r>
      <w:r w:rsidR="00715314">
        <w:t xml:space="preserve"> la fe esta pobre gente.”</w:t>
      </w:r>
      <w:r w:rsidR="005779E7" w:rsidRPr="002B6C75">
        <w:rPr>
          <w:rStyle w:val="Refdenotaalpie"/>
        </w:rPr>
        <w:footnoteReference w:id="43"/>
      </w:r>
      <w:r w:rsidR="005779E7">
        <w:t xml:space="preserve"> </w:t>
      </w:r>
      <w:r w:rsidR="00C87243">
        <w:t xml:space="preserve">La misericordia con los miserables no </w:t>
      </w:r>
      <w:r w:rsidR="00FE4247">
        <w:t>debía desembocar en injusticia</w:t>
      </w:r>
      <w:r w:rsidR="00C87243">
        <w:t xml:space="preserve">, como </w:t>
      </w:r>
      <w:r w:rsidR="00FE4247">
        <w:t xml:space="preserve">indicaba Castillo de Bovadilla; es decir, </w:t>
      </w:r>
      <w:r w:rsidR="00D10A0A">
        <w:t>se debía evitar</w:t>
      </w:r>
      <w:r w:rsidR="00FE4247">
        <w:t xml:space="preserve"> </w:t>
      </w:r>
      <w:r w:rsidR="00D10A0A">
        <w:t>que a</w:t>
      </w:r>
      <w:r w:rsidR="00FE4247">
        <w:t xml:space="preserve">l resolver </w:t>
      </w:r>
      <w:r w:rsidR="00D10A0A">
        <w:t xml:space="preserve">las causas </w:t>
      </w:r>
      <w:r w:rsidR="00FE4247">
        <w:t>a favor de éstos se causa</w:t>
      </w:r>
      <w:r w:rsidR="00D10A0A">
        <w:t>r</w:t>
      </w:r>
      <w:r w:rsidR="00FE4247">
        <w:t xml:space="preserve">a injuria a </w:t>
      </w:r>
      <w:r w:rsidR="00D10A0A">
        <w:t>otras personas o corporaciones</w:t>
      </w:r>
      <w:r w:rsidR="00FE4247">
        <w:t>.</w:t>
      </w:r>
      <w:r w:rsidR="00715314">
        <w:rPr>
          <w:rStyle w:val="Refdenotaalpie"/>
        </w:rPr>
        <w:footnoteReference w:id="44"/>
      </w:r>
      <w:r w:rsidR="00FE4247">
        <w:t xml:space="preserve"> </w:t>
      </w:r>
    </w:p>
    <w:p w14:paraId="016B5DF5" w14:textId="5E430A01" w:rsidR="00B94D0E" w:rsidRDefault="00D10A0A" w:rsidP="005779E7">
      <w:r>
        <w:t>E</w:t>
      </w:r>
      <w:r w:rsidR="00FE4247">
        <w:t>l perdón era un resultado de la clemencia, propia del pr</w:t>
      </w:r>
      <w:r w:rsidR="00081ED4">
        <w:t>íncipe quien era el único facultado en esencia para poder hacer la remisión de la pena que en justicia se hab</w:t>
      </w:r>
      <w:r>
        <w:t>ía aplicado,</w:t>
      </w:r>
      <w:r w:rsidR="00081ED4">
        <w:rPr>
          <w:rStyle w:val="Refdenotaalpie"/>
        </w:rPr>
        <w:footnoteReference w:id="45"/>
      </w:r>
      <w:r>
        <w:t xml:space="preserve"> </w:t>
      </w:r>
      <w:r w:rsidRPr="0005300F">
        <w:t>lo cual no excluía que el rey</w:t>
      </w:r>
      <w:r w:rsidR="00EA4E33" w:rsidRPr="0005300F">
        <w:t xml:space="preserve"> o sus jueces superiores</w:t>
      </w:r>
      <w:r w:rsidRPr="0005300F">
        <w:t xml:space="preserve"> </w:t>
      </w:r>
      <w:r w:rsidR="00EA4E33" w:rsidRPr="0005300F">
        <w:t>demostrasen</w:t>
      </w:r>
      <w:r w:rsidRPr="0005300F">
        <w:t xml:space="preserve"> misericordia, ya que era finalmente una expresión de</w:t>
      </w:r>
      <w:r w:rsidR="00265A20" w:rsidRPr="0005300F">
        <w:t xml:space="preserve"> la compasión con sus súbditos oprimidos por el peso de sus crímenes.</w:t>
      </w:r>
      <w:r w:rsidR="004A499C">
        <w:t xml:space="preserve">  </w:t>
      </w:r>
      <w:r w:rsidR="004A499C" w:rsidRPr="00B9631D">
        <w:t>Gregorio López cita</w:t>
      </w:r>
      <w:r w:rsidR="004A499C">
        <w:t xml:space="preserve">ba el libro de </w:t>
      </w:r>
      <w:r w:rsidR="004A499C" w:rsidRPr="00B9631D">
        <w:rPr>
          <w:i/>
        </w:rPr>
        <w:t>Proverbia</w:t>
      </w:r>
      <w:r w:rsidR="004A499C" w:rsidRPr="00B9631D">
        <w:t xml:space="preserve"> para indicar que la misericordia y la clemencia eran los sustentos del trono: “</w:t>
      </w:r>
      <w:r w:rsidR="004A499C" w:rsidRPr="00FB1454">
        <w:rPr>
          <w:i/>
        </w:rPr>
        <w:t>Misericordia, et veritas, custodiunt Regem, et roboratur clementia thronus illius</w:t>
      </w:r>
      <w:r w:rsidR="00AA0E9B" w:rsidRPr="00FB1454">
        <w:rPr>
          <w:i/>
        </w:rPr>
        <w:t>.</w:t>
      </w:r>
      <w:r w:rsidR="004A499C" w:rsidRPr="00B9631D">
        <w:t>”</w:t>
      </w:r>
      <w:r w:rsidR="004A499C" w:rsidRPr="002B6C75">
        <w:rPr>
          <w:rStyle w:val="Refdenotaalpie"/>
        </w:rPr>
        <w:footnoteReference w:id="46"/>
      </w:r>
      <w:r w:rsidR="00E32911">
        <w:t xml:space="preserve"> La misericordia</w:t>
      </w:r>
      <w:r w:rsidR="004A499C" w:rsidRPr="00B9631D">
        <w:t xml:space="preserve"> se entiende en su sentido amplio como un sentimiento virtuoso del monarca justo, pero es virtud precisamente porque la ejerce el soberano con magnificencia hacia los súbditos</w:t>
      </w:r>
      <w:r w:rsidR="00AA0E9B">
        <w:t>.</w:t>
      </w:r>
      <w:r w:rsidR="004A499C" w:rsidRPr="002B6C75">
        <w:rPr>
          <w:rStyle w:val="Refdenotaalpie"/>
        </w:rPr>
        <w:footnoteReference w:id="47"/>
      </w:r>
      <w:r w:rsidR="00977FCA">
        <w:t xml:space="preserve"> </w:t>
      </w:r>
      <w:r w:rsidR="004A499C" w:rsidRPr="00B9631D">
        <w:t>Sin embargo, se diferencia de la mansedumbre, que se relaciona con la moderación de la ira, por lo cual la comparten los señores y los vasallos</w:t>
      </w:r>
      <w:r w:rsidR="00AA0E9B">
        <w:t>.</w:t>
      </w:r>
      <w:r w:rsidR="004A499C" w:rsidRPr="002B6C75">
        <w:rPr>
          <w:rStyle w:val="Refdenotaalpie"/>
        </w:rPr>
        <w:footnoteReference w:id="48"/>
      </w:r>
      <w:r w:rsidR="004A499C" w:rsidRPr="00B9631D">
        <w:t xml:space="preserve"> Según Santo Tomás, la</w:t>
      </w:r>
      <w:r w:rsidR="0005300F">
        <w:rPr>
          <w:i/>
        </w:rPr>
        <w:t xml:space="preserve"> </w:t>
      </w:r>
      <w:r w:rsidR="0005300F">
        <w:t>clemencia</w:t>
      </w:r>
      <w:r w:rsidR="004A499C" w:rsidRPr="00B9631D">
        <w:t xml:space="preserve"> y la </w:t>
      </w:r>
      <w:r w:rsidR="0005300F">
        <w:t>mansedumbre</w:t>
      </w:r>
      <w:r w:rsidR="004A499C" w:rsidRPr="00B9631D">
        <w:t xml:space="preserve"> coinciden en </w:t>
      </w:r>
      <w:r w:rsidR="004A499C" w:rsidRPr="00B9631D">
        <w:lastRenderedPageBreak/>
        <w:t>ser virtudes que acercan al cristiano a Dios puesto que lo alejan de la iracundia y la venganza, pero no son equiparables en excelencia a virtudes como la misericordia, la piedad, la prudencia o la justicia, que son probidades que acercan al bien</w:t>
      </w:r>
      <w:r w:rsidR="00911AD5">
        <w:t>.</w:t>
      </w:r>
      <w:r w:rsidR="004A499C" w:rsidRPr="002B6C75">
        <w:rPr>
          <w:rStyle w:val="Refdenotaalpie"/>
        </w:rPr>
        <w:footnoteReference w:id="49"/>
      </w:r>
      <w:r w:rsidR="004A499C" w:rsidRPr="00B9631D">
        <w:t xml:space="preserve"> La diferencia se enmarca en que clemencia sólo la p</w:t>
      </w:r>
      <w:r w:rsidR="00BB7F07">
        <w:t>odría</w:t>
      </w:r>
      <w:r w:rsidR="004A499C" w:rsidRPr="00B9631D">
        <w:t xml:space="preserve"> </w:t>
      </w:r>
      <w:r w:rsidR="00BB7F07">
        <w:t>ejercer</w:t>
      </w:r>
      <w:r w:rsidR="004A499C" w:rsidRPr="00B9631D">
        <w:t xml:space="preserve"> alguien en cuyas manos est</w:t>
      </w:r>
      <w:r w:rsidR="00BB7F07">
        <w:t>uviese</w:t>
      </w:r>
      <w:r w:rsidR="004A499C" w:rsidRPr="00B9631D">
        <w:t xml:space="preserve"> hacer cumplir el castigo y </w:t>
      </w:r>
      <w:r w:rsidR="00BB7F07">
        <w:t>por ende</w:t>
      </w:r>
      <w:r w:rsidR="004A499C" w:rsidRPr="00B9631D">
        <w:t xml:space="preserve"> puede moderar</w:t>
      </w:r>
      <w:r w:rsidR="00BB7F07">
        <w:t xml:space="preserve"> el sufrimiento del delincuente;</w:t>
      </w:r>
      <w:r w:rsidR="004A499C" w:rsidRPr="00B9631D">
        <w:t xml:space="preserve"> como afirmaba Séneca</w:t>
      </w:r>
      <w:r w:rsidR="00BB7F07">
        <w:t>,</w:t>
      </w:r>
      <w:r w:rsidR="004A499C" w:rsidRPr="00B9631D">
        <w:t xml:space="preserve"> “todos los hombres comprenden que la clemencia consiste en acortar la penalidad que podría infligirse con justicia</w:t>
      </w:r>
      <w:r w:rsidR="00911AD5">
        <w:t>.</w:t>
      </w:r>
      <w:r w:rsidR="004A499C" w:rsidRPr="00B9631D">
        <w:t>”</w:t>
      </w:r>
      <w:r w:rsidR="004A499C" w:rsidRPr="002B6C75">
        <w:rPr>
          <w:rStyle w:val="Refdenotaalpie"/>
        </w:rPr>
        <w:footnoteReference w:id="50"/>
      </w:r>
    </w:p>
    <w:p w14:paraId="198A3817" w14:textId="2EE01E69" w:rsidR="000B2B9E" w:rsidRDefault="000B2B9E" w:rsidP="000B2B9E">
      <w:r>
        <w:tab/>
        <w:t>El porqué de la clemencia puede sintetizarse con la siguiente sentencia de Saavedra Fajardo: ““si a todos los que excediesen se uviese de castigar, no auria aquien mandar, porque apenas ai hombre tan justo, que no aya merecido la muerte.”</w:t>
      </w:r>
      <w:r>
        <w:rPr>
          <w:rStyle w:val="Refdenotaalpie"/>
        </w:rPr>
        <w:footnoteReference w:id="51"/>
      </w:r>
      <w:r>
        <w:t xml:space="preserve"> A diferencia del derecho 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condena a pena arbitraria.”</w:t>
      </w:r>
      <w:r>
        <w:rPr>
          <w:rStyle w:val="Refdenotaalpie"/>
        </w:rPr>
        <w:footnoteReference w:id="52"/>
      </w:r>
      <w:r>
        <w:t xml:space="preserve"> Se comprendía que la humanidad había sido condenada desde su origen por el pecado de Adán,</w:t>
      </w:r>
      <w:r>
        <w:rPr>
          <w:rStyle w:val="Refdenotaalpie"/>
        </w:rPr>
        <w:footnoteReference w:id="53"/>
      </w:r>
      <w:r>
        <w:t xml:space="preserve"> por lo cual era imposible encontrar un “hombre justo” de quien se pudiera presumir estaba libre de culpa. Los indicios eran suficientes para que el juez usara su arbitrio y estipulara una pena ordinaria aunque solo se hubiese demostrado la </w:t>
      </w:r>
      <w:r>
        <w:lastRenderedPageBreak/>
        <w:t>“semiculpabilidad” del reo, es decir, cuando a pesar de haber seguido el proceso inquisitorial persistía la duda de su actuación delictiva.</w:t>
      </w:r>
      <w:r>
        <w:rPr>
          <w:rStyle w:val="Refdenotaalpie"/>
        </w:rPr>
        <w:footnoteReference w:id="54"/>
      </w:r>
      <w:r>
        <w:t xml:space="preserve"> </w:t>
      </w:r>
    </w:p>
    <w:p w14:paraId="3AB56B1F" w14:textId="0025CF02" w:rsidR="000B2B9E" w:rsidRDefault="000B2B9E" w:rsidP="000B2B9E">
      <w:r>
        <w:t>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sidR="00A3216A">
        <w:t>.</w:t>
      </w:r>
      <w:r>
        <w:rPr>
          <w:rStyle w:val="Refdenotaalpie"/>
        </w:rPr>
        <w:footnoteReference w:id="55"/>
      </w:r>
      <w:r>
        <w:t xml:space="preserve"> Se partía de la premisa de que la paz de las repúblicas se podría mantener mejor con actos de clemencia que de fuerza, así lo planteaba Guardiola y Sáez por ejemplo, quien en </w:t>
      </w:r>
      <w:r>
        <w:rPr>
          <w:i/>
        </w:rPr>
        <w:t>El corregidor perfecto</w:t>
      </w:r>
      <w:r>
        <w:t xml:space="preserve"> afirmó: “dice Dios por S. Matheo</w:t>
      </w:r>
      <w:r>
        <w:rPr>
          <w:rStyle w:val="Refdenotaalpie"/>
        </w:rPr>
        <w:footnoteReference w:id="56"/>
      </w:r>
      <w:r>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Pr>
          <w:rStyle w:val="Refdenotaalpie"/>
        </w:rPr>
        <w:footnoteReference w:id="57"/>
      </w:r>
    </w:p>
    <w:p w14:paraId="768667A4" w14:textId="78813616" w:rsidR="00B612D7" w:rsidRPr="00B9631D" w:rsidRDefault="000B2B9E" w:rsidP="008E4E99">
      <w:r>
        <w:t>El uso de la clemencia presupone entonces la excepcionalidad</w:t>
      </w:r>
      <w:r w:rsidR="00007A64">
        <w:t>,</w:t>
      </w:r>
      <w:r>
        <w:t xml:space="preserve"> ya que implicaba que el reo fuese castigado </w:t>
      </w:r>
      <w:r w:rsidR="00007A64">
        <w:t xml:space="preserve">previamente </w:t>
      </w:r>
      <w:r>
        <w:t>de manera justa, se suponía que en los casos donde el juicio había sido movido por interés, corruptela, baratería o cohecho, se podía recurrir a requerir la nulidad de la sentencia; del mismo modo, si el reo alegaba que era inocente podía apelar en consecuentes súplicas su libertad.</w:t>
      </w:r>
      <w:r w:rsidR="0042190A">
        <w:t xml:space="preserve"> </w:t>
      </w:r>
      <w:r w:rsidR="0042190A" w:rsidRPr="00B9631D">
        <w:t>La clemencia tendría la función de compensar el rigor, en otro sentido, de minorar la pena ajustada a la ley común. Aunque desde esta perspectiva el perdón estaría cercano a la epiqueya se diferencia de esta en cuanto no se aparta de la intención del legislador (texto de la ley)</w:t>
      </w:r>
      <w:r w:rsidR="00A3216A">
        <w:t>,</w:t>
      </w:r>
      <w:r w:rsidR="0042190A" w:rsidRPr="00B9631D">
        <w:t xml:space="preserve"> sino</w:t>
      </w:r>
      <w:r w:rsidR="00A3216A">
        <w:t xml:space="preserve"> que</w:t>
      </w:r>
      <w:r w:rsidR="0042190A" w:rsidRPr="00B9631D">
        <w:t xml:space="preserve"> modera la aplicación de la pena buscando aquella más benigna</w:t>
      </w:r>
      <w:r w:rsidR="00A3216A">
        <w:t>.</w:t>
      </w:r>
      <w:r w:rsidR="0042190A" w:rsidRPr="002B6C75">
        <w:rPr>
          <w:rStyle w:val="Refdenotaalpie"/>
        </w:rPr>
        <w:footnoteReference w:id="58"/>
      </w:r>
      <w:r w:rsidR="0042190A" w:rsidRPr="00B9631D">
        <w:t xml:space="preserve"> En este sentido, la clemencia podía buscar la equidad cuando la aplicación a rajatabla de la ley común no asumía las condiciones que aminoraban la culpabilidad. Esta idea era representada por la </w:t>
      </w:r>
      <w:r w:rsidR="0042190A" w:rsidRPr="00B9631D">
        <w:rPr>
          <w:i/>
        </w:rPr>
        <w:t>manlia imperia</w:t>
      </w:r>
      <w:r w:rsidR="00A3216A" w:rsidRPr="00A3216A">
        <w:t>,</w:t>
      </w:r>
      <w:r w:rsidR="0042190A" w:rsidRPr="002B6C75">
        <w:rPr>
          <w:rStyle w:val="Refdenotaalpie"/>
        </w:rPr>
        <w:footnoteReference w:id="59"/>
      </w:r>
      <w:r w:rsidR="0042190A" w:rsidRPr="00B9631D">
        <w:t xml:space="preserve"> la cual consideraba que </w:t>
      </w:r>
      <w:r w:rsidR="0042190A" w:rsidRPr="00B9631D">
        <w:lastRenderedPageBreak/>
        <w:t xml:space="preserve">caía en crueldad aquel que aplicaba de la manera más estricta las leyes sin atender a ningún atenuante, idea que sintetizaba el adagio </w:t>
      </w:r>
      <w:r w:rsidR="0042190A" w:rsidRPr="00B9631D">
        <w:rPr>
          <w:i/>
        </w:rPr>
        <w:t>summum ius summa iniuria</w:t>
      </w:r>
      <w:r w:rsidR="0042190A" w:rsidRPr="00B9631D">
        <w:t>, que según Cicerón escondía en la supuesta aplicación rigurosa de la ley una interpretación maliciosa del juez</w:t>
      </w:r>
      <w:r w:rsidR="0042190A" w:rsidRPr="002B6C75">
        <w:rPr>
          <w:rStyle w:val="Refdenotaalpie"/>
        </w:rPr>
        <w:footnoteReference w:id="60"/>
      </w:r>
      <w:r w:rsidR="0042190A" w:rsidRPr="00B9631D">
        <w:t>.</w:t>
      </w:r>
      <w:r w:rsidR="008E4E99">
        <w:t xml:space="preserve"> Castillo de Bovadilla advertía que “por causa del mucho rigor pueden los Jueces ser privados de los Oficios;”</w:t>
      </w:r>
      <w:r w:rsidR="008E4E99">
        <w:rPr>
          <w:rStyle w:val="Refdenotaalpie"/>
        </w:rPr>
        <w:footnoteReference w:id="61"/>
      </w:r>
      <w:r w:rsidR="008E4E99">
        <w:t xml:space="preserve"> y lo complementó afirmando: “porque con violencia no puede ser estable el gobierno seglar; y la sujeción por fuerza suele acarrear libertad: porque, como dixo Cicerón, muy mal conserva la perpetuidad el miedo, para lo qual es fiel la benevolencia.”</w:t>
      </w:r>
      <w:r w:rsidR="008E4E99">
        <w:rPr>
          <w:rStyle w:val="Refdenotaalpie"/>
        </w:rPr>
        <w:footnoteReference w:id="62"/>
      </w:r>
      <w:r w:rsidR="008E4E99">
        <w:t xml:space="preserve"> Esto, según Bovadilla, lo enseñaban “las historias”, la experiencia del imperio romano y en particular de los reyes de España, “que han tenido por costumbre gobernar antes con amor, que con miedo: á cuya imitación deben los Corregidores, nombrados por ellos, proceder de la misma manera.”</w:t>
      </w:r>
      <w:r w:rsidR="008E4E99">
        <w:rPr>
          <w:rStyle w:val="Refdenotaalpie"/>
        </w:rPr>
        <w:footnoteReference w:id="63"/>
      </w:r>
      <w:r w:rsidR="008E4E99">
        <w:t xml:space="preserve"> </w:t>
      </w:r>
    </w:p>
    <w:p w14:paraId="620693C6" w14:textId="7F1F4384" w:rsidR="008E4E99" w:rsidRPr="00B9631D" w:rsidRDefault="008E4E99" w:rsidP="008E4E99">
      <w:r w:rsidRPr="00B9631D">
        <w:t>Para que fuese justa, la misericordia debía ajustarse a la razón y otorgarse sobre todo al necesitado o al penitente</w:t>
      </w:r>
      <w:r w:rsidR="00766A7E">
        <w:t>.</w:t>
      </w:r>
      <w:r w:rsidRPr="002B6C75">
        <w:rPr>
          <w:rStyle w:val="Refdenotaalpie"/>
        </w:rPr>
        <w:footnoteReference w:id="64"/>
      </w:r>
      <w:r w:rsidR="00766A7E">
        <w:t xml:space="preserve"> </w:t>
      </w:r>
      <w:r w:rsidRPr="00B9631D">
        <w:t>En este sentido, aunque fuese una preciosa virtud del príncipe su uso debía estar prevenido por la prudencia. El perdón excesivo traería como consecuencia inevitable el incremento de los delitos</w:t>
      </w:r>
      <w:r w:rsidR="00766A7E">
        <w:t>,</w:t>
      </w:r>
      <w:r w:rsidRPr="002B6C75">
        <w:rPr>
          <w:rStyle w:val="Refdenotaalpie"/>
        </w:rPr>
        <w:footnoteReference w:id="65"/>
      </w:r>
      <w:r w:rsidRPr="00B9631D">
        <w:t xml:space="preserve"> ya que la lógica punitiva de la tradición jurídica de occidente concebía el castigo no en términos de restitución del daño sino como una estrategia </w:t>
      </w:r>
      <w:r w:rsidRPr="00B9631D">
        <w:lastRenderedPageBreak/>
        <w:t>para la prevención de los futuros crímenes</w:t>
      </w:r>
      <w:r w:rsidR="00766A7E">
        <w:t>.</w:t>
      </w:r>
      <w:r w:rsidRPr="002B6C75">
        <w:rPr>
          <w:rStyle w:val="Refdenotaalpie"/>
        </w:rPr>
        <w:footnoteReference w:id="66"/>
      </w:r>
      <w:r w:rsidRPr="00B9631D">
        <w:t xml:space="preserve"> La justicia penal parte del principio que si los hombres se gobernaran de acuerdo a la ley natural, divina y humana, no sería necesario la imposición de las penas, mas siendo lo contrario, fue necesario imponer la penas “</w:t>
      </w:r>
      <w:r w:rsidRPr="00766A7E">
        <w:rPr>
          <w:i/>
        </w:rPr>
        <w:t>ut quos non allicit amor, coerceat timor</w:t>
      </w:r>
      <w:r w:rsidR="00766A7E">
        <w:t>.</w:t>
      </w:r>
      <w:r w:rsidRPr="00B9631D">
        <w:t>”</w:t>
      </w:r>
      <w:r w:rsidRPr="002B6C75">
        <w:rPr>
          <w:rStyle w:val="Refdenotaalpie"/>
        </w:rPr>
        <w:footnoteReference w:id="67"/>
      </w:r>
      <w:r w:rsidRPr="00B9631D">
        <w:t xml:space="preserve"> En este sentido, la misericordia excesiva se opondría a la justicia y se equipararía a la crueldad y la tiranía</w:t>
      </w:r>
      <w:r w:rsidR="009971E4">
        <w:t>,</w:t>
      </w:r>
      <w:r w:rsidRPr="002B6C75">
        <w:rPr>
          <w:rStyle w:val="Refdenotaalpie"/>
        </w:rPr>
        <w:footnoteReference w:id="68"/>
      </w:r>
      <w:r w:rsidRPr="00B9631D">
        <w:t xml:space="preserve"> ya que provendría de la idea vulgar de clemencia la cual, según Feijoo, tendría un sentido tergiversado según el cual los magistrados y príncipes debían moverse a la clemencia por “los ruegos de los amigos, las lágrimas de los reos, los clamores de sus huerfanas familias, y la blandura del proprio genio, para mitigar la pena que corresponde segun las leyes</w:t>
      </w:r>
      <w:r w:rsidR="009971E4">
        <w:t>,</w:t>
      </w:r>
      <w:r w:rsidRPr="00B9631D">
        <w:t>”</w:t>
      </w:r>
      <w:r w:rsidRPr="002B6C75">
        <w:rPr>
          <w:rStyle w:val="Refdenotaalpie"/>
        </w:rPr>
        <w:footnoteReference w:id="69"/>
      </w:r>
      <w:r w:rsidRPr="00B9631D">
        <w:t xml:space="preserve"> lo cual contradeciría un principio básico de la clemencia real que radicaba en surgir de la mera voluntad del monarca</w:t>
      </w:r>
      <w:r w:rsidR="009971E4">
        <w:t>.</w:t>
      </w:r>
      <w:r w:rsidRPr="002B6C75">
        <w:rPr>
          <w:rStyle w:val="Refdenotaalpie"/>
        </w:rPr>
        <w:footnoteReference w:id="70"/>
      </w:r>
    </w:p>
    <w:p w14:paraId="7514CECA" w14:textId="3FD570E3" w:rsidR="006C60FF" w:rsidRDefault="008E4E99" w:rsidP="00C54558">
      <w:r w:rsidRPr="00B9631D">
        <w:t xml:space="preserve">El hacer uso irracional de esta regalía aunque no conllevaba </w:t>
      </w:r>
      <w:r>
        <w:t>una condena terrenal</w:t>
      </w:r>
      <w:r w:rsidRPr="00B9631D">
        <w:t>, puesto que el legislador no podía castigarse a sí mismo, tendría el riesgo de que la retribución le fuera requerida ante el juicio divino. Así lo dejó expreso López de Cuéllar cuando le advirtió al príncipe que esta regalía no era absoluta y que debería ser ejercida con justa causa “si quiere que en aquel tremendo, ultimo dia, no se le numeren por culpas las gracias</w:t>
      </w:r>
      <w:r w:rsidR="009971E4">
        <w:t>.</w:t>
      </w:r>
      <w:r w:rsidRPr="00B9631D">
        <w:t>”</w:t>
      </w:r>
      <w:r w:rsidRPr="002B6C75">
        <w:rPr>
          <w:rStyle w:val="Refdenotaalpie"/>
        </w:rPr>
        <w:footnoteReference w:id="71"/>
      </w:r>
      <w:r w:rsidRPr="00B9631D">
        <w:t xml:space="preserve"> Según Andrés Men</w:t>
      </w:r>
      <w:r>
        <w:t>d</w:t>
      </w:r>
      <w:r w:rsidRPr="00B9631D">
        <w:t xml:space="preserve">o, perdonar a los culpados de delitos graves no era piedad sino </w:t>
      </w:r>
      <w:r w:rsidRPr="00B9631D">
        <w:lastRenderedPageBreak/>
        <w:t>“clemencia cruel”, aplicar todo el rigor de la pena no debía ser temor de los príncipes porque “no puede haber justicia, donde no ay castigo; daña mas en culpas graves la disimulacion, que la severidad”</w:t>
      </w:r>
      <w:r w:rsidRPr="002B6C75">
        <w:rPr>
          <w:rStyle w:val="Refdenotaalpie"/>
        </w:rPr>
        <w:footnoteReference w:id="72"/>
      </w:r>
      <w:r w:rsidRPr="00B9631D">
        <w:t>.</w:t>
      </w:r>
      <w:r w:rsidR="003A403C">
        <w:t xml:space="preserve"> </w:t>
      </w:r>
      <w:r w:rsidRPr="00B9631D">
        <w:t>La clemencia entonces no sólo se refería a la reducción del sufrimiento de los condenados, además, debía garantizar la paz y tranquilidad de los vasallos mediante el castigo de los delincuentes. Andrés Mendo diría que “el rigor con poco es la piedad para muchos; pues quedan libres de daños los mas, quando son castigados los delinquentes, que son los menos; y padecen todos, quando no padecen á manos de la justicia algunos”</w:t>
      </w:r>
      <w:r w:rsidRPr="002B6C75">
        <w:rPr>
          <w:rStyle w:val="Refdenotaalpie"/>
        </w:rPr>
        <w:footnoteReference w:id="73"/>
      </w:r>
      <w:r w:rsidRPr="00B9631D">
        <w:t>. La clemencia por lo tanto no significaba oposición al castigo o la severidad porque ambas acciones exigían la recta razón para su ejecución y, según Santo Tomás, no se contradicen porque no tienen el mismo objeto</w:t>
      </w:r>
      <w:r w:rsidRPr="002B6C75">
        <w:rPr>
          <w:rStyle w:val="Refdenotaalpie"/>
        </w:rPr>
        <w:footnoteReference w:id="74"/>
      </w:r>
      <w:r w:rsidRPr="00B9631D">
        <w:t>. Además, la severidad no contradeciría la misericordia puesto que la aplicación recta de justicia no implicaba dureza de corazón</w:t>
      </w:r>
      <w:r w:rsidRPr="002B6C75">
        <w:rPr>
          <w:rStyle w:val="Refdenotaalpie"/>
        </w:rPr>
        <w:footnoteReference w:id="75"/>
      </w:r>
      <w:r w:rsidRPr="00B9631D">
        <w:t>.</w:t>
      </w:r>
    </w:p>
    <w:p w14:paraId="1C6F9DA2" w14:textId="14565275" w:rsidR="004B53F0" w:rsidRDefault="00E076C9" w:rsidP="00C54558">
      <w:r>
        <w:t>La gracia puede comprenderse sintéticamente</w:t>
      </w:r>
      <w:r w:rsidR="00377315">
        <w:t xml:space="preserve"> </w:t>
      </w:r>
      <w:r w:rsidR="0065409B">
        <w:t>como una acción que aunque</w:t>
      </w:r>
      <w:r w:rsidR="00377315">
        <w:t xml:space="preserve"> ten</w:t>
      </w:r>
      <w:r w:rsidR="0065409B">
        <w:t>ía</w:t>
      </w:r>
      <w:r w:rsidR="00377315">
        <w:t xml:space="preserve"> efecto </w:t>
      </w:r>
      <w:r w:rsidR="00A1012F">
        <w:t>judicial</w:t>
      </w:r>
      <w:r w:rsidR="00377315">
        <w:t xml:space="preserve"> y segu</w:t>
      </w:r>
      <w:r w:rsidR="0065409B">
        <w:t>ía</w:t>
      </w:r>
      <w:r w:rsidR="00377315">
        <w:t xml:space="preserve"> forma</w:t>
      </w:r>
      <w:r w:rsidR="00A1012F">
        <w:t xml:space="preserve">s procesales </w:t>
      </w:r>
      <w:r w:rsidR="00377315">
        <w:t xml:space="preserve">(instancias de parte, procesos, escrutinios, expedientes), </w:t>
      </w:r>
      <w:r w:rsidR="0016104C">
        <w:t>no</w:t>
      </w:r>
      <w:r w:rsidR="0065409B">
        <w:t xml:space="preserve"> “estaba</w:t>
      </w:r>
      <w:r w:rsidR="0016104C">
        <w:t xml:space="preserve"> </w:t>
      </w:r>
      <w:r w:rsidR="0065409B">
        <w:t>sujeta</w:t>
      </w:r>
      <w:r w:rsidR="0016104C">
        <w:t xml:space="preserve"> a regla de derecho ni a control de justicia.”</w:t>
      </w:r>
      <w:r w:rsidR="0065409B">
        <w:rPr>
          <w:rStyle w:val="Refdenotaalpie"/>
        </w:rPr>
        <w:footnoteReference w:id="76"/>
      </w:r>
      <w:r w:rsidR="00302F7B">
        <w:t xml:space="preserve"> </w:t>
      </w:r>
      <w:r w:rsidR="00C54558">
        <w:t>En este sentido, trascendía</w:t>
      </w:r>
      <w:r w:rsidR="00302F7B">
        <w:t xml:space="preserve"> los límites ordinarios de la justicia y el gobierno pero lo hacían con la finalidad de sublimar el orden.</w:t>
      </w:r>
      <w:r w:rsidR="00302F7B">
        <w:rPr>
          <w:rStyle w:val="Refdenotaalpie"/>
        </w:rPr>
        <w:footnoteReference w:id="77"/>
      </w:r>
      <w:r w:rsidR="00302F7B">
        <w:t xml:space="preserve"> </w:t>
      </w:r>
      <w:r w:rsidR="00947E39">
        <w:t>Siguiendo las enseñanzas de dios y como</w:t>
      </w:r>
      <w:r w:rsidR="00F32962">
        <w:t xml:space="preserve"> su vicario</w:t>
      </w:r>
      <w:r w:rsidR="00947E39">
        <w:t xml:space="preserve"> en la ti</w:t>
      </w:r>
      <w:r w:rsidR="00676D37">
        <w:t xml:space="preserve">erra, el rey </w:t>
      </w:r>
      <w:r w:rsidR="00341052">
        <w:t>imitaba la gracia divina, entendida como el favor o don gratuito dado por dios a los hombres con el propósito de premiar el seguimiento de sus mandamientos y a la vez atraerlos a la salvación.</w:t>
      </w:r>
      <w:r w:rsidR="004D50C8">
        <w:rPr>
          <w:rStyle w:val="Refdenotaalpie"/>
        </w:rPr>
        <w:footnoteReference w:id="78"/>
      </w:r>
      <w:r w:rsidR="00341052">
        <w:t xml:space="preserve"> En el mismo sentido, el rey </w:t>
      </w:r>
      <w:r w:rsidR="00676D37">
        <w:t xml:space="preserve">demostraba su amor, beneficio y liberalidad </w:t>
      </w:r>
      <w:r w:rsidR="00947E39">
        <w:t xml:space="preserve">a través de las </w:t>
      </w:r>
      <w:r w:rsidR="00947E39">
        <w:lastRenderedPageBreak/>
        <w:t>dispensas graciosas, brindando a sus vasallos premios, mercedes, t</w:t>
      </w:r>
      <w:r w:rsidR="00EB2B2F">
        <w:t>ítulos, oficios y, entre otros beneficios, perdones generales y particulares</w:t>
      </w:r>
      <w:r w:rsidR="00341052">
        <w:t>, con los cuales se esperaba, sin necesidad de contrato u obligación, el atraerlos a la lealtad y la defensa de la monarquía</w:t>
      </w:r>
      <w:r w:rsidR="00EB2B2F">
        <w:t>.</w:t>
      </w:r>
      <w:r w:rsidR="00EB2B2F">
        <w:rPr>
          <w:rStyle w:val="Refdenotaalpie"/>
        </w:rPr>
        <w:footnoteReference w:id="79"/>
      </w:r>
      <w:r w:rsidR="00B22F55">
        <w:t xml:space="preserve"> </w:t>
      </w:r>
      <w:r w:rsidR="00421861">
        <w:t>El rey podía ejercer estos actos porque se asumía como surgidos de su voluntad, del agradecimiento por los favores hechos por alguien a la monarquía o por el simple hecho de demostrar la liberalidad de la corona.</w:t>
      </w:r>
      <w:r w:rsidR="00BA76C0">
        <w:rPr>
          <w:rStyle w:val="Refdenotaalpie"/>
        </w:rPr>
        <w:footnoteReference w:id="80"/>
      </w:r>
      <w:r w:rsidR="00341052">
        <w:t xml:space="preserve"> </w:t>
      </w:r>
      <w:r w:rsidR="00421861">
        <w:t>Sin embargo, como lo ha mostrado Bartolomé Clavero, aunque la gracia se consideraba como una donación no por ello era un favor gratuito; las “gracias al sacar” se podrían entender como accion</w:t>
      </w:r>
      <w:r w:rsidR="00F32962">
        <w:t xml:space="preserve">es de “liberalidad y largueza”, </w:t>
      </w:r>
      <w:r w:rsidR="00421861">
        <w:t>contraprestaciones de la corona a alguien que hacía un donativo a las cajas reales en tiempos de necesidad</w:t>
      </w:r>
      <w:r w:rsidR="00281C75">
        <w:t>, lo cual no implicaba necesariamente un acto de venalidad o corrupción</w:t>
      </w:r>
      <w:r w:rsidR="00421861">
        <w:t>.</w:t>
      </w:r>
      <w:r w:rsidR="00BE4624">
        <w:rPr>
          <w:rStyle w:val="Refdenotaalpie"/>
        </w:rPr>
        <w:footnoteReference w:id="81"/>
      </w:r>
      <w:r w:rsidR="00421861">
        <w:t xml:space="preserve"> </w:t>
      </w:r>
    </w:p>
    <w:p w14:paraId="392DDD52" w14:textId="6D752950" w:rsidR="000266F2" w:rsidRDefault="004B53F0" w:rsidP="000A1CF6">
      <w:r>
        <w:t>A</w:t>
      </w:r>
      <w:r w:rsidR="0022561B">
        <w:t>unque el ideal de la venta de la gracia representase una práctica de donación y contradonación, en la práctica el abuso de esta prerrogativa trascendía dicha relación virtuosa entre la corona y sus vasallos.</w:t>
      </w:r>
      <w:r w:rsidR="00875EC5">
        <w:rPr>
          <w:rStyle w:val="Refdenotaalpie"/>
        </w:rPr>
        <w:footnoteReference w:id="82"/>
      </w:r>
      <w:r w:rsidR="0022561B">
        <w:t xml:space="preserve"> El exceso de gracia, como lo identificaron los hombres de la época, no replicaba en el bien de la monarquía sino en su decadencia. La venalidad era efecto de una práctica graciosa que se convirtió en regla antes que excepción; sin refutar su origen volitivo, la venta de cargos redundó en corrupción, en redes clientelares con la suficiente fortaleza para influenciar el gobierno de la monarquía en su beneficio.</w:t>
      </w:r>
      <w:r w:rsidR="006709BF">
        <w:rPr>
          <w:rStyle w:val="Refdenotaalpie"/>
        </w:rPr>
        <w:footnoteReference w:id="83"/>
      </w:r>
      <w:r w:rsidR="00F43D0C">
        <w:t xml:space="preserve"> En este sentido, la amplia historiografía generada en las últimas décadas en torno al problema de la venalidad y la corrupción</w:t>
      </w:r>
      <w:r w:rsidR="006709BF">
        <w:t xml:space="preserve"> expone el contrapunto al funcionamiento ordenado de la gracia y los efectos </w:t>
      </w:r>
      <w:r w:rsidR="006709BF">
        <w:lastRenderedPageBreak/>
        <w:t xml:space="preserve">adversos que tuvo el abuso de dicha </w:t>
      </w:r>
      <w:r w:rsidR="002A1C33">
        <w:t>regalía</w:t>
      </w:r>
      <w:r w:rsidR="006709BF">
        <w:t>.</w:t>
      </w:r>
      <w:r w:rsidR="000C7CFA">
        <w:rPr>
          <w:rStyle w:val="Refdenotaalpie"/>
        </w:rPr>
        <w:footnoteReference w:id="84"/>
      </w:r>
      <w:r w:rsidR="008F36FD">
        <w:t xml:space="preserve"> Un patrón similar, aunque con diferentes consecuencias, se presentó con los denominados perdones “al sacar”, práctica común en los reinos españoles de Europa durante los reinados de Felipe III y IV que buscaba, en compañía de otras estrategias, paliar la crisis financiera de la monarquía.</w:t>
      </w:r>
      <w:r w:rsidR="008F36FD">
        <w:rPr>
          <w:rStyle w:val="Refdenotaalpie"/>
        </w:rPr>
        <w:footnoteReference w:id="85"/>
      </w:r>
      <w:r w:rsidR="008F36FD">
        <w:t xml:space="preserve"> </w:t>
      </w:r>
      <w:r w:rsidR="00776965">
        <w:t xml:space="preserve">En indias, la venta de indultos al parecer no gozó del mismo impulso que la venalidad, </w:t>
      </w:r>
      <w:r w:rsidR="00213058">
        <w:t>como lo señala Tamar Herzog para el caso quiteño, si los perdones al sacar fueron practicados no quedaron huellas en los autos.</w:t>
      </w:r>
      <w:r w:rsidR="00213058">
        <w:rPr>
          <w:rStyle w:val="Refdenotaalpie"/>
        </w:rPr>
        <w:footnoteReference w:id="86"/>
      </w:r>
      <w:r w:rsidR="000F01DD">
        <w:t xml:space="preserve"> Como se intentará demostrar en un capítulo posterior</w:t>
      </w:r>
      <w:r w:rsidR="00B33E35">
        <w:t xml:space="preserve">, hay evidencia de dicha </w:t>
      </w:r>
      <w:r w:rsidR="000F01DD">
        <w:t>pr</w:t>
      </w:r>
      <w:r w:rsidR="00B33E35">
        <w:t>áctica</w:t>
      </w:r>
      <w:r w:rsidR="000F01DD">
        <w:t xml:space="preserve"> en ciertos indultos particulares concedidos por los virreyes del Nuevo Reino de Granada, aunque se realizaban de manera excepcional y con cierto disimulo.</w:t>
      </w:r>
    </w:p>
    <w:p w14:paraId="10C0DA34" w14:textId="57E49B2E" w:rsidR="004E7906" w:rsidRDefault="003B65A6" w:rsidP="000A1CF6">
      <w:r>
        <w:t>No por lo anterior se debería asumir la gracia regia como un acto superfluo o que simplemente fungía como fórmula para el abuso de la monarquía. Si bien la gracia era un acto volitivo del príncipe no podía representar injusticia, al contrario, la gracia suponía justicia y a la vez la corregía, servía para dar a cada quien lo que su estatus requería así como para recuperar lo que se había perdido. En el perdón estaba bastante claro que demostrar la posición del condenado ayudaba a la concesión y en no pocas ocasiones el retorno al favor real atraía a los desertores y huidos que podían con esto recuperarse de sus deslices. De la misma manera el gobierno ejercía la gracia, en asocio por lo general de la doctrina de la justa causa, con el propósito de alterar el ejercicio del derecho de tal manera que se permitiese conservar el orden de la república. Esta función armonizadora de la gracia representaba una “realización de la justicia” mediante la acción al margen del derecho que redundaba en la utilidad pública.</w:t>
      </w:r>
      <w:r>
        <w:rPr>
          <w:rStyle w:val="Refdenotaalpie"/>
        </w:rPr>
        <w:footnoteReference w:id="87"/>
      </w:r>
      <w:r>
        <w:t xml:space="preserve"> </w:t>
      </w:r>
    </w:p>
    <w:p w14:paraId="2A67AFEE" w14:textId="603398CF" w:rsidR="00AC0576" w:rsidRDefault="00AF455D" w:rsidP="000A1CF6">
      <w:r>
        <w:t xml:space="preserve">El efecto de la gracia se suponía irrevocable, en buena medida porque al </w:t>
      </w:r>
      <w:r w:rsidR="002C58DF">
        <w:t>otorgarla</w:t>
      </w:r>
      <w:r>
        <w:t xml:space="preserve"> también se atribuían derechos. Sin embargo, la concesión podía revertir</w:t>
      </w:r>
      <w:r w:rsidR="0066409D">
        <w:t>se</w:t>
      </w:r>
      <w:r>
        <w:t xml:space="preserve"> si el beneficiario </w:t>
      </w:r>
      <w:r w:rsidR="00C24D3C">
        <w:t>actuaba</w:t>
      </w:r>
      <w:r>
        <w:t xml:space="preserve"> contra el rey.</w:t>
      </w:r>
      <w:r>
        <w:rPr>
          <w:rStyle w:val="Refdenotaalpie"/>
        </w:rPr>
        <w:footnoteReference w:id="88"/>
      </w:r>
      <w:r w:rsidR="00DF61A5">
        <w:t xml:space="preserve"> Volviendo al caso que sirvió como introducción a este capítulo, </w:t>
      </w:r>
      <w:r w:rsidR="00EC526A">
        <w:t xml:space="preserve">la </w:t>
      </w:r>
      <w:r w:rsidR="00EC526A">
        <w:lastRenderedPageBreak/>
        <w:t>decisión d</w:t>
      </w:r>
      <w:r w:rsidR="00DF61A5">
        <w:t xml:space="preserve">el rey </w:t>
      </w:r>
      <w:r w:rsidR="00EC526A">
        <w:t xml:space="preserve">de </w:t>
      </w:r>
      <w:r w:rsidR="00DF61A5">
        <w:t xml:space="preserve">no ejercer el inmediato castigo de los </w:t>
      </w:r>
      <w:r w:rsidR="00D77D3A">
        <w:t>sublevados</w:t>
      </w:r>
      <w:r w:rsidR="00DF61A5">
        <w:t xml:space="preserve"> a pesar de su descontento y no ratificación del perdón, </w:t>
      </w:r>
      <w:r w:rsidR="00DA4530" w:rsidRPr="00EC3176">
        <w:rPr>
          <w:color w:val="FF0000"/>
          <w:highlight w:val="yellow"/>
        </w:rPr>
        <w:t xml:space="preserve">indicaría </w:t>
      </w:r>
      <w:r w:rsidR="00DF61A5" w:rsidRPr="00EC3176">
        <w:rPr>
          <w:color w:val="FF0000"/>
          <w:highlight w:val="yellow"/>
        </w:rPr>
        <w:t xml:space="preserve">el deseo </w:t>
      </w:r>
      <w:r w:rsidR="00DA4530" w:rsidRPr="00EC3176">
        <w:rPr>
          <w:color w:val="FF0000"/>
          <w:highlight w:val="yellow"/>
        </w:rPr>
        <w:t>por</w:t>
      </w:r>
      <w:r w:rsidR="00DF61A5" w:rsidRPr="00EC3176">
        <w:rPr>
          <w:color w:val="FF0000"/>
          <w:highlight w:val="yellow"/>
        </w:rPr>
        <w:t xml:space="preserve"> mantener la legitimidad de la gracia concedida a su nombre, </w:t>
      </w:r>
      <w:r w:rsidR="00EC3176" w:rsidRPr="00EC3176">
        <w:rPr>
          <w:color w:val="FF0000"/>
          <w:highlight w:val="yellow"/>
        </w:rPr>
        <w:t xml:space="preserve">en lugar de retirar el perdón instó </w:t>
      </w:r>
      <w:r w:rsidR="00DF61A5" w:rsidRPr="00EC3176">
        <w:rPr>
          <w:color w:val="FF0000"/>
          <w:highlight w:val="yellow"/>
        </w:rPr>
        <w:t>su reversión justificada</w:t>
      </w:r>
      <w:r w:rsidR="004F0066" w:rsidRPr="00EC3176">
        <w:rPr>
          <w:color w:val="FF0000"/>
          <w:highlight w:val="yellow"/>
        </w:rPr>
        <w:t xml:space="preserve"> mediante la comprobación de la traición al rey por parte de tales soldados</w:t>
      </w:r>
      <w:r w:rsidR="00EC3176" w:rsidRPr="00EC3176">
        <w:rPr>
          <w:color w:val="FF0000"/>
          <w:highlight w:val="yellow"/>
        </w:rPr>
        <w:t xml:space="preserve">; </w:t>
      </w:r>
      <w:r w:rsidR="004F0066" w:rsidRPr="00EC3176">
        <w:rPr>
          <w:color w:val="FF0000"/>
          <w:highlight w:val="yellow"/>
        </w:rPr>
        <w:t>una acción</w:t>
      </w:r>
      <w:r w:rsidR="00EC3176" w:rsidRPr="00EC3176">
        <w:rPr>
          <w:color w:val="FF0000"/>
          <w:highlight w:val="yellow"/>
        </w:rPr>
        <w:t xml:space="preserve"> contraria</w:t>
      </w:r>
      <w:r w:rsidR="004F0066" w:rsidRPr="00EC3176">
        <w:rPr>
          <w:color w:val="FF0000"/>
          <w:highlight w:val="yellow"/>
        </w:rPr>
        <w:t xml:space="preserve"> </w:t>
      </w:r>
      <w:r w:rsidR="00EC3176" w:rsidRPr="00EC3176">
        <w:rPr>
          <w:color w:val="FF0000"/>
          <w:highlight w:val="yellow"/>
        </w:rPr>
        <w:t>pudo</w:t>
      </w:r>
      <w:r w:rsidR="00DF61A5" w:rsidRPr="00EC3176">
        <w:rPr>
          <w:color w:val="FF0000"/>
          <w:highlight w:val="yellow"/>
        </w:rPr>
        <w:t xml:space="preserve"> redundar en la desconfianza </w:t>
      </w:r>
      <w:r w:rsidR="004F0066" w:rsidRPr="00EC3176">
        <w:rPr>
          <w:color w:val="FF0000"/>
          <w:highlight w:val="yellow"/>
        </w:rPr>
        <w:t>de la autoridad del virrey e incluso de</w:t>
      </w:r>
      <w:r w:rsidR="0066409D" w:rsidRPr="00EC3176">
        <w:rPr>
          <w:color w:val="FF0000"/>
          <w:highlight w:val="yellow"/>
        </w:rPr>
        <w:t xml:space="preserve"> rey.</w:t>
      </w:r>
      <w:r w:rsidR="0066409D">
        <w:t xml:space="preserve"> </w:t>
      </w:r>
      <w:r w:rsidR="004956DE">
        <w:t>Esta interpretación concuerda con lo aconsejado por Saavedra Fajardo</w:t>
      </w:r>
      <w:r w:rsidR="00065B9B">
        <w:t>:</w:t>
      </w:r>
      <w:r w:rsidR="004956DE">
        <w:t xml:space="preserve"> “concedido un perd</w:t>
      </w:r>
      <w:r w:rsidR="00D70E0A">
        <w:t>o</w:t>
      </w:r>
      <w:r w:rsidR="004956DE">
        <w:t>n general debe el Principe mantenelle, no d</w:t>
      </w:r>
      <w:r w:rsidR="00D70E0A">
        <w:t>a</w:t>
      </w:r>
      <w:r w:rsidR="004956DE">
        <w:t>ndose despu</w:t>
      </w:r>
      <w:r w:rsidR="00D70E0A">
        <w:t>e</w:t>
      </w:r>
      <w:r w:rsidR="004956DE">
        <w:t>s por entendido de las ofensas recibidas, porque obligar</w:t>
      </w:r>
      <w:r w:rsidR="00D70E0A">
        <w:t>i</w:t>
      </w:r>
      <w:r w:rsidR="004956DE">
        <w:t xml:space="preserve">a </w:t>
      </w:r>
      <w:r w:rsidR="00D70E0A">
        <w:t>à</w:t>
      </w:r>
      <w:r w:rsidR="004956DE">
        <w:t xml:space="preserve"> mayores conjuras […] Si bien despu</w:t>
      </w:r>
      <w:r w:rsidR="00D70E0A">
        <w:t>e</w:t>
      </w:r>
      <w:r w:rsidR="004956DE">
        <w:t>s, quando incurrieren en alg</w:t>
      </w:r>
      <w:r w:rsidR="00D70E0A">
        <w:t>u</w:t>
      </w:r>
      <w:r w:rsidR="004956DE">
        <w:t>n delito, se puede usar con ellos</w:t>
      </w:r>
      <w:r w:rsidR="00D70E0A">
        <w:t xml:space="preserve"> de</w:t>
      </w:r>
      <w:r w:rsidR="004956DE">
        <w:t xml:space="preserve"> todo el rigor de la </w:t>
      </w:r>
      <w:r w:rsidR="00D70E0A">
        <w:t>L</w:t>
      </w:r>
      <w:r w:rsidR="004956DE">
        <w:t>ei</w:t>
      </w:r>
      <w:r w:rsidR="00D70E0A">
        <w:t>,</w:t>
      </w:r>
      <w:r w:rsidR="004956DE">
        <w:t xml:space="preserve"> para tenellos enfrentados, i que no abusen de la benignidad recibida.”</w:t>
      </w:r>
      <w:r w:rsidR="008A2DA7">
        <w:rPr>
          <w:rStyle w:val="Refdenotaalpie"/>
        </w:rPr>
        <w:footnoteReference w:id="89"/>
      </w:r>
      <w:r w:rsidR="00FA65B3">
        <w:t xml:space="preserve"> </w:t>
      </w:r>
      <w:r w:rsidR="00102968">
        <w:t>A esto se asocia</w:t>
      </w:r>
      <w:r w:rsidR="00755CE8">
        <w:t>ba</w:t>
      </w:r>
      <w:r w:rsidR="00102968">
        <w:t xml:space="preserve"> además el criterio del jurame</w:t>
      </w:r>
      <w:r w:rsidR="00755CE8">
        <w:t xml:space="preserve">nto y la promesa; </w:t>
      </w:r>
      <w:r w:rsidR="00102968">
        <w:t>nuevamente Saavedra a través de referencias bíblicas advertía a los príncipes: “Lo que se promete, i no se cumple lo recibe por afrenta el Superior, por injusticia el Igual, i por tyrania el Inferior. I asi es menester, que la lengua no se arròje a ofrezer lo que no sabe, que puede cumplir.”</w:t>
      </w:r>
      <w:r w:rsidR="00102968">
        <w:rPr>
          <w:rStyle w:val="Refdenotaalpie"/>
        </w:rPr>
        <w:footnoteReference w:id="90"/>
      </w:r>
    </w:p>
    <w:p w14:paraId="63D8AD71" w14:textId="033AF581" w:rsidR="00C001C4" w:rsidRDefault="00C001C4" w:rsidP="004C226D">
      <w:pPr>
        <w:rPr>
          <w:lang w:eastAsia="es-ES"/>
        </w:rPr>
      </w:pPr>
    </w:p>
    <w:p w14:paraId="4F31F4A9" w14:textId="77777777" w:rsidR="00B65C1E" w:rsidRDefault="00B65C1E" w:rsidP="00211A92">
      <w:pPr>
        <w:ind w:left="927" w:firstLine="0"/>
        <w:rPr>
          <w:rFonts w:eastAsiaTheme="majorEastAsia" w:cstheme="majorBidi"/>
        </w:rPr>
      </w:pPr>
    </w:p>
    <w:p w14:paraId="1DBF4E77" w14:textId="77777777" w:rsidR="00B65C1E" w:rsidRDefault="00B65C1E" w:rsidP="00211A92">
      <w:pPr>
        <w:ind w:left="927" w:firstLine="0"/>
        <w:rPr>
          <w:rFonts w:eastAsiaTheme="majorEastAsia" w:cstheme="majorBidi"/>
        </w:rPr>
      </w:pPr>
    </w:p>
    <w:p w14:paraId="4FC097A4" w14:textId="59DF56CF" w:rsidR="00211A92" w:rsidRDefault="00B65C1E" w:rsidP="00211A92">
      <w:pPr>
        <w:ind w:left="927" w:firstLine="0"/>
      </w:pPr>
      <w:r>
        <w:rPr>
          <w:rFonts w:eastAsiaTheme="majorEastAsia" w:cstheme="majorBidi"/>
        </w:rPr>
        <w:br/>
      </w:r>
      <w:r w:rsidR="00211A92">
        <w:t>Binomios pecado-delito, misericordia-crueldad, etc.</w:t>
      </w:r>
    </w:p>
    <w:p w14:paraId="53F1582D" w14:textId="1ADECB98" w:rsidR="00211A92" w:rsidRDefault="00211A92" w:rsidP="00211A92">
      <w:pPr>
        <w:ind w:left="927" w:firstLine="0"/>
      </w:pPr>
      <w:r>
        <w:t>Dualidad fuero interno y externo:</w:t>
      </w:r>
    </w:p>
    <w:p w14:paraId="6CD0A1DF" w14:textId="0DBCC2B2" w:rsidR="00211A92" w:rsidRDefault="00211A92" w:rsidP="00211A92">
      <w:pPr>
        <w:ind w:left="927" w:firstLine="0"/>
      </w:pPr>
      <w:r>
        <w:tab/>
        <w:t>El perdón manifestado como una constricción del fuero interno, la manifestación del deseo por liberarse del pecado o ganar indulgencias para la salvación. Desde el fuero externo, el liberarse de la pena, recuperar el favor real.</w:t>
      </w:r>
    </w:p>
    <w:p w14:paraId="05F73AEA" w14:textId="443CB756" w:rsidR="00211A92" w:rsidRDefault="00211A92" w:rsidP="006B6B52">
      <w:pPr>
        <w:pStyle w:val="Prrafodelista"/>
        <w:numPr>
          <w:ilvl w:val="0"/>
          <w:numId w:val="20"/>
        </w:numPr>
      </w:pPr>
      <w:r>
        <w:t>Orden jurídico tradicional</w:t>
      </w:r>
    </w:p>
    <w:p w14:paraId="34C07539" w14:textId="18A4991D" w:rsidR="00211A92" w:rsidRDefault="00211A92" w:rsidP="00211A92">
      <w:pPr>
        <w:ind w:left="927" w:firstLine="0"/>
      </w:pPr>
      <w:r>
        <w:t>Ordenes: derecho divino, natural y de gentes</w:t>
      </w:r>
    </w:p>
    <w:p w14:paraId="2466D921" w14:textId="35400096" w:rsidR="00211A92" w:rsidRDefault="00211A92" w:rsidP="00211A92">
      <w:pPr>
        <w:ind w:left="927" w:firstLine="0"/>
      </w:pPr>
      <w:r>
        <w:tab/>
        <w:t>El perdón ¿es derecho divino, natural, de gentes?</w:t>
      </w:r>
    </w:p>
    <w:p w14:paraId="685236BB" w14:textId="42E20742" w:rsidR="00211A92" w:rsidRDefault="00211A92" w:rsidP="006B6B52">
      <w:pPr>
        <w:pStyle w:val="Prrafodelista"/>
        <w:numPr>
          <w:ilvl w:val="0"/>
          <w:numId w:val="20"/>
        </w:numPr>
      </w:pPr>
      <w:r>
        <w:t>Orden jurídico pluralista</w:t>
      </w:r>
    </w:p>
    <w:p w14:paraId="2727F4AB" w14:textId="556CDCBF" w:rsidR="00211A92" w:rsidRDefault="00211A92" w:rsidP="00211A92">
      <w:pPr>
        <w:pStyle w:val="Prrafodelista"/>
        <w:ind w:left="927" w:firstLine="0"/>
      </w:pPr>
      <w:r>
        <w:lastRenderedPageBreak/>
        <w:t>Nobleza y perdón</w:t>
      </w:r>
    </w:p>
    <w:p w14:paraId="2663958C" w14:textId="6DCBC4F5" w:rsidR="00211A92" w:rsidRDefault="00211A92" w:rsidP="00211A92">
      <w:pPr>
        <w:pStyle w:val="Prrafodelista"/>
        <w:ind w:left="927" w:firstLine="0"/>
      </w:pPr>
      <w:r>
        <w:t>Condición miserable y perdón</w:t>
      </w:r>
    </w:p>
    <w:p w14:paraId="3D868C93" w14:textId="569E40CD" w:rsidR="00211A92" w:rsidRDefault="00211A92" w:rsidP="006B6B52">
      <w:pPr>
        <w:pStyle w:val="Prrafodelista"/>
        <w:numPr>
          <w:ilvl w:val="0"/>
          <w:numId w:val="20"/>
        </w:numPr>
      </w:pPr>
      <w:r>
        <w:t>Orden jurídico probabilista</w:t>
      </w:r>
    </w:p>
    <w:p w14:paraId="51EB9ACB" w14:textId="10FE0A79" w:rsidR="00211A92" w:rsidRDefault="00211A92" w:rsidP="00211A92">
      <w:pPr>
        <w:pStyle w:val="Prrafodelista"/>
        <w:ind w:left="927" w:firstLine="0"/>
      </w:pPr>
      <w:r>
        <w:t>Casuismo y clemencia.</w:t>
      </w:r>
    </w:p>
    <w:p w14:paraId="7CE4848B" w14:textId="77777777" w:rsidR="00211A92" w:rsidRDefault="00211A92" w:rsidP="00211A92"/>
    <w:p w14:paraId="29A8147C" w14:textId="0AEC0200" w:rsidR="00211A92" w:rsidRDefault="00211A92" w:rsidP="00211A92">
      <w:r>
        <w:t>PODER POLÍTICO</w:t>
      </w:r>
    </w:p>
    <w:p w14:paraId="57AC6002" w14:textId="55E093F3" w:rsidR="00211A92" w:rsidRDefault="00211A92" w:rsidP="00211A92">
      <w:r>
        <w:t>Iurisdictio: Dios le entregó a la majestad real el brazo del rigor y el amor, la potestad de castigar para ser temido y la de perdonar para ser amado.</w:t>
      </w:r>
    </w:p>
    <w:p w14:paraId="1FF6B092" w14:textId="7B4B7BF2" w:rsidR="00211A92" w:rsidRDefault="00211A92" w:rsidP="00211A92">
      <w:r>
        <w:t>Con la primera gana el respeto, hace valer la potestad, con la segunda garantiza su autoridad, demuestra su magnificencia.</w:t>
      </w:r>
    </w:p>
    <w:p w14:paraId="2398B2FC" w14:textId="77777777" w:rsidR="00211A92" w:rsidRDefault="00211A92" w:rsidP="00211A92"/>
    <w:p w14:paraId="19DEE87B" w14:textId="4B10A97C" w:rsidR="00211A92" w:rsidRDefault="00211A92" w:rsidP="00211A92">
      <w:r>
        <w:t>La gracia: ejercicio del poder político: “había de servir para perfeccionar y no para destruir el orden constituido” -&gt; utilidad pública.</w:t>
      </w:r>
    </w:p>
    <w:p w14:paraId="1EC4D1E7" w14:textId="0C0BB5AF" w:rsidR="00132E3A" w:rsidRDefault="00F24859" w:rsidP="00866385">
      <w:r>
        <w:t>Voluntad, controlada por la razón (sentido inmanente del orden)</w:t>
      </w:r>
      <w:r w:rsidR="00866385">
        <w:t>.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rsidR="00B068AB">
        <w:t>”</w:t>
      </w:r>
      <w:r w:rsidR="00B068AB">
        <w:rPr>
          <w:rStyle w:val="Refdenotaalpie"/>
        </w:rPr>
        <w:footnoteReference w:id="91"/>
      </w:r>
    </w:p>
    <w:p w14:paraId="29CB3B5D" w14:textId="77777777" w:rsidR="00132E3A" w:rsidRDefault="00132E3A" w:rsidP="00211A92">
      <w:r>
        <w:t>Princeps diferente al tirano. El primero lo caracteriza la clemencia, al segundo la rigurosidad, el primero actúa según la prudencia (</w:t>
      </w:r>
      <w:r>
        <w:rPr>
          <w:i/>
        </w:rPr>
        <w:t>virtus</w:t>
      </w:r>
      <w:r>
        <w:t xml:space="preserve">), el segundo según su interés, el vicio. </w:t>
      </w:r>
    </w:p>
    <w:p w14:paraId="4A91A96E" w14:textId="77777777" w:rsidR="00132E3A" w:rsidRDefault="00132E3A" w:rsidP="00211A92"/>
    <w:p w14:paraId="58B6C5D3" w14:textId="38832942" w:rsidR="00132E3A" w:rsidRDefault="0064159E" w:rsidP="00F32E78">
      <w:pPr>
        <w:pStyle w:val="Ttulo2"/>
        <w:numPr>
          <w:ilvl w:val="1"/>
          <w:numId w:val="28"/>
        </w:numPr>
      </w:pPr>
      <w:r>
        <w:t>Indulto</w:t>
      </w:r>
      <w:r w:rsidR="009F15C3">
        <w:t>,</w:t>
      </w:r>
      <w:r w:rsidR="00AF1BA2">
        <w:t xml:space="preserve"> perd</w:t>
      </w:r>
      <w:r w:rsidR="009F15C3">
        <w:t>ón y olvido.</w:t>
      </w:r>
    </w:p>
    <w:p w14:paraId="6E836D49" w14:textId="77777777" w:rsidR="0064159E" w:rsidRDefault="0064159E" w:rsidP="0064159E">
      <w:pPr>
        <w:ind w:firstLine="0"/>
      </w:pPr>
    </w:p>
    <w:p w14:paraId="18DBA19E" w14:textId="60E968E7" w:rsidR="00AF1BA2" w:rsidRPr="009956C8" w:rsidRDefault="0064159E" w:rsidP="00AF1BA2">
      <w:r>
        <w:t>La fórmula común en las cédulas de indulto dieciochescas indicaba la concesión de “indulto y perdón general”</w:t>
      </w:r>
      <w:r w:rsidR="00AF1BA2">
        <w:t xml:space="preserve">, lo que podría parecer una tautología. Sin embargo hay en esta distinción está implícita la doble acción de la concesión. </w:t>
      </w:r>
      <w:r w:rsidR="009F15C3">
        <w:t>C</w:t>
      </w:r>
      <w:r w:rsidR="00AF1BA2" w:rsidRPr="009956C8">
        <w:t xml:space="preserve">on la concesión del indulto el soberano remitía la pena en tanto con el perdón se restituía al reo o delincuente al </w:t>
      </w:r>
      <w:r w:rsidR="00AF1BA2" w:rsidRPr="009956C8">
        <w:rPr>
          <w:i/>
        </w:rPr>
        <w:t>pristinum statum</w:t>
      </w:r>
      <w:r w:rsidR="00AF1BA2" w:rsidRPr="009956C8">
        <w:t xml:space="preserve"> anterior a la comisión del crimen y se olvidaba la falta</w:t>
      </w:r>
      <w:r w:rsidR="00AF1BA2" w:rsidRPr="009956C8">
        <w:rPr>
          <w:vertAlign w:val="superscript"/>
        </w:rPr>
        <w:footnoteReference w:id="92"/>
      </w:r>
      <w:r w:rsidR="00AF1BA2" w:rsidRPr="009956C8">
        <w:t xml:space="preserve">. Como señaló Murillo </w:t>
      </w:r>
      <w:r w:rsidR="00AF1BA2" w:rsidRPr="009956C8">
        <w:lastRenderedPageBreak/>
        <w:t>Velarde</w:t>
      </w:r>
      <w:r w:rsidR="00AF1BA2" w:rsidRPr="009956C8">
        <w:rPr>
          <w:vertAlign w:val="superscript"/>
        </w:rPr>
        <w:footnoteReference w:id="93"/>
      </w:r>
      <w:r w:rsidR="00AF1BA2" w:rsidRPr="009956C8">
        <w:t xml:space="preserve">, esta forma era característica de la legislación castellana y con ella se pretendía precisar la compleja polisemia relacionada con dicha gracia, transferida al derecho hispano por vía del lenguaje del </w:t>
      </w:r>
      <w:r w:rsidR="00AF1BA2" w:rsidRPr="009956C8">
        <w:rPr>
          <w:i/>
        </w:rPr>
        <w:t>ius commune</w:t>
      </w:r>
      <w:r w:rsidR="00AF1BA2" w:rsidRPr="009956C8">
        <w:t xml:space="preserve">. </w:t>
      </w:r>
      <w:r w:rsidR="00AF1BA2" w:rsidRPr="00AF1BA2">
        <w:rPr>
          <w:highlight w:val="yellow"/>
        </w:rPr>
        <w:t>Sin embargo, esta distinción entre indulto y perdón se fundamentó en Séneca y se difundió en la doctrina jurídica europea vía Tomás de Aquino. Según el estoico, perdonar consiste en no castigar a quien merecía serlo, es decir, es la remisión de un castigo que debía ser infligido; en tanto la clemencia cuando declara la libertad de los reos juzga que estos no debieron seguir sufriendo su pena</w:t>
      </w:r>
      <w:r w:rsidR="00AF1BA2" w:rsidRPr="00AF1BA2">
        <w:rPr>
          <w:highlight w:val="yellow"/>
          <w:vertAlign w:val="superscript"/>
        </w:rPr>
        <w:footnoteReference w:id="94"/>
      </w:r>
      <w:r w:rsidR="00AF1BA2" w:rsidRPr="00AF1BA2">
        <w:rPr>
          <w:highlight w:val="yellow"/>
        </w:rPr>
        <w:t>.</w:t>
      </w:r>
      <w:r w:rsidR="00AF1BA2" w:rsidRPr="009956C8">
        <w:t xml:space="preserve"> Por ello el principio del indulto en algunas cédulas reales refiere al alivio de los desgraciados que sufren por sus condenas y sólo cuando se expresa el perdón se habla de apartamiento del juicio. </w:t>
      </w:r>
    </w:p>
    <w:p w14:paraId="3CD3E5E4" w14:textId="77777777" w:rsidR="00AF1BA2" w:rsidRPr="009956C8" w:rsidRDefault="00AF1BA2" w:rsidP="00AF1BA2">
      <w:r w:rsidRPr="009956C8">
        <w:t xml:space="preserve">Esto es relevante además por el hecho de que aunque la pena podía ser condonada mediante el indulto el perdón podía ser condicionado a la remisión de la parte afectada, con lo cual quedaría bajo el arbitrio razonado del juez si el reo se daba en libertad o se restringía su salida a restituir el daño, lo cual podría hacerse por otros medios como el pago de una suma de dinero a la parte e incluso a la Real Hacienda. Lo anterior se puede sustentar doctrinalmente siguiendo a Antonio Xavier Pérez, quien expuso este doble efecto de la concesión del indulto en su </w:t>
      </w:r>
      <w:r w:rsidRPr="009956C8">
        <w:rPr>
          <w:i/>
        </w:rPr>
        <w:t>Teatro de la legislación</w:t>
      </w:r>
      <w:r w:rsidRPr="009956C8">
        <w:t xml:space="preserve">. En primer lugar del indulto: </w:t>
      </w:r>
    </w:p>
    <w:p w14:paraId="28273E36" w14:textId="77777777" w:rsidR="00AF1BA2" w:rsidRPr="009956C8" w:rsidRDefault="00AF1BA2" w:rsidP="00AF1BA2">
      <w:pPr>
        <w:pStyle w:val="Cita"/>
      </w:pPr>
      <w:r w:rsidRPr="009956C8">
        <w:t>Siendo propio de los Soberanos la benignidad y dulzura, y queriendo se exerza solo el rigor de las leyes contra aquellos malvados que cometen delitos extraordinarios y de conseqüencias dañosas al total de la Nacion, y que prueban la última depravación del corazón humano, acostumbran en las ocasiones de regocijos públicos de nacimiento de Principes herederos, de victorias señaladas, de pacer ó tratados ventajosos, conceder Indultos generales en favor de los reos y delinqüentes detenidos en las cárceles […]</w:t>
      </w:r>
    </w:p>
    <w:p w14:paraId="048A640E" w14:textId="77777777" w:rsidR="00AF1BA2" w:rsidRPr="009956C8" w:rsidRDefault="00AF1BA2" w:rsidP="00AF1BA2"/>
    <w:p w14:paraId="4C2D16AC" w14:textId="77777777" w:rsidR="00AF1BA2" w:rsidRPr="009956C8" w:rsidRDefault="00AF1BA2" w:rsidP="00AF1BA2">
      <w:r w:rsidRPr="009956C8">
        <w:t>Y del perdón:</w:t>
      </w:r>
    </w:p>
    <w:p w14:paraId="78CB970D" w14:textId="77777777" w:rsidR="00AF1BA2" w:rsidRPr="009956C8" w:rsidRDefault="00AF1BA2" w:rsidP="00AF1BA2">
      <w:pPr>
        <w:pStyle w:val="Cita"/>
      </w:pPr>
      <w:r w:rsidRPr="009956C8">
        <w:t xml:space="preserve">No obstante, aunque tanto en los indultos públicos y generales, como en los privados y particulares, el Soberano puede perdonar, y perdona al reo la pena impuesta por la ley, le lava de la infamia y absuelve del crímen, no perdona la pena que debe aplicarse </w:t>
      </w:r>
      <w:r w:rsidRPr="009956C8">
        <w:lastRenderedPageBreak/>
        <w:t>á la parte ofendida, ú agraviada, ni priva á esta de sus derechos y acciones particulares y propias[...]</w:t>
      </w:r>
      <w:r w:rsidRPr="009956C8">
        <w:rPr>
          <w:vertAlign w:val="superscript"/>
        </w:rPr>
        <w:footnoteReference w:id="95"/>
      </w:r>
    </w:p>
    <w:p w14:paraId="356ED45F" w14:textId="77777777" w:rsidR="00AF1BA2" w:rsidRPr="009956C8" w:rsidRDefault="00AF1BA2" w:rsidP="00AF1BA2"/>
    <w:p w14:paraId="43046F46" w14:textId="77D603B8" w:rsidR="0064159E" w:rsidRDefault="00AF1BA2" w:rsidP="00AF1BA2">
      <w:r w:rsidRPr="009956C8">
        <w:t>La diferencia es sutil pero no baladí. Con el indulto se modificaba la pena, se suavizaba, pero con el perdón se regresaba la honra, por ende, alguien que era liberado de la prisión podía optar por recobrar su oficio e incluso sus bienes. Es por esta lógica que un oficial reo o desertor tenía la posibilidad de recuperar su posición si se acogía a las ofertas de perdón regio y en el mismo sentido lo hacían aquellos que por alguna falta habían escapado de la justicia y se habían refugiado a los montes. Para un preso común, rústico, el libertarse de la pena podía ser suficiente, pero para aquel que caía de la gracia del rey por sus faltas no bastaba el liberarse de la pena, además requería ser restaurado a su posición anterior al daño cometido</w:t>
      </w:r>
      <w:r w:rsidRPr="009956C8">
        <w:rPr>
          <w:vertAlign w:val="superscript"/>
        </w:rPr>
        <w:footnoteReference w:id="96"/>
      </w:r>
      <w:r w:rsidRPr="009956C8">
        <w:t>.</w:t>
      </w:r>
    </w:p>
    <w:p w14:paraId="1ADEC049" w14:textId="77777777" w:rsidR="0064159E" w:rsidRDefault="0064159E" w:rsidP="00E37837"/>
    <w:p w14:paraId="2921CA84" w14:textId="2B63C884" w:rsidR="00E37837" w:rsidRDefault="00E37837" w:rsidP="00E37837">
      <w:r>
        <w:t xml:space="preserve">¿Son indulto y perdón simples sinónimos? ¿Son gracia e indulto lo mismo? ¿Es la clemencia indulto? ¿Es la misericordia lo mismo que clemencia? ¿Qué es la prudencia? &gt;&gt; </w:t>
      </w:r>
      <w:r w:rsidRPr="00E37837">
        <w:rPr>
          <w:i/>
        </w:rPr>
        <w:t>virtus</w:t>
      </w:r>
      <w:r>
        <w:t xml:space="preserve"> según el derecho romano (introducción a Mariana). Liberalidad ¿es lo mismo que gracia?</w:t>
      </w:r>
    </w:p>
    <w:p w14:paraId="55FD0F4F" w14:textId="32CB11E4" w:rsidR="009956C8" w:rsidRDefault="009956C8" w:rsidP="00090E5A">
      <w:r w:rsidRPr="009956C8">
        <w:t xml:space="preserve"> </w:t>
      </w:r>
    </w:p>
    <w:p w14:paraId="1C7C7A69" w14:textId="4D90459A" w:rsidR="009956C8" w:rsidRDefault="00EF6AF6" w:rsidP="00090E5A">
      <w:r>
        <w:t>Los grados de perdón: perdón,</w:t>
      </w:r>
      <w:r w:rsidR="00647AB3">
        <w:t xml:space="preserve"> disimulo, apartamiento, olvido.</w:t>
      </w:r>
    </w:p>
    <w:p w14:paraId="12F94284" w14:textId="77777777" w:rsidR="00AF11C2" w:rsidRDefault="00AF11C2" w:rsidP="00090E5A"/>
    <w:p w14:paraId="6E70C344" w14:textId="3289F245" w:rsidR="009956C8" w:rsidRDefault="00526429" w:rsidP="00526429">
      <w:pPr>
        <w:pStyle w:val="Ttulo2"/>
      </w:pPr>
      <w:r>
        <w:t>Conclusión</w:t>
      </w:r>
    </w:p>
    <w:p w14:paraId="484D52AA" w14:textId="2383D8F0" w:rsidR="00526429" w:rsidRPr="00E37837" w:rsidRDefault="00526429" w:rsidP="00E37837">
      <w:r>
        <w:t xml:space="preserve">¿Este modelo de clemencia con fuerte raigambre medieval fue el que llevó a los soldados de los regimientos apostados en Cartagena a hacer el despliegue que llevaron a cabo? Podría responderse que en parte. La comprensión de un orden divino atado al perdón consistía no en una afrenta u oposición a la potestad regia sino, al contrario, la ratificación de su autoridad. El repetido lema “viva el rey, muera el mal gobierno” se esgrimió en sublevaciones y rebeliones por todo el orbe hispánico; la </w:t>
      </w:r>
    </w:p>
    <w:sectPr w:rsidR="00526429" w:rsidRPr="00E3783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91BAE" w14:textId="77777777" w:rsidR="00226D1A" w:rsidRDefault="00226D1A" w:rsidP="00B9631D">
      <w:pPr>
        <w:spacing w:line="240" w:lineRule="auto"/>
      </w:pPr>
      <w:r>
        <w:separator/>
      </w:r>
    </w:p>
  </w:endnote>
  <w:endnote w:type="continuationSeparator" w:id="0">
    <w:p w14:paraId="589F0706" w14:textId="77777777" w:rsidR="00226D1A" w:rsidRDefault="00226D1A"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Content>
      <w:p w14:paraId="7AEB41D1" w14:textId="77777777" w:rsidR="00AC086E" w:rsidRDefault="00AC086E">
        <w:pPr>
          <w:pStyle w:val="Piedepgina"/>
          <w:jc w:val="right"/>
        </w:pPr>
        <w:r>
          <w:fldChar w:fldCharType="begin"/>
        </w:r>
        <w:r>
          <w:instrText>PAGE   \* MERGEFORMAT</w:instrText>
        </w:r>
        <w:r>
          <w:fldChar w:fldCharType="separate"/>
        </w:r>
        <w:r w:rsidR="00F3022B" w:rsidRPr="00F3022B">
          <w:rPr>
            <w:noProof/>
            <w:lang w:val="es-ES"/>
          </w:rPr>
          <w:t>1</w:t>
        </w:r>
        <w:r>
          <w:fldChar w:fldCharType="end"/>
        </w:r>
      </w:p>
    </w:sdtContent>
  </w:sdt>
  <w:p w14:paraId="2E48E8B0" w14:textId="77777777" w:rsidR="00AC086E" w:rsidRDefault="00AC08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E96BE" w14:textId="77777777" w:rsidR="00226D1A" w:rsidRDefault="00226D1A" w:rsidP="00B9631D">
      <w:pPr>
        <w:spacing w:line="240" w:lineRule="auto"/>
      </w:pPr>
      <w:r>
        <w:separator/>
      </w:r>
    </w:p>
  </w:footnote>
  <w:footnote w:type="continuationSeparator" w:id="0">
    <w:p w14:paraId="7A986931" w14:textId="77777777" w:rsidR="00226D1A" w:rsidRDefault="00226D1A" w:rsidP="00B9631D">
      <w:pPr>
        <w:spacing w:line="240" w:lineRule="auto"/>
      </w:pPr>
      <w:r>
        <w:continuationSeparator/>
      </w:r>
    </w:p>
  </w:footnote>
  <w:footnote w:id="1">
    <w:p w14:paraId="5A49ACA1" w14:textId="38024009" w:rsidR="00AC086E" w:rsidRDefault="00AC086E"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1544D0">
        <w:rPr>
          <w:rFonts w:cs="Times New Roman"/>
          <w:szCs w:val="24"/>
        </w:rPr>
        <w:t xml:space="preserve">Juan Marchena Fernández, “Sin temor de rey ni de dios. Violencia, corrupción y crisis de autoridad en la Cartagena colonial”, en </w:t>
      </w:r>
      <w:r w:rsidRPr="001544D0">
        <w:rPr>
          <w:rFonts w:cs="Times New Roman"/>
          <w:i/>
          <w:iCs/>
          <w:szCs w:val="24"/>
        </w:rPr>
        <w:t>Soldados del Rey. El ejército borbónico en América colonial en vísperas de la independencia</w:t>
      </w:r>
      <w:r w:rsidRPr="001544D0">
        <w:rPr>
          <w:rFonts w:cs="Times New Roman"/>
          <w:szCs w:val="24"/>
        </w:rPr>
        <w:t xml:space="preserve">, ed. Allan J. Kuethe y Juan Marchena Fernández (Castelló de la Plana: Universitat Jaume I, 2015), 72 y ss; José Manuel Serrano Álvarez, </w:t>
      </w:r>
      <w:r w:rsidRPr="001544D0">
        <w:rPr>
          <w:rFonts w:cs="Times New Roman"/>
          <w:i/>
          <w:iCs/>
          <w:szCs w:val="24"/>
        </w:rPr>
        <w:t>Fortificaciones y tropas: el gasto militar en tierra firme, 1700-1788</w:t>
      </w:r>
      <w:r w:rsidRPr="001544D0">
        <w:rPr>
          <w:rFonts w:cs="Times New Roman"/>
          <w:szCs w:val="24"/>
        </w:rPr>
        <w:t xml:space="preserve"> (Sevilla: Universidad de Sevilla, 2004), 133.</w:t>
      </w:r>
      <w:r>
        <w:fldChar w:fldCharType="end"/>
      </w:r>
    </w:p>
  </w:footnote>
  <w:footnote w:id="2">
    <w:p w14:paraId="07548474" w14:textId="1BAA8F0C" w:rsidR="00AC086E" w:rsidRDefault="00AC086E"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FA6731">
        <w:rPr>
          <w:rFonts w:cs="Times New Roman"/>
          <w:szCs w:val="24"/>
        </w:rPr>
        <w:t>Marchena Fernández, “Sin temor de rey ni de dios”, 83–93.</w:t>
      </w:r>
      <w:r>
        <w:fldChar w:fldCharType="end"/>
      </w:r>
    </w:p>
  </w:footnote>
  <w:footnote w:id="3">
    <w:p w14:paraId="1910BADC" w14:textId="17B7506A" w:rsidR="00AC086E" w:rsidRDefault="00AC086E">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AC086E" w:rsidRDefault="00AC086E"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64EB64B6" w:rsidR="00AC086E" w:rsidRDefault="00AC086E">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F77026">
        <w:rPr>
          <w:rFonts w:cs="Times New Roman"/>
          <w:szCs w:val="24"/>
        </w:rPr>
        <w:t>Marchena Fernández, “Sin temor de rey ni de dios”, 96.</w:t>
      </w:r>
      <w:r>
        <w:fldChar w:fldCharType="end"/>
      </w:r>
    </w:p>
  </w:footnote>
  <w:footnote w:id="6">
    <w:p w14:paraId="41EA07DD" w14:textId="54841C5F" w:rsidR="00AC086E" w:rsidRDefault="00AC086E">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5CDB3285" w:rsidR="00AC086E" w:rsidRDefault="00AC086E">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A8093A">
        <w:rPr>
          <w:rFonts w:cs="Times New Roman"/>
          <w:szCs w:val="24"/>
        </w:rPr>
        <w:t>Marchena Fernández, “Sin temor de rey ni de dios”, 99.</w:t>
      </w:r>
      <w:r>
        <w:fldChar w:fldCharType="end"/>
      </w:r>
    </w:p>
  </w:footnote>
  <w:footnote w:id="8">
    <w:p w14:paraId="5BE44F66" w14:textId="46D0EE1B" w:rsidR="00AC086E" w:rsidRDefault="00AC086E">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70628F">
        <w:rPr>
          <w:rFonts w:cs="Times New Roman"/>
          <w:szCs w:val="24"/>
        </w:rPr>
        <w:t xml:space="preserve">Fernando Martínez Gil y Alfredo Rodríguez González, “Del Barroco a la Ilustración en una fiesta del Antiguo Régimen: el Corpus Christi”, </w:t>
      </w:r>
      <w:r w:rsidRPr="0070628F">
        <w:rPr>
          <w:rFonts w:cs="Times New Roman"/>
          <w:i/>
          <w:iCs/>
          <w:szCs w:val="24"/>
        </w:rPr>
        <w:t>Cuadernos de Historia Moderna</w:t>
      </w:r>
      <w:r w:rsidRPr="0070628F">
        <w:rPr>
          <w:rFonts w:cs="Times New Roman"/>
          <w:szCs w:val="24"/>
        </w:rPr>
        <w:t xml:space="preserve"> Anejo I (2002): 151–75, https://doi.org/10.5209/CHMO.23806; Miguel Zugasti, </w:t>
      </w:r>
      <w:r w:rsidRPr="0070628F">
        <w:rPr>
          <w:rFonts w:cs="Times New Roman"/>
          <w:i/>
          <w:iCs/>
          <w:szCs w:val="24"/>
        </w:rPr>
        <w:t>La alegoría de América en el barroco hispánico: del arte efímero al teatro</w:t>
      </w:r>
      <w:r w:rsidRPr="0070628F">
        <w:rPr>
          <w:rFonts w:cs="Times New Roman"/>
          <w:szCs w:val="24"/>
        </w:rPr>
        <w:t xml:space="preserve"> (Valencia: Pre-Textos, 2005), 70 y ss.</w:t>
      </w:r>
      <w:r>
        <w:fldChar w:fldCharType="end"/>
      </w:r>
    </w:p>
  </w:footnote>
  <w:footnote w:id="9">
    <w:p w14:paraId="7DD04C24" w14:textId="4C9900CB" w:rsidR="00AC086E" w:rsidRDefault="00AC086E">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755E2">
        <w:rPr>
          <w:rFonts w:cs="Times New Roman"/>
          <w:szCs w:val="24"/>
        </w:rPr>
        <w:t xml:space="preserve">Pedro Calderón de la Barca, </w:t>
      </w:r>
      <w:r w:rsidRPr="004755E2">
        <w:rPr>
          <w:rFonts w:cs="Times New Roman"/>
          <w:i/>
          <w:iCs/>
          <w:szCs w:val="24"/>
        </w:rPr>
        <w:t>El indulto general. Edición crítica</w:t>
      </w:r>
      <w:r w:rsidRPr="004755E2">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6233D9EB" w:rsidR="00AC086E" w:rsidRDefault="00AC086E">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70628F">
        <w:rPr>
          <w:rFonts w:cs="Times New Roman"/>
          <w:szCs w:val="24"/>
        </w:rPr>
        <w:t>Calderón de la Barca, 107.</w:t>
      </w:r>
      <w:r>
        <w:fldChar w:fldCharType="end"/>
      </w:r>
    </w:p>
  </w:footnote>
  <w:footnote w:id="11">
    <w:p w14:paraId="29205008" w14:textId="5FEDF346" w:rsidR="00AC086E" w:rsidRDefault="00AC086E">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707D96">
        <w:rPr>
          <w:rFonts w:cs="Times New Roman"/>
          <w:szCs w:val="24"/>
        </w:rPr>
        <w:t xml:space="preserve">Julio Rodríguez-Puértolas, “La transposición de la realidad en los autos sacramentales de Lope de Vega”, </w:t>
      </w:r>
      <w:r w:rsidRPr="00707D96">
        <w:rPr>
          <w:rFonts w:cs="Times New Roman"/>
          <w:i/>
          <w:iCs/>
          <w:szCs w:val="24"/>
        </w:rPr>
        <w:t>Bulletin hispanique</w:t>
      </w:r>
      <w:r w:rsidRPr="00707D96">
        <w:rPr>
          <w:rFonts w:cs="Times New Roman"/>
          <w:szCs w:val="24"/>
        </w:rPr>
        <w:t xml:space="preserve"> 72, núm. 1 (1970): 96–97, https://doi.org/10.3406/hispa.1970.4008.</w:t>
      </w:r>
      <w:r>
        <w:fldChar w:fldCharType="end"/>
      </w:r>
    </w:p>
  </w:footnote>
  <w:footnote w:id="12">
    <w:p w14:paraId="424D66FD" w14:textId="70B09CB0" w:rsidR="00AC086E" w:rsidRPr="00201290" w:rsidRDefault="00AC086E">
      <w:pPr>
        <w:pStyle w:val="Textonotapie"/>
      </w:pPr>
      <w:r>
        <w:rPr>
          <w:rStyle w:val="Refdenotaalpie"/>
        </w:rPr>
        <w:footnoteRef/>
      </w:r>
      <w:r>
        <w:t xml:space="preserve"> Imitación no en el sentido de equiparación con la divinidad sino de ordenar las acciones terrenas acorde con las enseñanzas de dios. Al respecto es en suma esclarecedor el capítulo primero de Tomás de Kempis, </w:t>
      </w:r>
      <w:r>
        <w:rPr>
          <w:i/>
        </w:rPr>
        <w:t>De la imitación de Cristo ó menosprecio del mundo</w:t>
      </w:r>
      <w:r>
        <w:t xml:space="preserve">, trad. Luis de Granada (Madrid: por la viuda de Barco Lopez, 1821). De la misma manera, Nicolas Caussin advertía que dios no había permitido el surgimiento de un monarca perfecto, pues se correría el riesgo de adorarlo como una divinidad y generar una “perpetua idolatría,” por lo cual cualquier monarca, sin importar su fama, tendría imperfecciones que resaltarían su humanidad. </w:t>
      </w:r>
      <w:r w:rsidRPr="00201290">
        <w:rPr>
          <w:i/>
          <w:highlight w:val="yellow"/>
        </w:rPr>
        <w:t>La corte santa</w:t>
      </w:r>
      <w:r w:rsidRPr="00201290">
        <w:rPr>
          <w:highlight w:val="yellow"/>
        </w:rPr>
        <w:t>, trad. Pedro González de Godoy, quinta impresión (Barcelona: imprenta de Juan Pablo y Juan Marti, 1718)</w:t>
      </w:r>
      <w:r>
        <w:t xml:space="preserve"> tomo II, tratado primero, prólogo.</w:t>
      </w:r>
    </w:p>
  </w:footnote>
  <w:footnote w:id="13">
    <w:p w14:paraId="5ADE7E3D" w14:textId="37BC2FC9" w:rsidR="00AC086E" w:rsidRDefault="00AC086E">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42.","noteIndex":13},"citationItems":[{"id":3381,"uris":["http://zotero.org/users/163570/items/2B6CQHEJ"],"uri":["http://zotero.org/users/163570/items/2B6CQHEJ"],"itemData":{"id":3381,"type":"book","title":"Cultura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707D96">
        <w:rPr>
          <w:rFonts w:cs="Times New Roman"/>
          <w:szCs w:val="24"/>
        </w:rPr>
        <w:t xml:space="preserve">António Manuel Hespanha, </w:t>
      </w:r>
      <w:r w:rsidRPr="00707D96">
        <w:rPr>
          <w:rFonts w:cs="Times New Roman"/>
          <w:i/>
          <w:iCs/>
          <w:szCs w:val="24"/>
        </w:rPr>
        <w:t>Cultura jurídica europea: síntesis de un milenio</w:t>
      </w:r>
      <w:r w:rsidRPr="00707D96">
        <w:rPr>
          <w:rFonts w:cs="Times New Roman"/>
          <w:szCs w:val="24"/>
        </w:rPr>
        <w:t>, trad. Isabel Soler y Concepción Valera (Madrid: Tecnos, 2002), 42.</w:t>
      </w:r>
      <w:r>
        <w:fldChar w:fldCharType="end"/>
      </w:r>
    </w:p>
  </w:footnote>
  <w:footnote w:id="14">
    <w:p w14:paraId="4876BA75" w14:textId="711D38D0" w:rsidR="00AC086E" w:rsidRDefault="00AC086E">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425.","noteIndex":14},"citationItems":[{"id":5734,"uris":["http://zotero.org/users/163570/items/3PPXIUUG"],"uri":["http://zotero.org/users/163570/items/3PPXIUUG"],"itemData":{"id":5734,"type":"book","title":"Reformismo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2974D2">
        <w:rPr>
          <w:rFonts w:cs="Times New Roman"/>
          <w:szCs w:val="24"/>
        </w:rPr>
        <w:t xml:space="preserve">Pedro Ruiz Torres, </w:t>
      </w:r>
      <w:r w:rsidRPr="002974D2">
        <w:rPr>
          <w:rFonts w:cs="Times New Roman"/>
          <w:i/>
          <w:iCs/>
          <w:szCs w:val="24"/>
        </w:rPr>
        <w:t>Reformismo e Ilustración</w:t>
      </w:r>
      <w:r w:rsidRPr="002974D2">
        <w:rPr>
          <w:rFonts w:cs="Times New Roman"/>
          <w:szCs w:val="24"/>
        </w:rPr>
        <w:t>, ed. Josep Fontana i Làzaro y Ramón Villares, Historia de España 5 (Barcelona, Madrid: Crítica, Marcial Pons, 2008), 425.</w:t>
      </w:r>
      <w:r>
        <w:fldChar w:fldCharType="end"/>
      </w:r>
    </w:p>
  </w:footnote>
  <w:footnote w:id="15">
    <w:p w14:paraId="334DC05A" w14:textId="28D9A9D3" w:rsidR="00AC086E" w:rsidRDefault="00AC086E">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6">
    <w:p w14:paraId="160EAB2E" w14:textId="77777777" w:rsidR="008C6989" w:rsidRPr="00573862" w:rsidRDefault="008C6989" w:rsidP="008C6989">
      <w:pPr>
        <w:pStyle w:val="Textonotapie"/>
      </w:pPr>
      <w:r w:rsidRPr="002B6C75">
        <w:rPr>
          <w:rStyle w:val="Refdenotaalpie"/>
        </w:rPr>
        <w:footnoteRef/>
      </w:r>
      <w:r>
        <w:t xml:space="preserve">  Se citaba allí la máxima evangélica que rezaba “Ninguna autoridad tendrías contra mí si no se te hubiera dado desde arriba”</w:t>
      </w:r>
      <w:r w:rsidRPr="00AE5979">
        <w:t xml:space="preserve">. </w:t>
      </w:r>
      <w:r>
        <w:t>Juan 19:11</w:t>
      </w:r>
      <w:r w:rsidRPr="00AE5979">
        <w:t>.</w:t>
      </w:r>
    </w:p>
  </w:footnote>
  <w:footnote w:id="17">
    <w:p w14:paraId="4BC9B889" w14:textId="77777777" w:rsidR="008C6989" w:rsidRPr="00573862" w:rsidRDefault="008C6989" w:rsidP="008C6989">
      <w:pPr>
        <w:pStyle w:val="Textonotapie"/>
      </w:pPr>
      <w:r w:rsidRPr="002B6C75">
        <w:rPr>
          <w:rStyle w:val="Refdenotaalpie"/>
        </w:rPr>
        <w:footnoteRef/>
      </w:r>
      <w:r w:rsidRPr="00573862">
        <w:t xml:space="preserve"> “</w:t>
      </w:r>
      <w:r w:rsidRPr="0080525F">
        <w:t>Sométase toda persona a las autoridades superiores porque no hay autoridad que no provenga de Dios; y las que hay, por Dios han sido constituidas.</w:t>
      </w:r>
      <w:r>
        <w:t>”</w:t>
      </w:r>
      <w:r w:rsidRPr="0080525F">
        <w:t xml:space="preserve"> Rom 13:1. Murillo Velarde, </w:t>
      </w:r>
      <w:r w:rsidRPr="0080525F">
        <w:rPr>
          <w:i/>
        </w:rPr>
        <w:t>Cursus iuris canonici</w:t>
      </w:r>
      <w:r w:rsidRPr="0080525F">
        <w:t xml:space="preserve">, </w:t>
      </w:r>
      <w:r>
        <w:t>“</w:t>
      </w:r>
      <w:r w:rsidRPr="0080525F">
        <w:t xml:space="preserve">Dios eterno, sin principio ni fin, es </w:t>
      </w:r>
      <w:r>
        <w:t>el principio y fin de todas las cosas</w:t>
      </w:r>
      <w:r w:rsidRPr="0080525F">
        <w:t>.</w:t>
      </w:r>
      <w:r>
        <w:t xml:space="preserve"> </w:t>
      </w:r>
      <w:r w:rsidRPr="0080525F">
        <w:t xml:space="preserve">[…] Él </w:t>
      </w:r>
      <w:r>
        <w:t>es el legislador supremo</w:t>
      </w:r>
      <w:r w:rsidRPr="0080525F">
        <w:t xml:space="preserve"> por el cual los reyes reinan </w:t>
      </w:r>
      <w:r>
        <w:t>y los príncipes decretan los que es justo”</w:t>
      </w:r>
      <w:r w:rsidRPr="0080525F">
        <w:t xml:space="preserve"> </w:t>
      </w:r>
      <w:r w:rsidRPr="00CF6A24">
        <w:rPr>
          <w:lang w:val="la-Latn"/>
        </w:rPr>
        <w:t>L. I, tit. I, “De summa trinitate et fide catholica”, n. 1; “</w:t>
      </w:r>
      <w:r w:rsidRPr="0080525F">
        <w:rPr>
          <w:lang w:val="la-Latn"/>
        </w:rPr>
        <w:t>El Pontífice [</w:t>
      </w:r>
      <w:r>
        <w:rPr>
          <w:lang w:val="la-Latn"/>
        </w:rPr>
        <w:t>…</w:t>
      </w:r>
      <w:r w:rsidRPr="0080525F">
        <w:rPr>
          <w:lang w:val="la-Latn"/>
        </w:rPr>
        <w:t xml:space="preserve">] </w:t>
      </w:r>
      <w:r>
        <w:t>Su</w:t>
      </w:r>
      <w:r w:rsidRPr="002D344A">
        <w:rPr>
          <w:lang w:val="la-Latn"/>
        </w:rPr>
        <w:t xml:space="preserve"> potesta</w:t>
      </w:r>
      <w:r>
        <w:t>d, concedida inmediatamente por Cristo, se extiende a fieles cristianos de todo el orbe, es decir a los bautizados”</w:t>
      </w:r>
      <w:r w:rsidRPr="00CF6A24">
        <w:rPr>
          <w:lang w:val="la-Latn"/>
        </w:rPr>
        <w:t>. L. I, tit.  XXXI, “De officio judicias ordinarii”, n. 326.</w:t>
      </w:r>
    </w:p>
  </w:footnote>
  <w:footnote w:id="18">
    <w:p w14:paraId="14B93BC9" w14:textId="77777777" w:rsidR="008C6989" w:rsidRPr="002A7410" w:rsidRDefault="008C6989" w:rsidP="008C6989">
      <w:pPr>
        <w:pStyle w:val="Textonotapie"/>
      </w:pPr>
      <w:bookmarkStart w:id="1" w:name="_GoBack"/>
      <w:bookmarkEnd w:id="1"/>
      <w:r w:rsidRPr="002B6C75">
        <w:rPr>
          <w:rStyle w:val="Refdenotaalpie"/>
        </w:rPr>
        <w:footnoteRef/>
      </w:r>
      <w:r>
        <w:t xml:space="preserve"> “Aquella potestad que residía en todos, la transfirieron en uno solo, y la llamaron Magestad, que es lo mismo que potestad eminente, ó sumo imperio, y perpetua autoridad sobre toda la República, y con ella la absoluta facultad o regalía de castigar los delitos, perdonarlos indultando la pena á los reos, ó conmutar la señalada por la Ley en otra mas leve según su Voluntad”. Vizcaíno Pérez, </w:t>
      </w:r>
      <w:r>
        <w:rPr>
          <w:i/>
        </w:rPr>
        <w:t>Código y práctica criminal</w:t>
      </w:r>
      <w:r>
        <w:t>, tomo III, n. 422.</w:t>
      </w:r>
    </w:p>
  </w:footnote>
  <w:footnote w:id="19">
    <w:p w14:paraId="21374398" w14:textId="77777777" w:rsidR="008C6989" w:rsidRPr="00C34A5D" w:rsidRDefault="008C6989" w:rsidP="008C6989">
      <w:pPr>
        <w:pStyle w:val="Textonotapie"/>
      </w:pPr>
      <w:r w:rsidRPr="002B6C75">
        <w:rPr>
          <w:rStyle w:val="Refdenotaalpie"/>
        </w:rPr>
        <w:footnoteRef/>
      </w:r>
      <w:r w:rsidRPr="002B5F6C">
        <w:t xml:space="preserve"> López de Cuéllar, </w:t>
      </w:r>
      <w:r w:rsidRPr="002B5F6C">
        <w:rPr>
          <w:i/>
        </w:rPr>
        <w:t>Tratado iuridico-politico</w:t>
      </w:r>
      <w:r>
        <w:t xml:space="preserve">, n. 9. “porque siendo la potestad Real una imagen de la Divina Magestad, quisieron que también se pareciese á esta en poder exercitar la justicia y la misericordia en los casos que considerase oportunos, para que por aquella fuese temido, y por esta venerado”. Vizcaíno Pérez, </w:t>
      </w:r>
      <w:r>
        <w:rPr>
          <w:i/>
        </w:rPr>
        <w:t>Código y práctica criminal</w:t>
      </w:r>
      <w:r>
        <w:t>, tomo III, n. 422.</w:t>
      </w:r>
    </w:p>
  </w:footnote>
  <w:footnote w:id="20">
    <w:p w14:paraId="6028F330" w14:textId="77777777" w:rsidR="008C6989" w:rsidRPr="00475EAF" w:rsidRDefault="008C6989" w:rsidP="008C6989">
      <w:pPr>
        <w:pStyle w:val="Textonotapie"/>
      </w:pPr>
      <w:r w:rsidRPr="002B6C75">
        <w:rPr>
          <w:rStyle w:val="Refdenotaalpie"/>
        </w:rPr>
        <w:footnoteRef/>
      </w:r>
      <w:r>
        <w:t xml:space="preserve">  </w:t>
      </w:r>
      <w:r w:rsidRPr="009219E6">
        <w:t>Antonio de Elizondo,</w:t>
      </w:r>
      <w:r w:rsidRPr="009219E6">
        <w:rPr>
          <w:i/>
        </w:rPr>
        <w:t xml:space="preserve"> Práctica universal forense y de tribunales</w:t>
      </w:r>
      <w:r>
        <w:t>...</w:t>
      </w:r>
      <w:r w:rsidRPr="009219E6">
        <w:t>, Vol. 5</w:t>
      </w:r>
      <w:r>
        <w:t xml:space="preserve">, </w:t>
      </w:r>
      <w:r w:rsidRPr="009219E6">
        <w:t>Parte II, Cap</w:t>
      </w:r>
      <w:r>
        <w:t>.</w:t>
      </w:r>
      <w:r w:rsidRPr="009219E6">
        <w:t xml:space="preserve"> XIV, n. 1.</w:t>
      </w:r>
      <w:r>
        <w:t xml:space="preserve"> “Y está tan unido a la Magestad, que ni por pacto puede el Principe privarse dél, ni desnudarse de esta Suprema Regalia”. López de Cuéllar, </w:t>
      </w:r>
      <w:r>
        <w:rPr>
          <w:i/>
        </w:rPr>
        <w:t>Tratado iuridico-politico</w:t>
      </w:r>
      <w:r>
        <w:t>, n. 15.</w:t>
      </w:r>
    </w:p>
  </w:footnote>
  <w:footnote w:id="21">
    <w:p w14:paraId="1E065188" w14:textId="77777777" w:rsidR="008C6989" w:rsidRPr="000974C4" w:rsidRDefault="008C6989" w:rsidP="008C6989">
      <w:pPr>
        <w:pStyle w:val="Textonotapie"/>
      </w:pPr>
      <w:r w:rsidRPr="002B6C75">
        <w:rPr>
          <w:rStyle w:val="Refdenotaalpie"/>
        </w:rPr>
        <w:footnoteRef/>
      </w:r>
      <w:r w:rsidRPr="000974C4">
        <w:t xml:space="preserve"> López de Cuéllar, </w:t>
      </w:r>
      <w:r w:rsidRPr="000974C4">
        <w:rPr>
          <w:i/>
        </w:rPr>
        <w:t>Tratado iuridico-politico</w:t>
      </w:r>
      <w:r>
        <w:t>, n. 14.</w:t>
      </w:r>
    </w:p>
  </w:footnote>
  <w:footnote w:id="22">
    <w:p w14:paraId="0EAD005D" w14:textId="016DA8C5" w:rsidR="007C7C94" w:rsidRDefault="007C7C94">
      <w:pPr>
        <w:pStyle w:val="Textonotapie"/>
      </w:pPr>
      <w:r>
        <w:rPr>
          <w:rStyle w:val="Refdenotaalpie"/>
        </w:rPr>
        <w:footnoteRef/>
      </w:r>
      <w:r>
        <w:t xml:space="preserve"> </w:t>
      </w:r>
      <w:r>
        <w:fldChar w:fldCharType="begin"/>
      </w:r>
      <w:r>
        <w:instrText xml:space="preserve"> ADDIN ZOTERO_ITEM CSL_CITATION {"citationID":"lwThZtrf","properties":{"formattedCitation":"Paolo Prodi, {\\i{}Una historia de la justicia: de la pluralidad de fueros al dualismo moderno entre conciencia y derecho}, trad. Luciano Padilla L\\uc0\\u243{}pez (Madrid: Katz Editores, 2008), 39.","plainCitation":"Paolo Prodi, Una historia de la justicia: de la pluralidad de fueros al dualismo moderno entre conciencia y derecho, trad. Luciano Padilla López (Madrid: Katz Editores, 2008), 39.","noteIndex":22},"citationItems":[{"id":3390,"uris":["http://zotero.org/users/163570/items/C54QSDGR"],"uri":["http://zotero.org/users/163570/items/C54QSDGR"],"itemData":{"id":3390,"type":"book","title":"Una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López","given":"Luciano"}],"issued":{"date-parts":[["2008"]]}},"locator":"39","label":"page"}],"schema":"https://github.com/citation-style-language/schema/raw/master/csl-citation.json"} </w:instrText>
      </w:r>
      <w:r>
        <w:fldChar w:fldCharType="separate"/>
      </w:r>
      <w:r w:rsidRPr="007C7C94">
        <w:rPr>
          <w:rFonts w:cs="Times New Roman"/>
          <w:szCs w:val="24"/>
        </w:rPr>
        <w:t xml:space="preserve">Paolo Prodi, </w:t>
      </w:r>
      <w:r w:rsidRPr="007C7C94">
        <w:rPr>
          <w:rFonts w:cs="Times New Roman"/>
          <w:i/>
          <w:iCs/>
          <w:szCs w:val="24"/>
        </w:rPr>
        <w:t>Una historia de la justicia: de la pluralidad de fueros al dualismo moderno entre conciencia y derecho</w:t>
      </w:r>
      <w:r w:rsidRPr="007C7C94">
        <w:rPr>
          <w:rFonts w:cs="Times New Roman"/>
          <w:szCs w:val="24"/>
        </w:rPr>
        <w:t>, trad. Luciano Padilla López (Madrid: Katz Editores, 2008), 39.</w:t>
      </w:r>
      <w:r>
        <w:fldChar w:fldCharType="end"/>
      </w:r>
    </w:p>
  </w:footnote>
  <w:footnote w:id="23">
    <w:p w14:paraId="40528A1E" w14:textId="12C33A88" w:rsidR="00126721" w:rsidRDefault="00126721">
      <w:pPr>
        <w:pStyle w:val="Textonotapie"/>
      </w:pPr>
      <w:r>
        <w:rPr>
          <w:rStyle w:val="Refdenotaalpie"/>
        </w:rPr>
        <w:footnoteRef/>
      </w:r>
      <w:r>
        <w:t xml:space="preserve"> </w:t>
      </w:r>
      <w:r>
        <w:fldChar w:fldCharType="begin"/>
      </w:r>
      <w:r w:rsidR="007C7C94">
        <w:instrText xml:space="preserve"> ADDIN ZOTERO_ITEM CSL_CITATION {"citationID":"8RXydneD","properties":{"formattedCitation":"Carlos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99.","noteIndex":23},"citationItems":[{"id":8215,"uris":["http://zotero.org/users/163570/items/7K7GNDCS"],"uri":["http://zotero.org/users/163570/items/7K7GNDCS"],"itemData":{"id":8215,"type":"chapter","title":"Justicia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Acosta","given":"Carlos"}],"issued":{"date-parts":[["2007"]]}},"locator":"99","label":"page"}],"schema":"https://github.com/citation-style-language/schema/raw/master/csl-citation.json"} </w:instrText>
      </w:r>
      <w:r>
        <w:fldChar w:fldCharType="separate"/>
      </w:r>
      <w:r w:rsidR="00722CBD" w:rsidRPr="00722CBD">
        <w:rPr>
          <w:rFonts w:cs="Times New Roman"/>
          <w:szCs w:val="24"/>
        </w:rPr>
        <w:t xml:space="preserve">Carlos Garriga Acosta, “Justicia animada: dispositivos de la justicia en la monarquía católica”, en </w:t>
      </w:r>
      <w:r w:rsidR="00722CBD" w:rsidRPr="00722CBD">
        <w:rPr>
          <w:rFonts w:cs="Times New Roman"/>
          <w:i/>
          <w:iCs/>
          <w:szCs w:val="24"/>
        </w:rPr>
        <w:t>De justicia de jueces a justicia de leyes: hacia la España de 1870</w:t>
      </w:r>
      <w:r w:rsidR="00722CBD" w:rsidRPr="00722CBD">
        <w:rPr>
          <w:rFonts w:cs="Times New Roman"/>
          <w:szCs w:val="24"/>
        </w:rPr>
        <w:t>, ed. Marta Lorente Sariñena, Cuadernos de derecho judicial, VI–2006 (Madrid: Consejo General del Poder Judicial, 2007), 99.</w:t>
      </w:r>
      <w:r>
        <w:fldChar w:fldCharType="end"/>
      </w:r>
    </w:p>
  </w:footnote>
  <w:footnote w:id="24">
    <w:p w14:paraId="6877533F" w14:textId="021FF8F7" w:rsidR="00126721" w:rsidRDefault="00126721">
      <w:pPr>
        <w:pStyle w:val="Textonotapie"/>
      </w:pPr>
      <w:r>
        <w:rPr>
          <w:rStyle w:val="Refdenotaalpie"/>
        </w:rPr>
        <w:footnoteRef/>
      </w:r>
      <w:r>
        <w:t xml:space="preserve"> </w:t>
      </w:r>
      <w:r>
        <w:fldChar w:fldCharType="begin"/>
      </w:r>
      <w:r w:rsidR="007C7C94">
        <w:instrText xml:space="preserve"> ADDIN ZOTERO_ITEM CSL_CITATION {"citationID":"70s3Od4v","properties":{"formattedCitation":"Pedro Ruiz Torres, \\uc0\\u8220{}Los l\\uc0\\u237{}mites del reformismo del siglo XVIII en Espa\\uc0\\u241{}a\\uc0\\u8221{}, en {\\i{}El nacimiento y la construcci\\uc0\\u243{}n del estado moderno: homenaje a Jaume Vicens Vives}, ed. Joaquim Albareda Salvad\\uc0\\u243{} y Marici\\uc0\\u243{} Janu\\uc0\\u233{} i Miret, Hist\\uc0\\u242{}ria (Valencia: Universitat de Val\\uc0\\u232{}ncia, 2011), 130.","plainCitation":"Pedro Ruiz Torres, “Los límites del reformismo del siglo XVIII en España”, en El nacimiento y la construcción del estado moderno: homenaje a Jaume Vicens Vives, ed. Joaquim Albareda Salvadó y Marició Janué i Miret, Història (Valencia: Universitat de València, 2011), 130.","noteIndex":24},"citationItems":[{"id":8212,"uris":["http://zotero.org/users/163570/items/HGHKVEF9"],"uri":["http://zotero.org/users/163570/items/HGHKVEF9"],"itemData":{"id":8212,"type":"chapter","title":"Los límites del reformismo del siglo XVIII en España","container-title":"El nacimiento y la construcción del estado moderno: homenaje a Jaume Vicens Vives","collection-title":"Història","publisher":"Universitat de València","publisher-place":"Valencia","page":"111-150","source":"Library of Congress ISBN","event-place":"Valencia","ISBN":"978-84-370-8234-9","call-number":"D247 .I57 2011","editor":[{"family":"Albareda Salvadó","given":"Joaquim"},{"family":"Janué i Miret","given":"Marició"}],"author":[{"family":"Ruiz Torres","given":"Pedro"}],"issued":{"date-parts":[["2011"]]}},"locator":"130","label":"page"}],"schema":"https://github.com/citation-style-language/schema/raw/master/csl-citation.json"} </w:instrText>
      </w:r>
      <w:r>
        <w:fldChar w:fldCharType="separate"/>
      </w:r>
      <w:r w:rsidR="00722CBD" w:rsidRPr="00722CBD">
        <w:rPr>
          <w:rFonts w:cs="Times New Roman"/>
          <w:szCs w:val="24"/>
        </w:rPr>
        <w:t xml:space="preserve">Pedro Ruiz Torres, “Los límites del reformismo del siglo XVIII en España”, en </w:t>
      </w:r>
      <w:r w:rsidR="00722CBD" w:rsidRPr="00722CBD">
        <w:rPr>
          <w:rFonts w:cs="Times New Roman"/>
          <w:i/>
          <w:iCs/>
          <w:szCs w:val="24"/>
        </w:rPr>
        <w:t>El nacimiento y la construcción del estado moderno: homenaje a Jaume Vicens Vives</w:t>
      </w:r>
      <w:r w:rsidR="00722CBD" w:rsidRPr="00722CBD">
        <w:rPr>
          <w:rFonts w:cs="Times New Roman"/>
          <w:szCs w:val="24"/>
        </w:rPr>
        <w:t>, ed. Joaquim Albareda Salvadó y Marició Janué i Miret, Història (Valencia: Universitat de València, 2011), 130.</w:t>
      </w:r>
      <w:r>
        <w:fldChar w:fldCharType="end"/>
      </w:r>
    </w:p>
  </w:footnote>
  <w:footnote w:id="25">
    <w:p w14:paraId="5C2C6797" w14:textId="77777777" w:rsidR="000F0EAD" w:rsidRPr="00E341E0" w:rsidRDefault="000F0EAD" w:rsidP="000F0EAD">
      <w:pPr>
        <w:pStyle w:val="Textonotapie"/>
      </w:pPr>
      <w:r>
        <w:rPr>
          <w:rStyle w:val="Refdenotaalpie"/>
        </w:rPr>
        <w:footnoteRef/>
      </w:r>
      <w:r>
        <w:t xml:space="preserve"> Mariana, </w:t>
      </w:r>
      <w:r>
        <w:rPr>
          <w:i/>
        </w:rPr>
        <w:t>La dignidad real</w:t>
      </w:r>
      <w:r>
        <w:t>, lib. I, cap. I.</w:t>
      </w:r>
    </w:p>
  </w:footnote>
  <w:footnote w:id="26">
    <w:p w14:paraId="094F160A" w14:textId="77777777" w:rsidR="000F0EAD" w:rsidRPr="00653A46" w:rsidRDefault="000F0EAD" w:rsidP="000F0EAD">
      <w:pPr>
        <w:pStyle w:val="Textonotapie"/>
      </w:pPr>
      <w:r>
        <w:rPr>
          <w:rStyle w:val="Refdenotaalpie"/>
        </w:rPr>
        <w:footnoteRef/>
      </w:r>
      <w:r>
        <w:t xml:space="preserve"> Temor y amor estarían naturalmente vinculados, Alfonso X lo plasmó así: “Natural razon es, que el ome non puede amar ninguna cosa conplidamente si la non teme” </w:t>
      </w:r>
      <w:r w:rsidRPr="004413A4">
        <w:rPr>
          <w:i/>
        </w:rPr>
        <w:t>Las Siete Partidas</w:t>
      </w:r>
      <w:r>
        <w:t xml:space="preserve">, P. II, tít. II, l. III. Bovadilla comentó al respecto que “si el juez no es amado y temido, nunca será obedecido”. Castillo de Bovadilla, </w:t>
      </w:r>
      <w:r>
        <w:rPr>
          <w:i/>
        </w:rPr>
        <w:t>Politica para corregidores</w:t>
      </w:r>
      <w:r>
        <w:t>, lib. III, cap. XII, núm. 11.</w:t>
      </w:r>
    </w:p>
  </w:footnote>
  <w:footnote w:id="27">
    <w:p w14:paraId="3A0D3561" w14:textId="4E45DDF1" w:rsidR="000F0EAD" w:rsidRDefault="000F0EAD" w:rsidP="000F0EAD">
      <w:pPr>
        <w:pStyle w:val="Textonotapie"/>
      </w:pPr>
      <w:r>
        <w:rPr>
          <w:rStyle w:val="Refdenotaalpie"/>
        </w:rPr>
        <w:footnoteRef/>
      </w:r>
      <w:r>
        <w:t xml:space="preserve"> </w:t>
      </w:r>
      <w:r>
        <w:fldChar w:fldCharType="begin"/>
      </w:r>
      <w:r w:rsidR="007C7C94">
        <w:instrText xml:space="preserve"> ADDIN ZOTERO_ITEM CSL_CITATION {"citationID":"LIOVVFrs","properties":{"formattedCitation":"Michel Foucault, {\\i{}Vigilar y castigar: nacimiento de la prisi\\uc0\\u243{}n}, trad. Aurelio Garz\\uc0\\u243{}n del Camino, 2a edici\\uc0\\u243{}n revisada (M\\uc0\\u233{}xico: Siglo Veintiuno, 2015), 64.","plainCitation":"Michel Foucault, Vigilar y castigar: nacimiento de la prisión, trad. Aurelio Garzón del Camino, 2a edición revisada (México: Siglo Veintiuno, 2015), 64.","noteIndex":31},"citationItems":[{"id":8219,"uris":["http://zotero.org/users/163570/items/FSB4WV2J"],"uri":["http://zotero.org/users/163570/items/FSB4WV2J"],"itemData":{"id":8219,"type":"book","title":"Vigilar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Camino","given":"Aurelio"}],"issued":{"date-parts":[["2015"]]}},"locator":"64","label":"page"}],"schema":"https://github.com/citation-style-language/schema/raw/master/csl-citation.json"} </w:instrText>
      </w:r>
      <w:r>
        <w:fldChar w:fldCharType="separate"/>
      </w:r>
      <w:r w:rsidRPr="00F14FA0">
        <w:rPr>
          <w:rFonts w:cs="Times New Roman"/>
          <w:szCs w:val="24"/>
        </w:rPr>
        <w:t xml:space="preserve">Michel Foucault, </w:t>
      </w:r>
      <w:r w:rsidRPr="00F14FA0">
        <w:rPr>
          <w:rFonts w:cs="Times New Roman"/>
          <w:i/>
          <w:iCs/>
          <w:szCs w:val="24"/>
        </w:rPr>
        <w:t>Vigilar y castigar: nacimiento de la prisión</w:t>
      </w:r>
      <w:r w:rsidRPr="00F14FA0">
        <w:rPr>
          <w:rFonts w:cs="Times New Roman"/>
          <w:szCs w:val="24"/>
        </w:rPr>
        <w:t>, trad. Aurelio Garzón del Camino, 2a edición revisada (México: Siglo Veintiuno, 2015), 64.</w:t>
      </w:r>
      <w:r>
        <w:fldChar w:fldCharType="end"/>
      </w:r>
    </w:p>
  </w:footnote>
  <w:footnote w:id="28">
    <w:p w14:paraId="27C5A979" w14:textId="77777777" w:rsidR="000F0EAD" w:rsidRPr="005A04A0" w:rsidRDefault="000F0EAD" w:rsidP="000F0EAD">
      <w:pPr>
        <w:pStyle w:val="Textonotapie"/>
      </w:pPr>
      <w:r w:rsidRPr="002B6C75">
        <w:rPr>
          <w:rStyle w:val="Refdenotaalpie"/>
        </w:rPr>
        <w:footnoteRef/>
      </w:r>
      <w:r w:rsidRPr="00395402">
        <w:t xml:space="preserve"> “Perdonar es no castigar a quien consideras digno de castigo; el perdón es la absolución de un castigo merecido.” </w:t>
      </w:r>
      <w:r>
        <w:rPr>
          <w:lang w:val="it-IT"/>
        </w:rPr>
        <w:t>(</w:t>
      </w:r>
      <w:r w:rsidRPr="00B91863">
        <w:rPr>
          <w:i/>
          <w:lang w:val="it-IT"/>
        </w:rPr>
        <w:t>Ignoscere autem est, quem iudices puniendum, non punire; venia debitae poenae remissio est.</w:t>
      </w:r>
      <w:r>
        <w:rPr>
          <w:lang w:val="it-IT"/>
        </w:rPr>
        <w:t>)</w:t>
      </w:r>
      <w:r w:rsidRPr="005A04A0">
        <w:rPr>
          <w:lang w:val="it-IT"/>
        </w:rPr>
        <w:t xml:space="preserve"> </w:t>
      </w:r>
      <w:r>
        <w:t xml:space="preserve">Seneca, </w:t>
      </w:r>
      <w:r w:rsidRPr="008E372D">
        <w:rPr>
          <w:lang w:eastAsia="es-MX"/>
        </w:rPr>
        <w:t>“De Clementia”</w:t>
      </w:r>
      <w:r>
        <w:t xml:space="preserve">, Liber II, párr. 7. Tomás de Aquino, </w:t>
      </w:r>
      <w:r w:rsidRPr="0015193A">
        <w:rPr>
          <w:lang w:eastAsia="es-MX"/>
        </w:rPr>
        <w:t>“Summa Theologiae”</w:t>
      </w:r>
      <w:r>
        <w:rPr>
          <w:lang w:eastAsia="es-MX"/>
        </w:rPr>
        <w:t>,</w:t>
      </w:r>
      <w:r>
        <w:t xml:space="preserve"> </w:t>
      </w:r>
      <w:r w:rsidRPr="005A04A0">
        <w:t>IIª-IIae, q. 157 a. 2 ad 2</w:t>
      </w:r>
      <w:r>
        <w:t>.</w:t>
      </w:r>
    </w:p>
  </w:footnote>
  <w:footnote w:id="29">
    <w:p w14:paraId="65035BA0" w14:textId="663DF2A4" w:rsidR="000F0EAD" w:rsidRDefault="000F0EAD" w:rsidP="000F0EAD">
      <w:pPr>
        <w:pStyle w:val="Textonotapie"/>
      </w:pPr>
      <w:r>
        <w:rPr>
          <w:rStyle w:val="Refdenotaalpie"/>
        </w:rPr>
        <w:footnoteRef/>
      </w:r>
      <w:r>
        <w:t xml:space="preserve"> </w:t>
      </w:r>
      <w:r>
        <w:fldChar w:fldCharType="begin"/>
      </w:r>
      <w:r w:rsidR="007C7C94">
        <w:instrText xml:space="preserve"> ADDIN ZOTERO_ITEM CSL_CITATION {"citationID":"BJMXXsYz","properties":{"formattedCitation":"Calder\\uc0\\u243{}n de la Barca, {\\i{}El indulto general}, vv. 1257\\uc0\\u8211{}1265.","plainCitation":"Calderón de la Barca, El indulto general, vv. 1257–1265.","noteIndex":33},"citationItems":[{"id":8192,"uris":["http://zotero.org/users/163570/items/AY4587QQ"],"uri":["http://zotero.org/users/163570/items/AY4587QQ"],"itemData":{"id":8192,"type":"book","title":"El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Manuel"}],"issued":{"date-parts":[["1996"]]}},"locator":"1257-1265","label":"verse"}],"schema":"https://github.com/citation-style-language/schema/raw/master/csl-citation.json"}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vv. 1257–1265.</w:t>
      </w:r>
      <w:r>
        <w:fldChar w:fldCharType="end"/>
      </w:r>
    </w:p>
  </w:footnote>
  <w:footnote w:id="30">
    <w:p w14:paraId="293F495C" w14:textId="08EF325C" w:rsidR="00AC086E" w:rsidRPr="00F35A64" w:rsidRDefault="00AC086E">
      <w:pPr>
        <w:pStyle w:val="Textonotapie"/>
        <w:rPr>
          <w:lang w:val="en-US"/>
        </w:rPr>
      </w:pPr>
      <w:r>
        <w:rPr>
          <w:rStyle w:val="Refdenotaalpie"/>
        </w:rPr>
        <w:footnoteRef/>
      </w:r>
      <w:r>
        <w:t xml:space="preserve"> Hay que resaltar que el discurso contra el maquiavelismo (entendido como la recepción simplificada de las ideas de Maquiavelo en el periodo de la contrarreforma) se enfocaba en la refutación de la razón de estado, considera opuesta a la ley de dios. En buena medida la interpretación de las virtudes, en particular de la prudencia, fue compartida tanto por Maquiavelo como por sus más relevantes opositores en España. </w:t>
      </w:r>
      <w:r>
        <w:fldChar w:fldCharType="begin"/>
      </w:r>
      <w:r w:rsidR="007C7C94">
        <w:instrText xml:space="preserve"> ADDIN ZOTERO_ITEM CSL_CITATION {"citationID":"OdGnohjP","properties":{"formattedCitation":"Keith David Howard, {\\i{}The Reception of Machiavelli in Early Modern Spain}, Colecci\\uc0\\u243{}n Tamesis Serie A: Monograf\\uc0\\u237{}as 338 (Woodbridge: Tamesis, 2014), 35\\uc0\\u8211{}40, 75\\uc0\\u8211{}78.","plainCitation":"Keith David Howard, The Reception of Machiavelli in Early Modern Spain, Colección Tamesis Serie A: Monografías 338 (Woodbridge: Tamesis, 2014), 35–40, 75–78.","noteIndex":34},"citationItems":[{"id":8255,"uris":["http://zotero.org/users/163570/items/Q4PKIA5Z"],"uri":["http://zotero.org/users/163570/items/Q4PKIA5Z"],"itemData":{"id":8255,"type":"book","title":"The reception of Machiavelli in early modern Spain","collection-title":"Colección Tamesis Serie A: Monografías","collection-number":"338","publisher":"Tamesis","publisher-place":"Woodbridge","number-of-pages":"171","source":"Open WorldCat","event-place":"Woodbridge","ISBN":"978-1-85566-282-7","note":"OCLC: 881509477","language":"eng","author":[{"family":"Howard","given":"Keith David"}],"issued":{"date-parts":[["2014"]]}},"locator":"35-40, 75-78","label":"page"}],"schema":"https://github.com/citation-style-language/schema/raw/master/csl-citation.json"} </w:instrText>
      </w:r>
      <w:r>
        <w:fldChar w:fldCharType="separate"/>
      </w:r>
      <w:r w:rsidRPr="00F35A64">
        <w:rPr>
          <w:rFonts w:cs="Times New Roman"/>
          <w:szCs w:val="24"/>
          <w:lang w:val="en-US"/>
        </w:rPr>
        <w:t xml:space="preserve">Keith David Howard, </w:t>
      </w:r>
      <w:r w:rsidRPr="00F35A64">
        <w:rPr>
          <w:rFonts w:cs="Times New Roman"/>
          <w:i/>
          <w:iCs/>
          <w:szCs w:val="24"/>
          <w:lang w:val="en-US"/>
        </w:rPr>
        <w:t>The Reception of Machiavelli in Early Modern Spain</w:t>
      </w:r>
      <w:r w:rsidRPr="00F35A64">
        <w:rPr>
          <w:rFonts w:cs="Times New Roman"/>
          <w:szCs w:val="24"/>
          <w:lang w:val="en-US"/>
        </w:rPr>
        <w:t>, Colección Tamesis Serie A: Monografías 338 (Woodbridge: Tamesis, 2014), 35–40, 75–78.</w:t>
      </w:r>
      <w:r>
        <w:fldChar w:fldCharType="end"/>
      </w:r>
    </w:p>
  </w:footnote>
  <w:footnote w:id="31">
    <w:p w14:paraId="51A12FDE" w14:textId="2128BFA4" w:rsidR="00AC086E" w:rsidRPr="001E0330" w:rsidRDefault="00AC086E">
      <w:pPr>
        <w:pStyle w:val="Textonotapie"/>
      </w:pPr>
      <w:r>
        <w:rPr>
          <w:rStyle w:val="Refdenotaalpie"/>
        </w:rPr>
        <w:footnoteRef/>
      </w:r>
      <w:r>
        <w:t xml:space="preserve"> </w:t>
      </w:r>
      <w:r w:rsidRPr="001E0330">
        <w:rPr>
          <w:highlight w:val="yellow"/>
        </w:rPr>
        <w:t xml:space="preserve">Pedro de Ribadeneyra, </w:t>
      </w:r>
      <w:r w:rsidRPr="001E0330">
        <w:rPr>
          <w:i/>
          <w:highlight w:val="yellow"/>
        </w:rPr>
        <w:t>Tratado de la religión y virtudes que deve tener el Príncipe Christiano, para governar y conservar sus estados</w:t>
      </w:r>
      <w:r w:rsidRPr="001E0330">
        <w:rPr>
          <w:highlight w:val="yellow"/>
        </w:rPr>
        <w:t xml:space="preserve"> (Amberes: Imprenta plantiniana, 1597)</w:t>
      </w:r>
      <w:r>
        <w:t>, 5</w:t>
      </w:r>
    </w:p>
  </w:footnote>
  <w:footnote w:id="32">
    <w:p w14:paraId="1335ECE5" w14:textId="6E7B88AE" w:rsidR="00AC086E" w:rsidRPr="00C24EFF" w:rsidRDefault="00AC086E">
      <w:pPr>
        <w:pStyle w:val="Textonotapie"/>
      </w:pPr>
      <w:r>
        <w:rPr>
          <w:rStyle w:val="Refdenotaalpie"/>
        </w:rPr>
        <w:footnoteRef/>
      </w:r>
      <w:r>
        <w:t xml:space="preserve"> Por ejemplo: “La clemencia es necessaria en los reyes y principes mas que otra virtud alguna: porque si desta carecen mas se pueden llamar tyranos.” </w:t>
      </w:r>
      <w:r w:rsidRPr="00C24EFF">
        <w:rPr>
          <w:highlight w:val="yellow"/>
        </w:rPr>
        <w:t xml:space="preserve">Hernán Núñez de Toledo, </w:t>
      </w:r>
      <w:r w:rsidRPr="00C24EFF">
        <w:rPr>
          <w:i/>
          <w:highlight w:val="yellow"/>
        </w:rPr>
        <w:t>Glosa sobre las trezientas del famoso poeta Juan de Mena</w:t>
      </w:r>
      <w:r w:rsidRPr="00C24EFF">
        <w:rPr>
          <w:highlight w:val="yellow"/>
        </w:rPr>
        <w:t xml:space="preserve"> (Sevilla: Iuan Varela, 1528)</w:t>
      </w:r>
      <w:r>
        <w:t xml:space="preserve">, copla cxiiij, glosa “mezclando rigor con clemencia”. Véase también la voz “clemencia” del </w:t>
      </w:r>
      <w:r w:rsidRPr="00963962">
        <w:rPr>
          <w:i/>
        </w:rPr>
        <w:t>Diccionario de la lengua castellana: en que se explica el verdadero sentido</w:t>
      </w:r>
      <w:r>
        <w:t xml:space="preserve">… </w:t>
      </w:r>
    </w:p>
  </w:footnote>
  <w:footnote w:id="33">
    <w:p w14:paraId="448F145B" w14:textId="706F5356" w:rsidR="00AC086E" w:rsidRPr="009A7156" w:rsidRDefault="00AC086E">
      <w:pPr>
        <w:pStyle w:val="Textonotapie"/>
      </w:pPr>
      <w:r>
        <w:rPr>
          <w:rStyle w:val="Refdenotaalpie"/>
        </w:rPr>
        <w:footnoteRef/>
      </w:r>
      <w:r>
        <w:t xml:space="preserve"> </w:t>
      </w:r>
      <w:r w:rsidRPr="00C3030E">
        <w:t xml:space="preserve">Juan de Mariana, </w:t>
      </w:r>
      <w:r w:rsidRPr="00C3030E">
        <w:rPr>
          <w:i/>
          <w:iCs/>
        </w:rPr>
        <w:t>La dignidad real y la educación del rey (De rege et regis institutione)</w:t>
      </w:r>
      <w:r w:rsidRPr="00C3030E">
        <w:t>, ed. Luis Sánchez Agesta, Colección Clásicos políticos (Madrid: Centro de E</w:t>
      </w:r>
      <w:r>
        <w:t xml:space="preserve">studios Constitucionales, 1981), lib. I, cap. V, p. 61. Ribadeneyra por su parte planteó que los malos príncipes podían valerse de la religión para darse una imagen virtuosa, aunque “se sirven de ella como de red para pescar lo que pretende su codicia y loca ambicion”. Ribadeneyra, </w:t>
      </w:r>
      <w:r>
        <w:rPr>
          <w:i/>
        </w:rPr>
        <w:t>Tratado de la religión y las virtudes</w:t>
      </w:r>
      <w:r>
        <w:t>, lib. I, cap. II.</w:t>
      </w:r>
    </w:p>
  </w:footnote>
  <w:footnote w:id="34">
    <w:p w14:paraId="0835D4FA" w14:textId="77469138" w:rsidR="00AC086E" w:rsidRDefault="00AC086E">
      <w:pPr>
        <w:pStyle w:val="Textonotapie"/>
      </w:pPr>
      <w:r>
        <w:rPr>
          <w:rStyle w:val="Refdenotaalpie"/>
        </w:rPr>
        <w:footnoteRef/>
      </w:r>
      <w:r>
        <w:t xml:space="preserve"> Ribadeneyra, </w:t>
      </w:r>
      <w:r>
        <w:rPr>
          <w:i/>
        </w:rPr>
        <w:t>Tratado de la religión y las virtudes</w:t>
      </w:r>
      <w:r>
        <w:t>, lib. II, cap. IX.</w:t>
      </w:r>
    </w:p>
  </w:footnote>
  <w:footnote w:id="35">
    <w:p w14:paraId="2A69C54E" w14:textId="6962A900" w:rsidR="00AC086E" w:rsidRDefault="00AC086E">
      <w:pPr>
        <w:pStyle w:val="Textonotapie"/>
      </w:pPr>
      <w:r>
        <w:rPr>
          <w:rStyle w:val="Refdenotaalpie"/>
        </w:rPr>
        <w:footnoteRef/>
      </w:r>
      <w:r>
        <w:t xml:space="preserve"> Véase el “sentido estricto” del indulto según </w:t>
      </w:r>
      <w:r>
        <w:fldChar w:fldCharType="begin"/>
      </w:r>
      <w:r w:rsidR="007C7C94">
        <w:instrText xml:space="preserve"> ADDIN ZOTERO_ITEM CSL_CITATION {"citationID":"LXvsdfe3","properties":{"formattedCitation":"Mar\\uc0\\u237{}a Inmaculada Rodr\\uc0\\u237{}guez Flores, {\\i{}El perd\\uc0\\u243{}n real en Castilla (siglos XIII-XVIII)} (Salamanca: Universidad de Salamanca, 1971), 15.","plainCitation":"María Inmaculada Rodríguez Flores, El perdón real en Castilla (siglos XIII-XVIII) (Salamanca: Universidad de Salamanca, 1971), 15.","noteIndex":39},"citationItems":[{"id":2654,"uris":["http://zotero.org/users/163570/items/APZE9XAC"],"uri":["http://zotero.org/users/163570/items/APZE9XAC"],"itemData":{"id":2654,"type":"book","title":"El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Inmaculada"}],"issued":{"date-parts":[["1971"]]}},"locator":"15","label":"page"}],"schema":"https://github.com/citation-style-language/schema/raw/master/csl-citation.json"} </w:instrText>
      </w:r>
      <w:r>
        <w:fldChar w:fldCharType="separate"/>
      </w:r>
      <w:r w:rsidRPr="000560AE">
        <w:rPr>
          <w:rFonts w:cs="Times New Roman"/>
          <w:szCs w:val="24"/>
        </w:rPr>
        <w:t xml:space="preserve">María Inmaculada Rodríguez Flores, </w:t>
      </w:r>
      <w:r w:rsidRPr="000560AE">
        <w:rPr>
          <w:rFonts w:cs="Times New Roman"/>
          <w:i/>
          <w:iCs/>
          <w:szCs w:val="24"/>
        </w:rPr>
        <w:t>El perdón real en Castilla (siglos XIII-XVIII)</w:t>
      </w:r>
      <w:r w:rsidRPr="000560AE">
        <w:rPr>
          <w:rFonts w:cs="Times New Roman"/>
          <w:szCs w:val="24"/>
        </w:rPr>
        <w:t xml:space="preserve"> (Salamanca: Universidad de Salamanca, 1971), 15.</w:t>
      </w:r>
      <w:r>
        <w:fldChar w:fldCharType="end"/>
      </w:r>
    </w:p>
  </w:footnote>
  <w:footnote w:id="36">
    <w:p w14:paraId="735C36CF" w14:textId="19DD8C35" w:rsidR="00AC086E" w:rsidRPr="0047499D" w:rsidRDefault="00AC086E">
      <w:pPr>
        <w:pStyle w:val="Textonotapie"/>
      </w:pPr>
      <w:r>
        <w:rPr>
          <w:rStyle w:val="Refdenotaalpie"/>
        </w:rPr>
        <w:footnoteRef/>
      </w:r>
      <w:r>
        <w:t xml:space="preserve"> Acerca de las acciones indebidas de los magistrados véase </w:t>
      </w:r>
      <w:r>
        <w:fldChar w:fldCharType="begin"/>
      </w:r>
      <w:r w:rsidR="007C7C94">
        <w:instrText xml:space="preserve"> ADDIN ZOTERO_ITEM CSL_CITATION {"citationID":"Va2u0Ng2","properties":{"formattedCitation":"Carlos Garriga Acosta, \\uc0\\u8220{}Las Audiencias: la justicia y el gobierno de las Indias\\uc0\\u8221{}, en {\\i{}El gobierno de un mundo, virreinatos y audiencias en la Am\\uc0\\u233{}rica hisp\\uc0\\u225{}nica}, ed. Feliciano Barrios (Cuenca: Ediciones de la Universidad de Castilla-La Mancha, Fundaci\\uc0\\u243{}n Rafael del Pino, 2004), 723.","plainCitation":"Carlos Garriga Acosta, “Las Audiencias: la justicia y el gobierno de las Indias”, en El gobierno de un mundo, virreinatos y audiencias en la América hispánica, ed. Feliciano Barrios (Cuenca: Ediciones de la Universidad de Castilla-La Mancha, Fundación Rafael del Pino, 2004), 723.","noteIndex":40},"citationItems":[{"id":3373,"uris":["http://zotero.org/users/163570/items/5RFI5HKQ"],"uri":["http://zotero.org/users/163570/items/5RFI5HKQ"],"itemData":{"id":3373,"type":"chapter","title":"Las Audiencias: la justicia y el gobierno de las Indias","container-title":"El gobierno de un mundo, virreinatos y audiencias en la América hispánica","publisher":"Ediciones de la Universidad de Castilla-La Mancha, Fundación Rafael del Pino","publisher-place":"Cuenca","page":"711-794","event-place":"Cuenca","author":[{"family":"Garriga Acosta","given":"Carlos"}],"editor":[{"family":"Barrios","given":"Feliciano"}],"issued":{"date-parts":[["2004"]]}},"locator":"723","label":"page"}],"schema":"https://github.com/citation-style-language/schema/raw/master/csl-citation.json"} </w:instrText>
      </w:r>
      <w:r>
        <w:fldChar w:fldCharType="separate"/>
      </w:r>
      <w:r w:rsidRPr="0047499D">
        <w:rPr>
          <w:rFonts w:cs="Times New Roman"/>
          <w:szCs w:val="24"/>
        </w:rPr>
        <w:t xml:space="preserve">Carlos Garriga Acosta, “Las Audiencias: la justicia y el gobierno de las Indias”, en </w:t>
      </w:r>
      <w:r w:rsidRPr="0047499D">
        <w:rPr>
          <w:rFonts w:cs="Times New Roman"/>
          <w:i/>
          <w:iCs/>
          <w:szCs w:val="24"/>
        </w:rPr>
        <w:t>El gobierno de un mundo, virreinatos y audiencias en la América hispánica</w:t>
      </w:r>
      <w:r w:rsidRPr="0047499D">
        <w:rPr>
          <w:rFonts w:cs="Times New Roman"/>
          <w:szCs w:val="24"/>
        </w:rPr>
        <w:t>, ed. Feliciano Barrios (Cuenca: Ediciones de la Universidad de Castilla-La Mancha, Fundación Rafael del Pino, 2004), 723.</w:t>
      </w:r>
      <w:r>
        <w:fldChar w:fldCharType="end"/>
      </w:r>
      <w:r>
        <w:t xml:space="preserve"> Sobre las garantías de la justicia </w:t>
      </w:r>
      <w:r>
        <w:fldChar w:fldCharType="begin"/>
      </w:r>
      <w:r w:rsidR="007C7C94">
        <w:instrText xml:space="preserve"> ADDIN ZOTERO_ITEM CSL_CITATION {"citationID":"v90I5hao","properties":{"formattedCitation":"Garriga Acosta, \\uc0\\u8220{}Justicia animada\\uc0\\u8221{}, 90\\uc0\\u8211{}99.","plainCitation":"Garriga Acosta, “Justicia animada”, 90–99.","noteIndex":40},"citationItems":[{"id":8215,"uris":["http://zotero.org/users/163570/items/7K7GNDCS"],"uri":["http://zotero.org/users/163570/items/7K7GNDCS"],"itemData":{"id":8215,"type":"chapter","title":"Justicia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Acosta","given":"Carlos"}],"issued":{"date-parts":[["2007"]]}},"locator":"90-99","label":"page"}],"schema":"https://github.com/citation-style-language/schema/raw/master/csl-citation.json"} </w:instrText>
      </w:r>
      <w:r>
        <w:fldChar w:fldCharType="separate"/>
      </w:r>
      <w:r w:rsidR="00722CBD" w:rsidRPr="00722CBD">
        <w:rPr>
          <w:rFonts w:cs="Times New Roman"/>
          <w:szCs w:val="24"/>
        </w:rPr>
        <w:t>Garriga Acosta, “Justicia animada”, 90–99.</w:t>
      </w:r>
      <w:r>
        <w:fldChar w:fldCharType="end"/>
      </w:r>
      <w:r>
        <w:t xml:space="preserve"> Finalmente, las súplicas pueden analizarse a detalle siguiendo a </w:t>
      </w:r>
      <w:r w:rsidRPr="009026DF">
        <w:rPr>
          <w:highlight w:val="yellow"/>
        </w:rPr>
        <w:t xml:space="preserve">Juan de Hevia Bolaños, </w:t>
      </w:r>
      <w:r w:rsidRPr="009026DF">
        <w:rPr>
          <w:i/>
          <w:highlight w:val="yellow"/>
        </w:rPr>
        <w:t>Curia Philipica</w:t>
      </w:r>
      <w:r w:rsidRPr="009026DF">
        <w:rPr>
          <w:highlight w:val="yellow"/>
        </w:rPr>
        <w:t>, nueva impresión (Madrid: por Ram</w:t>
      </w:r>
      <w:r>
        <w:rPr>
          <w:highlight w:val="yellow"/>
        </w:rPr>
        <w:t xml:space="preserve">ón </w:t>
      </w:r>
      <w:r w:rsidRPr="009026DF">
        <w:rPr>
          <w:highlight w:val="yellow"/>
        </w:rPr>
        <w:t>Ruiz en la imprenta de Ulloa, 1790)</w:t>
      </w:r>
      <w:r>
        <w:t xml:space="preserve">, tomo I, parte V, </w:t>
      </w:r>
      <w:r>
        <w:rPr>
          <w:rFonts w:cs="Times New Roman"/>
        </w:rPr>
        <w:t>§</w:t>
      </w:r>
      <w:r>
        <w:t xml:space="preserve"> V y VI.</w:t>
      </w:r>
    </w:p>
  </w:footnote>
  <w:footnote w:id="37">
    <w:p w14:paraId="6C560A05" w14:textId="7D9AA335" w:rsidR="00AC086E" w:rsidRPr="00D215CF" w:rsidRDefault="00AC086E" w:rsidP="00F96FD3">
      <w:pPr>
        <w:pStyle w:val="Textonotapie"/>
      </w:pPr>
      <w:r>
        <w:rPr>
          <w:rStyle w:val="Refdenotaalpie"/>
        </w:rPr>
        <w:footnoteRef/>
      </w:r>
      <w:r>
        <w:t xml:space="preserve"> Es probable que la cita no provenga de alguna traducción del libro II, párrafo III de “</w:t>
      </w:r>
      <w:r w:rsidRPr="00215D8E">
        <w:t>De Clementia</w:t>
      </w:r>
      <w:r>
        <w:t xml:space="preserve">” de Séneca sino de la obra de Nieremberg: “Séneca dixo ser una blandura, y templanza de animo en el Superior, que tiene potestad de vengarse, y castigar.” </w:t>
      </w:r>
      <w:r w:rsidRPr="00F96FD3">
        <w:rPr>
          <w:i/>
          <w:highlight w:val="yellow"/>
        </w:rPr>
        <w:t>Obras y días. Manual de señores y príncipes</w:t>
      </w:r>
      <w:r w:rsidRPr="00F96FD3">
        <w:rPr>
          <w:highlight w:val="yellow"/>
        </w:rPr>
        <w:t xml:space="preserve"> (Madrid: María de Quiñones, 1641)</w:t>
      </w:r>
      <w:r>
        <w:t>, Cap. XVI.</w:t>
      </w:r>
    </w:p>
  </w:footnote>
  <w:footnote w:id="38">
    <w:p w14:paraId="6979BDE5" w14:textId="77777777" w:rsidR="00AC086E" w:rsidRPr="004F2AE6" w:rsidRDefault="00AC086E" w:rsidP="00F65E56">
      <w:pPr>
        <w:pStyle w:val="Textonotapie"/>
      </w:pPr>
      <w:r>
        <w:rPr>
          <w:rStyle w:val="Refdenotaalpie"/>
        </w:rPr>
        <w:footnoteRef/>
      </w:r>
      <w:r>
        <w:t xml:space="preserve"> Seneca, “</w:t>
      </w:r>
      <w:r w:rsidRPr="005B05B1">
        <w:t>De clementia</w:t>
      </w:r>
      <w:r>
        <w:t xml:space="preserve">,” II, párr. </w:t>
      </w:r>
      <w:r w:rsidRPr="008072E6">
        <w:t xml:space="preserve">3. </w:t>
      </w:r>
      <w:r>
        <w:t xml:space="preserve">Véase también Santo Tomás, “Summa Theologiae”, </w:t>
      </w:r>
      <w:r w:rsidRPr="008018E8">
        <w:t>IIª-IIae, q. 157 a. 3 s. c.</w:t>
      </w:r>
    </w:p>
  </w:footnote>
  <w:footnote w:id="39">
    <w:p w14:paraId="0DDAD7A7" w14:textId="628F21E5" w:rsidR="00AC086E" w:rsidRDefault="00AC086E">
      <w:pPr>
        <w:pStyle w:val="Textonotapie"/>
      </w:pPr>
      <w:r>
        <w:rPr>
          <w:rStyle w:val="Refdenotaalpie"/>
        </w:rPr>
        <w:footnoteRef/>
      </w:r>
      <w:r>
        <w:t xml:space="preserve"> La voz se construyó a partir de cuatro fuentes, un tratado filosófico (Séneca, </w:t>
      </w:r>
      <w:r>
        <w:rPr>
          <w:i/>
        </w:rPr>
        <w:t>De clementia</w:t>
      </w:r>
      <w:r>
        <w:t xml:space="preserve">), una obra didáctico-ensayística (Hernán Núñez de Toledo, el “Comendador Griego”, </w:t>
      </w:r>
      <w:r w:rsidRPr="005433D6">
        <w:rPr>
          <w:i/>
        </w:rPr>
        <w:t>Glosas</w:t>
      </w:r>
      <w:r w:rsidRPr="00B674E5">
        <w:rPr>
          <w:i/>
        </w:rPr>
        <w:t xml:space="preserve"> sobre las trescientas de Juan de Mena</w:t>
      </w:r>
      <w:r>
        <w:rPr>
          <w:i/>
        </w:rPr>
        <w:t xml:space="preserve"> </w:t>
      </w:r>
      <w:r>
        <w:t xml:space="preserve">de 1499 y 1505), un regimiento de príncipes (Nieremberg, </w:t>
      </w:r>
      <w:r>
        <w:rPr>
          <w:i/>
        </w:rPr>
        <w:t>Obras y días</w:t>
      </w:r>
      <w:r>
        <w:t xml:space="preserve"> de 1629) y las </w:t>
      </w:r>
      <w:r>
        <w:rPr>
          <w:i/>
        </w:rPr>
        <w:t>empresas políticas</w:t>
      </w:r>
      <w:r>
        <w:t xml:space="preserve"> de Diego de Saavedra Fajardo (1640). Sobre el método de construcción de las voces, selección de autoridades y clasificación de las fuentes, véase </w:t>
      </w:r>
      <w:r>
        <w:fldChar w:fldCharType="begin"/>
      </w:r>
      <w:r w:rsidR="007C7C94">
        <w:instrText xml:space="preserve"> ADDIN ZOTERO_ITEM CSL_CITATION {"citationID":"hBwZbO2A","properties":{"formattedCitation":"Margarita Freixas Alas, \\uc0\\u8220{}Las autoridades en el primer diccionario de la Real Academia Espa\\uc0\\u241{}ola\\uc0\\u8221{} (Universitat Aut\\uc0\\u242{}noma de Barcelona, 2003), cap. VI y Anexo IV.","plainCitation":"Margarita Freixas Alas, “Las autoridades en el primer diccionario de la Real Academia Española” (Universitat Autònoma de Barcelona, 2003), cap. VI y Anexo IV.","noteIndex":43},"citationItems":[{"id":8143,"uris":["http://zotero.org/users/163570/items/BA2QIUT3"],"uri":["http://zotero.org/users/163570/items/BA2QIUT3"],"itemData":{"id":8143,"type":"thesis","title":"Las autoridades en el primer diccionario de la Real Academia Española","publisher":"Universitat Autònoma de Barcelona","publisher-place":"Bellaterra","number-of-pages":"506","genre":"Tesis doctoral","event-place":"Bellaterra","shortTitle":"Las autoridades en el primer diccionario","language":"es","author":[{"family":"Freixas Alas","given":"Margarita"}],"issued":{"date-parts":[["2003"]]}},"locator":"VI","label":"chapter","suffix":"y Anexo IV"}],"schema":"https://github.com/citation-style-language/schema/raw/master/csl-citation.json"} </w:instrText>
      </w:r>
      <w:r>
        <w:fldChar w:fldCharType="separate"/>
      </w:r>
      <w:r w:rsidRPr="00220385">
        <w:rPr>
          <w:rFonts w:cs="Times New Roman"/>
          <w:szCs w:val="24"/>
        </w:rPr>
        <w:t>Margarita Freixas Alas, “Las autoridades en el primer diccionario de la Real Academia Española” (Universitat Autònoma de Barcelona, 2003), cap. VI y Anexo IV.</w:t>
      </w:r>
      <w:r>
        <w:fldChar w:fldCharType="end"/>
      </w:r>
    </w:p>
  </w:footnote>
  <w:footnote w:id="40">
    <w:p w14:paraId="501A1615" w14:textId="67E265A0" w:rsidR="00AC086E" w:rsidRPr="00265A20" w:rsidRDefault="00AC086E">
      <w:pPr>
        <w:pStyle w:val="Textonotapie"/>
      </w:pPr>
      <w:r>
        <w:rPr>
          <w:rStyle w:val="Refdenotaalpie"/>
        </w:rPr>
        <w:footnoteRef/>
      </w:r>
      <w:r>
        <w:t xml:space="preserve"> Nuevamente es esclarecedora la definición de la voz misericordia brindada por el </w:t>
      </w:r>
      <w:r>
        <w:rPr>
          <w:i/>
        </w:rPr>
        <w:t>Diccionario de autoridades</w:t>
      </w:r>
      <w:r>
        <w:t>: “</w:t>
      </w:r>
      <w:r w:rsidRPr="00265A20">
        <w:t>Virtud, que aficiona y inclina al ánimo, para que se duela y compadezca de los trabajos y miserias ajenas.</w:t>
      </w:r>
      <w:r>
        <w:t>”</w:t>
      </w:r>
    </w:p>
  </w:footnote>
  <w:footnote w:id="41">
    <w:p w14:paraId="66F64105" w14:textId="77777777" w:rsidR="00AC086E" w:rsidRPr="00515929" w:rsidRDefault="00AC086E" w:rsidP="00D10A0A">
      <w:pPr>
        <w:pStyle w:val="Textonotapie"/>
      </w:pPr>
      <w:r>
        <w:rPr>
          <w:rStyle w:val="Refdenotaalpie"/>
        </w:rPr>
        <w:footnoteRef/>
      </w:r>
      <w:r>
        <w:t xml:space="preserve"> Al respecto, </w:t>
      </w:r>
      <w:r w:rsidRPr="00295A0D">
        <w:rPr>
          <w:highlight w:val="yellow"/>
        </w:rPr>
        <w:t>Guardiola y Sáez</w:t>
      </w:r>
      <w:r>
        <w:t xml:space="preserve"> resaltaba que la conducta de los jueces era inapropiada cuando se trataba con mansedumbre a los ricos y con rigor a los pobres. Y citaba a Castillo de Bovadilla, para resaltar que en casos iguales o dudosos debía favorecerse a las personas pobres y miserables. </w:t>
      </w:r>
      <w:r w:rsidRPr="007067B0">
        <w:rPr>
          <w:i/>
          <w:highlight w:val="yellow"/>
        </w:rPr>
        <w:t>El corregidor perfecto</w:t>
      </w:r>
      <w:r w:rsidRPr="007067B0">
        <w:rPr>
          <w:highlight w:val="yellow"/>
        </w:rPr>
        <w:t xml:space="preserve">, Segunda impresión corregida y aumentada (Madrid: imprenta real, 1796), parte I, </w:t>
      </w:r>
      <w:r w:rsidRPr="007067B0">
        <w:rPr>
          <w:rFonts w:cs="Times New Roman"/>
          <w:highlight w:val="yellow"/>
        </w:rPr>
        <w:t>§</w:t>
      </w:r>
      <w:r w:rsidRPr="007067B0">
        <w:rPr>
          <w:highlight w:val="yellow"/>
        </w:rPr>
        <w:t>III, núm. 16.</w:t>
      </w:r>
    </w:p>
  </w:footnote>
  <w:footnote w:id="42">
    <w:p w14:paraId="4944A0CE" w14:textId="5B8BF27A" w:rsidR="00AC086E" w:rsidRPr="00827997" w:rsidRDefault="00AC086E" w:rsidP="00D10A0A">
      <w:pPr>
        <w:pStyle w:val="Textonotapie"/>
      </w:pPr>
      <w:r w:rsidRPr="002B6C75">
        <w:rPr>
          <w:rStyle w:val="Refdenotaalpie"/>
        </w:rPr>
        <w:footnoteRef/>
      </w:r>
      <w:r>
        <w:t xml:space="preserve"> </w:t>
      </w:r>
      <w:r>
        <w:fldChar w:fldCharType="begin"/>
      </w:r>
      <w:r w:rsidR="007C7C94">
        <w:instrText xml:space="preserve"> ADDIN ZOTERO_ITEM CSL_CITATION {"citationID":"PQ3jbqGg","properties":{"formattedCitation":"Javier Barrientos Grandon, {\\i{}El gobierno de las Indias}, Colecci\\uc0\\u243{}n historia 1 (Madrid: Fundaci\\uc0\\u243{}n Rafael del Pino, Marcial Pons, 2004), 249.","plainCitation":"Javier Barrientos Grandon, El gobierno de las Indias, Colección historia 1 (Madrid: Fundación Rafael del Pino, Marcial Pons, 2004), 249.","noteIndex":46},"citationItems":[{"id":6282,"uris":["http://zotero.org/users/163570/items/XWZB3NWU"],"uri":["http://zotero.org/users/163570/items/XWZB3NWU"],"itemData":{"id":6282,"type":"book","title":"El gobierno de las Indias","collection-title":"Colección historia","collection-number":"1","publisher":"Fundación Rafael del Pino, Marcial Pons","publisher-place":"Madrid","number-of-pages":"267","event-place":"Madrid","ISBN":"84-9768-132-0","language":"es","author":[{"family":"Barrientos Grandon","given":"Javier"}],"issued":{"date-parts":[["2004"]]}},"locator":"249","label":"page"}],"schema":"https://github.com/citation-style-language/schema/raw/master/csl-citation.json"} </w:instrText>
      </w:r>
      <w:r>
        <w:fldChar w:fldCharType="separate"/>
      </w:r>
      <w:r w:rsidRPr="00EB3702">
        <w:rPr>
          <w:rFonts w:cs="Times New Roman"/>
          <w:szCs w:val="24"/>
        </w:rPr>
        <w:t xml:space="preserve">Javier Barrientos Grandon, </w:t>
      </w:r>
      <w:r w:rsidRPr="00EB3702">
        <w:rPr>
          <w:rFonts w:cs="Times New Roman"/>
          <w:i/>
          <w:iCs/>
          <w:szCs w:val="24"/>
        </w:rPr>
        <w:t>El gobierno de las Indias</w:t>
      </w:r>
      <w:r w:rsidRPr="00EB3702">
        <w:rPr>
          <w:rFonts w:cs="Times New Roman"/>
          <w:szCs w:val="24"/>
        </w:rPr>
        <w:t>, Colección historia 1 (Madrid: Fundación Rafael del Pino, Marcial Pons, 2004), 249.</w:t>
      </w:r>
      <w:r>
        <w:fldChar w:fldCharType="end"/>
      </w:r>
      <w:r>
        <w:t xml:space="preserve"> Aunque el término de las personas miserables era ampliamente utilizado en la tradición jurídica castellana, no existía una definición que permitiera determinar con precisión quién estaba incluido o excluido en dicha categoría. Según las etimologías de San Isidoro una persona miserable podía ser todo aquel sujeto a miserias (</w:t>
      </w:r>
      <w:r>
        <w:rPr>
          <w:i/>
        </w:rPr>
        <w:t>miseriæ habilem</w:t>
      </w:r>
      <w:r>
        <w:t>) o aquel caído en desgracia (</w:t>
      </w:r>
      <w:r w:rsidRPr="00892BDA">
        <w:rPr>
          <w:i/>
        </w:rPr>
        <w:t>f</w:t>
      </w:r>
      <w:r>
        <w:rPr>
          <w:i/>
        </w:rPr>
        <w:t>ælicitatem amittens</w:t>
      </w:r>
      <w:r>
        <w:t xml:space="preserve">), con lo cual prácticamente cualquiera podía apelar su condición digna de compasión. La multitud de doctrina producida al respecto no habría facilitado el declarar quién era indubitablemente privilegiado por su miseria, por lo que en todo caso sería el juez el encargado de determinar con su arbitrio si aquel que comparecía en juicio era o no merecedor del privilegio; aunque en el caso de los ciegos, leprosos, baldados, las viudas o con maridos inútiles, los pobres comprobados y los indios existía un consenso relativo a su condición lamentable. </w:t>
      </w:r>
      <w:r w:rsidRPr="00382B2F">
        <w:rPr>
          <w:highlight w:val="yellow"/>
        </w:rPr>
        <w:t>Gaspar de Villar</w:t>
      </w:r>
      <w:r>
        <w:rPr>
          <w:highlight w:val="yellow"/>
        </w:rPr>
        <w:t>r</w:t>
      </w:r>
      <w:r w:rsidRPr="00382B2F">
        <w:rPr>
          <w:highlight w:val="yellow"/>
        </w:rPr>
        <w:t xml:space="preserve">oel, </w:t>
      </w:r>
      <w:r w:rsidRPr="00382B2F">
        <w:rPr>
          <w:i/>
          <w:highlight w:val="yellow"/>
        </w:rPr>
        <w:t>Go</w:t>
      </w:r>
      <w:r>
        <w:rPr>
          <w:i/>
          <w:highlight w:val="yellow"/>
        </w:rPr>
        <w:t>v</w:t>
      </w:r>
      <w:r w:rsidRPr="00382B2F">
        <w:rPr>
          <w:i/>
          <w:highlight w:val="yellow"/>
        </w:rPr>
        <w:t>ierno eclesiástico-pacífico y unión de los dos cuchillos</w:t>
      </w:r>
      <w:r>
        <w:rPr>
          <w:i/>
          <w:highlight w:val="yellow"/>
        </w:rPr>
        <w:t xml:space="preserve"> pontificio y regio</w:t>
      </w:r>
      <w:r w:rsidRPr="00382B2F">
        <w:rPr>
          <w:highlight w:val="yellow"/>
        </w:rPr>
        <w:t>,</w:t>
      </w:r>
      <w:r>
        <w:t xml:space="preserve"> reimpresión (Madrid: oficina de Antonio Marín, 1738), parte II, quest. XIV, art. III. </w:t>
      </w:r>
    </w:p>
  </w:footnote>
  <w:footnote w:id="43">
    <w:p w14:paraId="2C2837B2" w14:textId="3863E5C7" w:rsidR="00AC086E" w:rsidRDefault="00AC086E" w:rsidP="005779E7">
      <w:pPr>
        <w:pStyle w:val="Textonotapie"/>
      </w:pPr>
      <w:r w:rsidRPr="002B6C75">
        <w:rPr>
          <w:rStyle w:val="Refdenotaalpie"/>
        </w:rPr>
        <w:footnoteRef/>
      </w:r>
      <w:r>
        <w:t xml:space="preserve"> </w:t>
      </w:r>
      <w:r w:rsidRPr="00A86C78">
        <w:rPr>
          <w:highlight w:val="yellow"/>
        </w:rPr>
        <w:t xml:space="preserve">Juan Solórzano Pereyra, </w:t>
      </w:r>
      <w:r w:rsidRPr="00A86C78">
        <w:rPr>
          <w:i/>
          <w:highlight w:val="yellow"/>
        </w:rPr>
        <w:t>Política indiana</w:t>
      </w:r>
      <w:r w:rsidRPr="00A86C78">
        <w:rPr>
          <w:highlight w:val="yellow"/>
        </w:rPr>
        <w:t>, edición corregida y anotada por Francisco Ramiro de Valenzuela (Madrid: imprenta Real de la Gazeta, 1776)</w:t>
      </w:r>
      <w:r>
        <w:t>, lib. II, cap. XXVIII, núm. 28.</w:t>
      </w:r>
    </w:p>
  </w:footnote>
  <w:footnote w:id="44">
    <w:p w14:paraId="4D5531B0" w14:textId="7AE25A4D" w:rsidR="00AC086E" w:rsidRDefault="00AC086E">
      <w:pPr>
        <w:pStyle w:val="Textonotapie"/>
      </w:pPr>
      <w:r>
        <w:rPr>
          <w:rStyle w:val="Refdenotaalpie"/>
        </w:rPr>
        <w:footnoteRef/>
      </w:r>
      <w:r>
        <w:t xml:space="preserve"> De la misma manera, </w:t>
      </w:r>
      <w:r w:rsidRPr="00B9631D">
        <w:t>en el caso de los delitos graves</w:t>
      </w:r>
      <w:r>
        <w:t xml:space="preserve"> realizados con malicia se hac</w:t>
      </w:r>
      <w:r w:rsidRPr="00B9631D">
        <w:t>ían indignos de templanza y benignidad en la pena</w:t>
      </w:r>
      <w:r>
        <w:t>. Solórzano Pereyra, lib. II, cap. XXVIII, núm. 31.</w:t>
      </w:r>
    </w:p>
  </w:footnote>
  <w:footnote w:id="45">
    <w:p w14:paraId="10D30FAE" w14:textId="6764462E" w:rsidR="00AC086E" w:rsidRDefault="00AC086E">
      <w:pPr>
        <w:pStyle w:val="Textonotapie"/>
      </w:pPr>
      <w:r>
        <w:rPr>
          <w:rStyle w:val="Refdenotaalpie"/>
        </w:rPr>
        <w:footnoteRef/>
      </w:r>
      <w:r>
        <w:t xml:space="preserve"> Jerónimo </w:t>
      </w:r>
      <w:r w:rsidRPr="003100C2">
        <w:rPr>
          <w:highlight w:val="yellow"/>
        </w:rPr>
        <w:t xml:space="preserve">Castillo de </w:t>
      </w:r>
      <w:r>
        <w:rPr>
          <w:highlight w:val="yellow"/>
        </w:rPr>
        <w:t>Bovadilla</w:t>
      </w:r>
      <w:r w:rsidRPr="003100C2">
        <w:rPr>
          <w:highlight w:val="yellow"/>
        </w:rPr>
        <w:t>,</w:t>
      </w:r>
      <w:r>
        <w:rPr>
          <w:highlight w:val="yellow"/>
        </w:rPr>
        <w:t xml:space="preserve"> </w:t>
      </w:r>
      <w:r>
        <w:rPr>
          <w:i/>
          <w:highlight w:val="yellow"/>
        </w:rPr>
        <w:t>Política para corregidores y señores de vasallos</w:t>
      </w:r>
      <w:r>
        <w:rPr>
          <w:highlight w:val="yellow"/>
        </w:rPr>
        <w:t>, reimpresión de la edición de 1690 (Madrid: imprenta de la Gazeta, 1775),</w:t>
      </w:r>
      <w:r w:rsidRPr="003100C2">
        <w:rPr>
          <w:highlight w:val="yellow"/>
        </w:rPr>
        <w:t xml:space="preserve"> Lib. II, cap. II, núm. 63-64.</w:t>
      </w:r>
      <w:r>
        <w:t xml:space="preserve"> </w:t>
      </w:r>
    </w:p>
  </w:footnote>
  <w:footnote w:id="46">
    <w:p w14:paraId="4290A584" w14:textId="1D166FF6" w:rsidR="00AC086E" w:rsidRPr="00447B8C" w:rsidRDefault="00AC086E" w:rsidP="004A499C">
      <w:pPr>
        <w:pStyle w:val="Textonotapie"/>
      </w:pPr>
      <w:r w:rsidRPr="002B6C75">
        <w:rPr>
          <w:rStyle w:val="Refdenotaalpie"/>
        </w:rPr>
        <w:footnoteRef/>
      </w:r>
      <w:r>
        <w:t xml:space="preserve"> “La misericordia y la verdad custodian al rey, y la clemencia es la fortaleza del trono”</w:t>
      </w:r>
      <w:r w:rsidRPr="00034E82">
        <w:t xml:space="preserve"> </w:t>
      </w:r>
      <w:r w:rsidRPr="0005300F">
        <w:rPr>
          <w:highlight w:val="yellow"/>
        </w:rPr>
        <w:t xml:space="preserve">Gregorio López, glosa “Los Reyes” a </w:t>
      </w:r>
      <w:r w:rsidRPr="0005300F">
        <w:rPr>
          <w:i/>
          <w:highlight w:val="yellow"/>
        </w:rPr>
        <w:t>Las Siete Partidas</w:t>
      </w:r>
      <w:r>
        <w:t xml:space="preserve"> 3, tít. 24, proemio. La cita bíblica es tomada de Prov. 20:28. También es usada por Santo Tomás en “</w:t>
      </w:r>
      <w:r w:rsidRPr="00DA246C">
        <w:t>Summa Theologiae</w:t>
      </w:r>
      <w:r>
        <w:t xml:space="preserve">,” </w:t>
      </w:r>
      <w:r w:rsidRPr="00447B8C">
        <w:t>IIª-IIae, q. 157 a. 4 arg. 2</w:t>
      </w:r>
      <w:r>
        <w:t>.</w:t>
      </w:r>
    </w:p>
  </w:footnote>
  <w:footnote w:id="47">
    <w:p w14:paraId="422AA2D4" w14:textId="1405477B" w:rsidR="00AC086E" w:rsidRDefault="00AC086E" w:rsidP="004A499C">
      <w:pPr>
        <w:pStyle w:val="Textonotapie"/>
      </w:pPr>
      <w:r w:rsidRPr="002B6C75">
        <w:rPr>
          <w:rStyle w:val="Refdenotaalpie"/>
        </w:rPr>
        <w:footnoteRef/>
      </w:r>
      <w:r w:rsidRPr="00573862">
        <w:rPr>
          <w:lang w:val="it-IT"/>
        </w:rPr>
        <w:t xml:space="preserve"> </w:t>
      </w:r>
      <w:r>
        <w:rPr>
          <w:lang w:val="it-IT"/>
        </w:rPr>
        <w:t>“</w:t>
      </w:r>
      <w:r w:rsidRPr="009429F6">
        <w:rPr>
          <w:lang w:val="it-IT"/>
        </w:rPr>
        <w:t xml:space="preserve">Misericordia, secundum August. </w:t>
      </w:r>
      <w:r w:rsidRPr="000560AE">
        <w:rPr>
          <w:lang w:val="it-IT"/>
        </w:rPr>
        <w:t xml:space="preserve">9. de Civitate Dei, est alienæ miseriæ in nostro corde compassio, qua utique, si possemus, subvenire compellimur." </w:t>
      </w:r>
      <w:r>
        <w:t>(Misericordia, según San Agustín, lib. 9 de civitate dei, es la compasión en nuestro corazón por los males ajenos, que en cualquier caso, si podemos, nos compele a socorrer.) Gregorio López, glosa “</w:t>
      </w:r>
      <w:r w:rsidRPr="00AA0E9B">
        <w:t>Misericordia es</w:t>
      </w:r>
      <w:r>
        <w:t>”</w:t>
      </w:r>
      <w:r w:rsidRPr="009429F6">
        <w:t xml:space="preserve"> a </w:t>
      </w:r>
      <w:r w:rsidRPr="009429F6">
        <w:rPr>
          <w:i/>
        </w:rPr>
        <w:t>Partidas</w:t>
      </w:r>
      <w:r w:rsidRPr="009429F6">
        <w:t xml:space="preserve"> </w:t>
      </w:r>
      <w:r>
        <w:t>3, tít. 24, proemio.</w:t>
      </w:r>
    </w:p>
  </w:footnote>
  <w:footnote w:id="48">
    <w:p w14:paraId="78B56BBD" w14:textId="354A2DFC" w:rsidR="00AC086E" w:rsidRPr="00AA0E9B" w:rsidRDefault="00AC086E" w:rsidP="004A499C">
      <w:pPr>
        <w:pStyle w:val="Textonotapie"/>
      </w:pPr>
      <w:r w:rsidRPr="002B6C75">
        <w:rPr>
          <w:rStyle w:val="Refdenotaalpie"/>
        </w:rPr>
        <w:footnoteRef/>
      </w:r>
      <w:r w:rsidRPr="0056155B">
        <w:t xml:space="preserve"> “</w:t>
      </w:r>
      <w:r w:rsidRPr="001D5205">
        <w:rPr>
          <w:i/>
        </w:rPr>
        <w:t>clementia est lenitas superioris adversus inferiorem. Mansuetudo autem non solum est superioris ad inferiorem, sed cuiuslibet ad quemlibet. Ergo mansuetudo et clementia non sunt penitus idem</w:t>
      </w:r>
      <w:r w:rsidRPr="0056155B">
        <w:t>.</w:t>
      </w:r>
      <w:r>
        <w:t>” (“la clemencia es la benignidad del superior respecto al inferior. La mansedumbre, sin embargo, no es sólo del superior al inferior, sino dada entre pares. Por lo tanto, la mansedumbre y la clemencia no son en esencia iguales”) Santo Tomás, “</w:t>
      </w:r>
      <w:r w:rsidRPr="00AA0E9B">
        <w:t>Summa Theologiae,” IIª-IIae, q. 157 a. 1 s. c.</w:t>
      </w:r>
    </w:p>
  </w:footnote>
  <w:footnote w:id="49">
    <w:p w14:paraId="62F331DC" w14:textId="7A5FE51E" w:rsidR="00AC086E" w:rsidRPr="00AA0E9B" w:rsidRDefault="00AC086E" w:rsidP="004A499C">
      <w:pPr>
        <w:pStyle w:val="Textonotapie"/>
      </w:pPr>
      <w:r w:rsidRPr="002B6C75">
        <w:rPr>
          <w:rStyle w:val="Refdenotaalpie"/>
        </w:rPr>
        <w:footnoteRef/>
      </w:r>
      <w:r>
        <w:t xml:space="preserve"> “Respondo diciendo que nada prohíbe que algunas virtudes no sean absolutamente las mejores (</w:t>
      </w:r>
      <w:r w:rsidRPr="00951556">
        <w:rPr>
          <w:i/>
        </w:rPr>
        <w:t>potissimas simpliciter</w:t>
      </w:r>
      <w:r>
        <w:t>) ni en cuanto al todo, sino relativamente y en un género determinado (</w:t>
      </w:r>
      <w:r w:rsidRPr="00951556">
        <w:rPr>
          <w:i/>
        </w:rPr>
        <w:t>sed secundum quid et in aliquo genere</w:t>
      </w:r>
      <w:r>
        <w:t>). Mas no es posible que la clemencia y la mansedumbre sean absolutamente las mejores virtudes, porque su mérito consiste en retraer de lo malo, en cuanto disminuyen la ira o la pena. Pero es más perfecto alcanzar el bien que carecer de mal.</w:t>
      </w:r>
      <w:r w:rsidRPr="007516A7">
        <w:t xml:space="preserve"> Por eso las virtudes que esencialmente ordenan al bien, como son la fe, esperanza y caridad, </w:t>
      </w:r>
      <w:r>
        <w:t>y también</w:t>
      </w:r>
      <w:r w:rsidRPr="007516A7">
        <w:t xml:space="preserve"> la prudencia y la justicia, son, absolutamente hablando, virtudes </w:t>
      </w:r>
      <w:r>
        <w:t>mayores (</w:t>
      </w:r>
      <w:r w:rsidRPr="00951556">
        <w:rPr>
          <w:i/>
        </w:rPr>
        <w:t>maiores virtutes</w:t>
      </w:r>
      <w:r>
        <w:t>)</w:t>
      </w:r>
      <w:r w:rsidRPr="007516A7">
        <w:t xml:space="preserve"> que la clemencia y la mansedumbre.</w:t>
      </w:r>
      <w:r>
        <w:t>”, Santo Tomás,</w:t>
      </w:r>
      <w:r w:rsidRPr="00AA0E9B">
        <w:t xml:space="preserve"> </w:t>
      </w:r>
      <w:r>
        <w:t>“</w:t>
      </w:r>
      <w:r w:rsidRPr="007F47A9">
        <w:t>Summa Theologiae,</w:t>
      </w:r>
      <w:r>
        <w:t>”</w:t>
      </w:r>
      <w:r w:rsidRPr="00AA0E9B">
        <w:t xml:space="preserve"> IIª-IIae, q. 157 a. 4 co.</w:t>
      </w:r>
      <w:r>
        <w:t xml:space="preserve"> </w:t>
      </w:r>
    </w:p>
  </w:footnote>
  <w:footnote w:id="50">
    <w:p w14:paraId="26CCBD09" w14:textId="19577DAF" w:rsidR="00AC086E" w:rsidRPr="00734344" w:rsidRDefault="00AC086E" w:rsidP="004A499C">
      <w:pPr>
        <w:pStyle w:val="Textonotapie"/>
      </w:pPr>
      <w:r w:rsidRPr="002B6C75">
        <w:rPr>
          <w:rStyle w:val="Refdenotaalpie"/>
        </w:rPr>
        <w:footnoteRef/>
      </w:r>
      <w:r w:rsidRPr="000719C6">
        <w:t xml:space="preserve"> “Atqui hoc omnes intellegunt clementiam esse, quae se flectit citra id, quod merito constitui posset.” Séneca, </w:t>
      </w:r>
      <w:r>
        <w:t>“</w:t>
      </w:r>
      <w:r w:rsidRPr="00215D8E">
        <w:t>De clementia</w:t>
      </w:r>
      <w:r w:rsidRPr="000719C6">
        <w:t>,</w:t>
      </w:r>
      <w:r>
        <w:t>”</w:t>
      </w:r>
      <w:r w:rsidRPr="000719C6">
        <w:t xml:space="preserve"> </w:t>
      </w:r>
      <w:r w:rsidRPr="000560AE">
        <w:t xml:space="preserve">II, párr. </w:t>
      </w:r>
      <w:r w:rsidRPr="00734344">
        <w:t xml:space="preserve">3. También </w:t>
      </w:r>
      <w:r w:rsidRPr="009060CE">
        <w:rPr>
          <w:highlight w:val="yellow"/>
        </w:rPr>
        <w:t>Andrés Mendo</w:t>
      </w:r>
      <w:r w:rsidRPr="00734344">
        <w:t xml:space="preserve">: “Moderar el rigor ajustado al delito es equidad, </w:t>
      </w:r>
      <w:r>
        <w:t xml:space="preserve">á que persuade la clemencia; excederle, es crueldad, en que degenera la justicia”. </w:t>
      </w:r>
      <w:r w:rsidRPr="009060CE">
        <w:rPr>
          <w:i/>
          <w:highlight w:val="yellow"/>
        </w:rPr>
        <w:t>Principe perfecto</w:t>
      </w:r>
      <w:r w:rsidRPr="009060CE">
        <w:rPr>
          <w:highlight w:val="yellow"/>
        </w:rPr>
        <w:t>,</w:t>
      </w:r>
      <w:r>
        <w:t xml:space="preserve"> Doc. XXXI, “La pena se ha de proporcionar a la culpa”. </w:t>
      </w:r>
    </w:p>
  </w:footnote>
  <w:footnote w:id="51">
    <w:p w14:paraId="669686E5" w14:textId="77777777" w:rsidR="00AC086E" w:rsidRPr="00137320" w:rsidRDefault="00AC086E" w:rsidP="000B2B9E">
      <w:pPr>
        <w:pStyle w:val="Textonotapie"/>
      </w:pPr>
      <w:r>
        <w:rPr>
          <w:rStyle w:val="Refdenotaalpie"/>
        </w:rPr>
        <w:footnoteRef/>
      </w:r>
      <w:r>
        <w:t xml:space="preserve"> </w:t>
      </w:r>
      <w:r w:rsidRPr="00F7244B">
        <w:t xml:space="preserve">Saavedra Fajardo, </w:t>
      </w:r>
      <w:r w:rsidRPr="00F7244B">
        <w:rPr>
          <w:i/>
        </w:rPr>
        <w:t>Idea de un príncipe político christiano</w:t>
      </w:r>
      <w:r w:rsidRPr="00F7244B">
        <w:t xml:space="preserve">, </w:t>
      </w:r>
      <w:r>
        <w:t xml:space="preserve">emp. 22, </w:t>
      </w:r>
      <w:r w:rsidRPr="00F7244B">
        <w:t>lema “præsidia maiestatis”.</w:t>
      </w:r>
      <w:r>
        <w:t xml:space="preserve"> Juan de Mariana también cita a un autor anónimo para decir que “si se hubiesen castigado todas las faltas cometidas, ya hace tiempo que la humanidad no existiría” (</w:t>
      </w:r>
      <w:r w:rsidRPr="00137320">
        <w:rPr>
          <w:i/>
        </w:rPr>
        <w:t>Si peccatis supplicia metiatur, iam pridem genus humanum extinxerit</w:t>
      </w:r>
      <w:r>
        <w:t xml:space="preserve">) </w:t>
      </w:r>
      <w:r w:rsidRPr="00C3030E">
        <w:t xml:space="preserve">Mariana, </w:t>
      </w:r>
      <w:r w:rsidRPr="00C3030E">
        <w:rPr>
          <w:i/>
          <w:iCs/>
        </w:rPr>
        <w:t>La dignidad real</w:t>
      </w:r>
      <w:r>
        <w:rPr>
          <w:iCs/>
        </w:rPr>
        <w:t>,</w:t>
      </w:r>
      <w:r w:rsidRPr="00D31176">
        <w:t xml:space="preserve"> lib. </w:t>
      </w:r>
      <w:r>
        <w:t>II, cap. XII, p. 235. Cita en latín de la edición de Toledo de 1599.</w:t>
      </w:r>
    </w:p>
  </w:footnote>
  <w:footnote w:id="52">
    <w:p w14:paraId="37C1F667" w14:textId="7E091FB1"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{"citationID":"yYCHYdV9","properties":{"formattedCitation":"Francisco Tom\\uc0\\u225{}s y Valiente, \\uc0\\u8220{}\\uc0\\u171{}In dubio pro reo\\uc0\\u187{}, libre apreciaci\\uc0\\u243{}n de la prueba y presunci\\uc0\\u243{}n de inocencia\\uc0\\u8221{}, {\\i{}Revista Espa\\uc0\\u241{}ola de Derecho Constitucional}, n\\uc0\\u250{}m. 20 (1987): 14.","plainCitation":"Francisco Tomás y Valiente, “«In dubio pro reo», libre apreciación de la prueba y presunción de inocencia”, Revista Española de Derecho Constitucional, núm. 20 (1987): 14.","noteIndex":56},"citationItems":[{"id":8214,"uris":["http://zotero.org/users/163570/items/6KAVYLUY"],"uri":["http://zotero.org/users/163570/items/6KAVYLUY"],"itemData":{"id":8214,"type":"article-journal","title":"«In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AE3978">
        <w:rPr>
          <w:rFonts w:cs="Times New Roman"/>
          <w:szCs w:val="24"/>
        </w:rPr>
        <w:t xml:space="preserve">Francisco Tomás y Valiente, “«In dubio pro reo», libre apreciación de la prueba y presunción de inocencia”, </w:t>
      </w:r>
      <w:r w:rsidRPr="00AE3978">
        <w:rPr>
          <w:rFonts w:cs="Times New Roman"/>
          <w:i/>
          <w:iCs/>
          <w:szCs w:val="24"/>
        </w:rPr>
        <w:t>Revista Española de Derecho Constitucional</w:t>
      </w:r>
      <w:r w:rsidRPr="00AE3978">
        <w:rPr>
          <w:rFonts w:cs="Times New Roman"/>
          <w:szCs w:val="24"/>
        </w:rPr>
        <w:t>, núm. 20 (1987): 14.</w:t>
      </w:r>
      <w:r>
        <w:fldChar w:fldCharType="end"/>
      </w:r>
      <w:r>
        <w:t xml:space="preserve"> Paz Alonso diría que “El proceso era la aventura de la caza del reo, la búsqueda del trofeo de su condena”. </w:t>
      </w:r>
      <w:r>
        <w:fldChar w:fldCharType="begin"/>
      </w:r>
      <w:r w:rsidR="007C7C94">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201.","noteIndex":56},"citationItems":[{"id":8216,"uris":["http://zotero.org/users/163570/items/UAKUXGM3"],"uri":["http://zotero.org/users/163570/items/UAKUXGM3"],"itemData":{"id":8216,"type":"article-journal","title":"El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FF087F">
        <w:rPr>
          <w:rFonts w:cs="Times New Roman"/>
          <w:szCs w:val="24"/>
        </w:rPr>
        <w:t xml:space="preserve">María Paz Alonso Romero, “El proceso penal en la Castilla Moderna”, </w:t>
      </w:r>
      <w:r w:rsidRPr="00FF087F">
        <w:rPr>
          <w:rFonts w:cs="Times New Roman"/>
          <w:i/>
          <w:iCs/>
          <w:szCs w:val="24"/>
        </w:rPr>
        <w:t>Estudis: Revista de historia moderna</w:t>
      </w:r>
      <w:r w:rsidRPr="00FF087F">
        <w:rPr>
          <w:rFonts w:cs="Times New Roman"/>
          <w:szCs w:val="24"/>
        </w:rPr>
        <w:t>, núm. 22 (1996): 201.</w:t>
      </w:r>
      <w:r>
        <w:fldChar w:fldCharType="end"/>
      </w:r>
    </w:p>
  </w:footnote>
  <w:footnote w:id="53">
    <w:p w14:paraId="2716A6E2" w14:textId="56730CC7"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{"citationID":"al28obnw","properties":{"formattedCitation":"Calder\\uc0\\u243{}n de la Barca, {\\i{}El indulto general}, 9\\uc0\\u8211{}10.","plainCitation":"Calderón de la Barca, El indulto general, 9–10.","noteIndex":57},"citationItems":[{"id":8192,"uris":["http://zotero.org/users/163570/items/AY4587QQ"],"uri":["http://zotero.org/users/163570/items/AY4587QQ"],"itemData":{"id":8192,"type":"book","title":"El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9–10.</w:t>
      </w:r>
      <w:r>
        <w:fldChar w:fldCharType="end"/>
      </w:r>
    </w:p>
  </w:footnote>
  <w:footnote w:id="54">
    <w:p w14:paraId="2B0D014C" w14:textId="19A6E242"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{"citationID":"m0owZl73","properties":{"formattedCitation":"Tom\\uc0\\u225{}s y Valiente, \\uc0\\u8220{}\\uc0\\u171{}In dubio pro reo\\uc0\\u187{}\\uc0\\u8221{}, 12\\uc0\\u8211{}13.","plainCitation":"Tomás y Valiente, “«In dubio pro reo»”, 12–13.","noteIndex":58},"citationItems":[{"id":8214,"uris":["http://zotero.org/users/163570/items/6KAVYLUY"],"uri":["http://zotero.org/users/163570/items/6KAVYLUY"],"itemData":{"id":8214,"type":"article-journal","title":"«In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EF718A">
        <w:rPr>
          <w:rFonts w:cs="Times New Roman"/>
          <w:szCs w:val="24"/>
        </w:rPr>
        <w:t>Tomás y Valiente, “«In dubio pro reo»”, 12–13.</w:t>
      </w:r>
      <w:r>
        <w:fldChar w:fldCharType="end"/>
      </w:r>
    </w:p>
  </w:footnote>
  <w:footnote w:id="55">
    <w:p w14:paraId="5CDB52B6" w14:textId="266A3C5D"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{"citationID":"pNUEkrH4","properties":{"formattedCitation":"Tom\\uc0\\u225{}s y Valiente, 12.","plainCitation":"Tomás y Valiente, 12.","noteIndex":59},"citationItems":[{"id":8214,"uris":["http://zotero.org/users/163570/items/6KAVYLUY"],"uri":["http://zotero.org/users/163570/items/6KAVYLUY"],"itemData":{"id":8214,"type":"article-journal","title":"«In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736260">
        <w:rPr>
          <w:rFonts w:cs="Times New Roman"/>
          <w:szCs w:val="24"/>
        </w:rPr>
        <w:t>Tomás y Valiente, 12.</w:t>
      </w:r>
      <w:r>
        <w:fldChar w:fldCharType="end"/>
      </w:r>
    </w:p>
  </w:footnote>
  <w:footnote w:id="56">
    <w:p w14:paraId="6500F0C6" w14:textId="77777777" w:rsidR="00AC086E" w:rsidRDefault="00AC086E" w:rsidP="000B2B9E">
      <w:pPr>
        <w:pStyle w:val="Textonotapie"/>
      </w:pPr>
      <w:r>
        <w:rPr>
          <w:rStyle w:val="Refdenotaalpie"/>
        </w:rPr>
        <w:footnoteRef/>
      </w:r>
      <w:r>
        <w:t xml:space="preserve"> Referencia en el original a tres citas bíblicas: Mt 12:7, Sal 106, Pr 3:3.</w:t>
      </w:r>
    </w:p>
  </w:footnote>
  <w:footnote w:id="57">
    <w:p w14:paraId="7021C1E8" w14:textId="472C3A8A" w:rsidR="00AC086E" w:rsidRPr="002E634A" w:rsidRDefault="00AC086E" w:rsidP="000B2B9E">
      <w:pPr>
        <w:pStyle w:val="Textonotapie"/>
        <w:rPr>
          <w:i/>
        </w:rPr>
      </w:pPr>
      <w:r>
        <w:rPr>
          <w:rStyle w:val="Refdenotaalpie"/>
        </w:rPr>
        <w:footnoteRef/>
      </w:r>
      <w:r>
        <w:t xml:space="preserve"> Guardiola y Sáez, </w:t>
      </w:r>
      <w:r>
        <w:rPr>
          <w:i/>
        </w:rPr>
        <w:t>El corregidor perfecto</w:t>
      </w:r>
      <w:r>
        <w:t xml:space="preserve">, parte II, </w:t>
      </w:r>
      <w:r w:rsidRPr="0020271B">
        <w:t>§</w:t>
      </w:r>
      <w:r>
        <w:t xml:space="preserve"> IV, núm. 33. También es ilustrativo Saavedra Fajardo cuando dice: “Si Dios no fuera clemente, lo respetara el temor, pero no le adorara el culto.”</w:t>
      </w:r>
      <w:r w:rsidRPr="002E634A">
        <w:rPr>
          <w:i/>
        </w:rPr>
        <w:t xml:space="preserve"> </w:t>
      </w:r>
      <w:r w:rsidRPr="00F7244B">
        <w:rPr>
          <w:i/>
        </w:rPr>
        <w:t>Idea de un príncipe político christiano</w:t>
      </w:r>
      <w:r w:rsidRPr="00F7244B">
        <w:t xml:space="preserve">, </w:t>
      </w:r>
      <w:r>
        <w:t xml:space="preserve">emp. 22, </w:t>
      </w:r>
      <w:r w:rsidRPr="00F7244B">
        <w:t>lema “præsidia maiestatis”.</w:t>
      </w:r>
      <w:r>
        <w:rPr>
          <w:i/>
        </w:rPr>
        <w:t xml:space="preserve"> </w:t>
      </w:r>
    </w:p>
  </w:footnote>
  <w:footnote w:id="58">
    <w:p w14:paraId="038FB7BD" w14:textId="71B1901E" w:rsidR="00AC086E" w:rsidRPr="0042190A" w:rsidRDefault="00AC086E" w:rsidP="0042190A">
      <w:pPr>
        <w:pStyle w:val="Textonotapie"/>
      </w:pPr>
      <w:r w:rsidRPr="002B6C75">
        <w:rPr>
          <w:rStyle w:val="Refdenotaalpie"/>
        </w:rPr>
        <w:footnoteRef/>
      </w:r>
      <w:r w:rsidRPr="0042190A">
        <w:t xml:space="preserve"> </w:t>
      </w:r>
      <w:r>
        <w:t>“</w:t>
      </w:r>
      <w:r w:rsidRPr="00DA246C">
        <w:t>Summa Theologiae</w:t>
      </w:r>
      <w:r w:rsidRPr="0042190A">
        <w:t>,</w:t>
      </w:r>
      <w:r>
        <w:t>”</w:t>
      </w:r>
      <w:r w:rsidRPr="0042190A">
        <w:t xml:space="preserve"> IIª-IIae, q. 157 a. 3 arg. 1-3.</w:t>
      </w:r>
    </w:p>
  </w:footnote>
  <w:footnote w:id="59">
    <w:p w14:paraId="3B8870CD" w14:textId="0753EB86" w:rsidR="00AC086E" w:rsidRPr="00C44AAB" w:rsidRDefault="00AC086E" w:rsidP="0042190A">
      <w:pPr>
        <w:pStyle w:val="Textonotapie"/>
        <w:rPr>
          <w:lang w:val="it-IT"/>
        </w:rPr>
      </w:pPr>
      <w:r w:rsidRPr="002B6C75">
        <w:rPr>
          <w:rStyle w:val="Refdenotaalpie"/>
        </w:rPr>
        <w:footnoteRef/>
      </w:r>
      <w:r>
        <w:t xml:space="preserve"> </w:t>
      </w:r>
      <w:r w:rsidRPr="00C44AAB">
        <w:rPr>
          <w:i/>
        </w:rPr>
        <w:t>Manlia imperia</w:t>
      </w:r>
      <w:r>
        <w:t xml:space="preserve">: entendido como el rigor romano, ejemplificado por la historia narrada por Tito Livio en  </w:t>
      </w:r>
      <w:r w:rsidRPr="00C44AAB">
        <w:rPr>
          <w:i/>
        </w:rPr>
        <w:t>Ab urbe condita</w:t>
      </w:r>
      <w:r>
        <w:t xml:space="preserve"> [libro VIII, párrafos 7 y 8] - Tito Manlio, hijo del cónsul Tito Manlio Torcuato, desobedeció la regla impuesta por el consejo de guerra durante la batalla del Vesubio, en el año 339 antes de nuestra era, que prohibió a ninguno de los bandos ceder ante la provocación del otro (esto debido a que los cónsules habían tenido la visión de que el cónsul al mando del ejército que cediera se "ofrendaría a sí mismo en nombre del pueblo romano y de los Quirites" - "</w:t>
      </w:r>
      <w:r w:rsidRPr="00C44AAB">
        <w:rPr>
          <w:i/>
        </w:rPr>
        <w:t>ab utra parte cedere Romanus exercitus coepisset, inde se consul devoveret pro populo Romano Quiritibusque</w:t>
      </w:r>
      <w:r w:rsidRPr="00422F2B">
        <w:t>)</w:t>
      </w:r>
      <w:r>
        <w:t xml:space="preserve">." [Tito Livio, VIII, 6] Ante la provocación de Gémino Mecio, hijo del cónsul del ejército túsculo, Manlio respondió y se enfrentó a éste matándolo y decapitándolo. Llevó orgullosamente el despojo a su padre quien le reprendió y lo ordenó asesinar por haber ofendido la autoridad consular. Se consideraba crueldad el castigo porque habían factores que minoraban la culpa: el "ardimiento juvenil" el "celo por la Republica". "Pero la feróz, y desabrida virtud del duro Manlio, ni pesaba circunstancias, ni entendia epikeyas, y assi iniquamente privó á su Patria de un joven, que daba esperanzas de ser con el tiempo un gran Caudillo." </w:t>
      </w:r>
      <w:r w:rsidRPr="00C44AAB">
        <w:rPr>
          <w:lang w:val="it-IT"/>
        </w:rPr>
        <w:t>Feijoo,Teatro, VI, 27, p. 15</w:t>
      </w:r>
    </w:p>
  </w:footnote>
  <w:footnote w:id="60">
    <w:p w14:paraId="7C5C4994" w14:textId="77777777" w:rsidR="00AC086E" w:rsidRPr="001155D2" w:rsidRDefault="00AC086E" w:rsidP="0042190A">
      <w:pPr>
        <w:pStyle w:val="Textonotapie"/>
      </w:pPr>
      <w:r w:rsidRPr="002B6C75">
        <w:rPr>
          <w:rStyle w:val="Refdenotaalpie"/>
        </w:rPr>
        <w:footnoteRef/>
      </w:r>
      <w:r w:rsidRPr="001155D2">
        <w:rPr>
          <w:lang w:val="it-IT"/>
        </w:rPr>
        <w:t xml:space="preserve"> </w:t>
      </w:r>
      <w:r>
        <w:rPr>
          <w:lang w:val="it-IT"/>
        </w:rPr>
        <w:t xml:space="preserve">Cicerón, </w:t>
      </w:r>
      <w:r>
        <w:rPr>
          <w:i/>
          <w:lang w:val="it-IT"/>
        </w:rPr>
        <w:t>De officiis</w:t>
      </w:r>
      <w:r>
        <w:rPr>
          <w:lang w:val="it-IT"/>
        </w:rPr>
        <w:t xml:space="preserve">, Lib. </w:t>
      </w:r>
      <w:r w:rsidRPr="002718AC">
        <w:rPr>
          <w:lang w:val="it-IT"/>
        </w:rPr>
        <w:t xml:space="preserve">I, núm. 33. </w:t>
      </w:r>
      <w:r w:rsidRPr="001155D2">
        <w:t xml:space="preserve">“Ley rigurosa”, Gerónimo Martín </w:t>
      </w:r>
      <w:r>
        <w:t xml:space="preserve">Caro y Cejudo, </w:t>
      </w:r>
      <w:r>
        <w:rPr>
          <w:i/>
        </w:rPr>
        <w:t>Refranes y modos de hablar castellanos, con los latinos que les corresponden</w:t>
      </w:r>
      <w:r>
        <w:t xml:space="preserve"> (Madrid: imprenta real, 1792).</w:t>
      </w:r>
    </w:p>
  </w:footnote>
  <w:footnote w:id="61">
    <w:p w14:paraId="34A0353E" w14:textId="77777777" w:rsidR="00AC086E" w:rsidRPr="00C054C4" w:rsidRDefault="00AC086E" w:rsidP="008E4E99">
      <w:pPr>
        <w:pStyle w:val="Textonotapie"/>
      </w:pPr>
      <w:r>
        <w:rPr>
          <w:rStyle w:val="Refdenotaalpie"/>
        </w:rPr>
        <w:footnoteRef/>
      </w:r>
      <w:r>
        <w:t xml:space="preserve"> Jerónimo Castillo de Bovadilla, </w:t>
      </w:r>
      <w:r>
        <w:rPr>
          <w:i/>
        </w:rPr>
        <w:t>Politica para corregidores y señores de vasallos</w:t>
      </w:r>
      <w:r>
        <w:t xml:space="preserve">, reimpresión de la edición de 1690 (Madrid: imprenta real de la Gaceta, 1775) lib. II, cap. III, núm. 32. La misma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62">
    <w:p w14:paraId="0127643E" w14:textId="77777777" w:rsidR="00AC086E" w:rsidRDefault="00AC086E" w:rsidP="008E4E99">
      <w:pPr>
        <w:pStyle w:val="Textonotapie"/>
      </w:pPr>
      <w:r>
        <w:rPr>
          <w:rStyle w:val="Refdenotaalpie"/>
        </w:rPr>
        <w:footnoteRef/>
      </w:r>
      <w:r>
        <w:t xml:space="preserve"> Castillo de Bovadilla, lib. III, cap. XII, núm. 7.</w:t>
      </w:r>
    </w:p>
  </w:footnote>
  <w:footnote w:id="63">
    <w:p w14:paraId="5F3D5465" w14:textId="77777777" w:rsidR="00AC086E" w:rsidRPr="00C05F45" w:rsidRDefault="00AC086E" w:rsidP="008E4E99">
      <w:pPr>
        <w:pStyle w:val="Textonotapie"/>
      </w:pPr>
      <w:r>
        <w:rPr>
          <w:rStyle w:val="Refdenotaalpie"/>
        </w:rPr>
        <w:footnoteRef/>
      </w:r>
      <w:r>
        <w:t xml:space="preserve"> Castillo de Bovadilla, lib. </w:t>
      </w:r>
      <w:r w:rsidRPr="00F05BA7">
        <w:t xml:space="preserve">III, cap. </w:t>
      </w:r>
      <w:r w:rsidRPr="00C05F45">
        <w:t>XII, núm. 8.</w:t>
      </w:r>
    </w:p>
  </w:footnote>
  <w:footnote w:id="64">
    <w:p w14:paraId="147A2B6E" w14:textId="14CFF7D3" w:rsidR="00AC086E" w:rsidRPr="003A403C" w:rsidRDefault="00AC086E" w:rsidP="00D27E44">
      <w:pPr>
        <w:pStyle w:val="Textonotapie"/>
      </w:pPr>
      <w:r w:rsidRPr="002B6C75">
        <w:rPr>
          <w:rStyle w:val="Refdenotaalpie"/>
        </w:rPr>
        <w:footnoteRef/>
      </w:r>
      <w:r w:rsidRPr="003A403C">
        <w:rPr>
          <w:lang w:val="it-IT"/>
        </w:rPr>
        <w:t xml:space="preserve"> “secundum August […] misericordia debet servire rationi, ut ita probetur misericordia, ut conservetur justitia, sive cum indigenti tribuitur, sive cum ignoscitur poenitenti.” </w:t>
      </w:r>
      <w:r w:rsidRPr="003A403C">
        <w:t>(Según San Agustín [...]</w:t>
      </w:r>
      <w:r>
        <w:t xml:space="preserve"> la misericordia debe servir a la razón, así como la misericordia exonera así mismo conserva la justicia, ya sea manifestando compasión a un indigente o perdonando a un arrepentido.) G</w:t>
      </w:r>
      <w:r w:rsidRPr="003A403C">
        <w:t xml:space="preserve">regorio López, glosa </w:t>
      </w:r>
      <w:r>
        <w:t>“</w:t>
      </w:r>
      <w:r w:rsidRPr="00370B1B">
        <w:t>Misericordia</w:t>
      </w:r>
      <w:r>
        <w:t>”</w:t>
      </w:r>
      <w:r w:rsidRPr="003A403C">
        <w:t xml:space="preserve"> a </w:t>
      </w:r>
      <w:r w:rsidRPr="003A403C">
        <w:rPr>
          <w:i/>
        </w:rPr>
        <w:t>Partidas</w:t>
      </w:r>
      <w:r w:rsidRPr="003A403C">
        <w:t xml:space="preserve"> 7, tit. 32, proemio.</w:t>
      </w:r>
    </w:p>
  </w:footnote>
  <w:footnote w:id="65">
    <w:p w14:paraId="2DE0CAD7" w14:textId="5830E643" w:rsidR="00AC086E" w:rsidRPr="008E4E99" w:rsidRDefault="00AC086E" w:rsidP="008E4E99">
      <w:pPr>
        <w:pStyle w:val="Textonotapie"/>
      </w:pPr>
      <w:r w:rsidRPr="002B6C75">
        <w:rPr>
          <w:rStyle w:val="Refdenotaalpie"/>
        </w:rPr>
        <w:footnoteRef/>
      </w:r>
      <w:r w:rsidRPr="00660639">
        <w:t xml:space="preserve"> “severitas legum insolentem restringat audaciam, misericordia Principum reos subtrahat poenae”. (que la severidad de las leyes res</w:t>
      </w:r>
      <w:r>
        <w:t>trinja la audacia de los insolentes y la misericordia de los príncipes remueva</w:t>
      </w:r>
      <w:r w:rsidRPr="00660639">
        <w:t xml:space="preserve"> </w:t>
      </w:r>
      <w:r>
        <w:t>a los reos de la pena.</w:t>
      </w:r>
      <w:r w:rsidRPr="00660639">
        <w:t xml:space="preserve">) Gregorio López, glosa </w:t>
      </w:r>
      <w:r>
        <w:t>“</w:t>
      </w:r>
      <w:r w:rsidRPr="00766A7E">
        <w:t>Señaladamente</w:t>
      </w:r>
      <w:r>
        <w:t>”</w:t>
      </w:r>
      <w:r w:rsidRPr="008E4E99">
        <w:t xml:space="preserve"> a </w:t>
      </w:r>
      <w:r w:rsidRPr="008E4E99">
        <w:rPr>
          <w:i/>
        </w:rPr>
        <w:t>Partidas</w:t>
      </w:r>
      <w:r w:rsidRPr="008E4E99">
        <w:t xml:space="preserve"> 7, tit. 32, proemio.</w:t>
      </w:r>
    </w:p>
  </w:footnote>
  <w:footnote w:id="66">
    <w:p w14:paraId="23D27692" w14:textId="04EBEFF4" w:rsidR="00AC086E" w:rsidRPr="000560AE" w:rsidRDefault="00AC086E" w:rsidP="008E4E99">
      <w:pPr>
        <w:pStyle w:val="Textonotapie"/>
      </w:pPr>
      <w:r w:rsidRPr="002B6C75">
        <w:rPr>
          <w:rStyle w:val="Refdenotaalpie"/>
        </w:rPr>
        <w:footnoteRef/>
      </w:r>
      <w:r>
        <w:t xml:space="preserve"> “Se entendía por pena la enmienda o coerción, corporal o pecuniaria, aplicada por el delito cometido que los jueces pueden infligir para castigar a los delincuentes y para atemorizar a los demás de modo que no delincan en el futuro”. </w:t>
      </w:r>
      <w:r>
        <w:fldChar w:fldCharType="begin"/>
      </w:r>
      <w:r w:rsidR="007C7C94">
        <w:instrText xml:space="preserve"> ADDIN ZOTERO_ITEM CSL_CITATION {"citationID":"uzsjAFJj","properties":{"formattedCitation":"Sebasti\\uc0\\u225{}n Terr\\uc0\\u225{}neo, \\uc0\\u8220{}Penas\\uc0\\u8221{}, SSRN Scholarly Paper, Diccionario Hist\\uc0\\u243{}rico de Derecho Can\\uc0\\u243{}nico en Hispanoam\\uc0\\u233{}rica y Filipinas (Siglos XVI-XVIII) (Rochester, NY: Social Science Research Network, el 1 de noviembre de 2017), 1, https://papers.ssrn.com/abstract=3064804.","plainCitation":"Sebastián Terráneo, “Penas”, SSRN Scholarly Paper, Diccionario Histórico de Derecho Canónico en Hispanoamérica y Filipinas (Siglos XVI-XVIII) (Rochester, NY: Social Science Research Network, el 1 de noviembre de 2017), 1, https://papers.ssrn.com/abstract=3064804.","noteIndex":70},"citationItems":[{"id":7701,"uris":["http://zotero.org/users/163570/items/H8PQGQU9"],"uri":["http://zotero.org/users/163570/items/H8PQGQU9"],"itemData":{"id":7701,"type":"report","title":"Penas","collection-title":"Diccionario Histórico de Derecho Canónico en Hispanoamérica y Filipinas (Siglos XVI-XVIII)","publisher":"Social Science Research Network","publisher-place":"Rochester, NY","genre":"SSRN Scholarly Paper","source":"papers.ssrn.com","event-place":"Rochester, NY","abstract":"Spanish Abstract: El artículo desarrolla la noción y características de la sanción penal canónica en el ámbito de la América hispana durante la Edad Moderna. Se estudian los principios generales a la luz de los Terceros Concilios de Lima y México, la diversa tipología y se analizan, en particular, las principales penas aplicadas en ese marco espacio-temporal.English Abstract: The article develops the notion and characteristics of the canonical penal sanction in the field of Hispanic America during the Modern Age. The general principles as well as the different typology are studied in light of the Third Councils of Lima and Mexico, and, in particular, the main punishments applied in that space-time framework are analyzed.","URL":"https://papers.ssrn.com/abstract=3064804","number":"ID 3064804","author":[{"family":"Terráneo","given":"Sebastián"}],"issued":{"date-parts":[["2017",11,1]]},"accessed":{"date-parts":[["2017",12,5]]}},"locator":"1","label":"page"}],"schema":"https://github.com/citation-style-language/schema/raw/master/csl-citation.json"} </w:instrText>
      </w:r>
      <w:r>
        <w:fldChar w:fldCharType="separate"/>
      </w:r>
      <w:r w:rsidRPr="00EB3702">
        <w:rPr>
          <w:rFonts w:cs="Times New Roman"/>
          <w:szCs w:val="24"/>
        </w:rPr>
        <w:t>Sebastián Terráneo, “Penas”, SSRN Scholarly Paper, Diccionario Histórico de Derecho Canónico en Hispanoamérica y Filipinas (Siglos XVI-XVIII) (Rochester, NY: Social Science Research Network, el 1 de noviembre de 2017), 1, https://papers.ssrn.com/abstract=3064804.</w:t>
      </w:r>
      <w:r>
        <w:fldChar w:fldCharType="end"/>
      </w:r>
      <w:r>
        <w:t xml:space="preserve"> Feijoo consideraba, por ejemplo, que un exceso de clemencia “da ocasión a todos los males, que causa el atrevimiento de los delinquentes, multiplicándose estos á excessivo número por falta de escarmiento” </w:t>
      </w:r>
      <w:r w:rsidRPr="00FF25DE">
        <w:t>Benito Jerónimo Feijoo y Montenegro, </w:t>
      </w:r>
      <w:r w:rsidRPr="00FF25DE">
        <w:rPr>
          <w:i/>
          <w:iCs/>
        </w:rPr>
        <w:t>Theatro criti</w:t>
      </w:r>
      <w:r>
        <w:rPr>
          <w:i/>
          <w:iCs/>
        </w:rPr>
        <w:t>co universal</w:t>
      </w:r>
      <w:r w:rsidRPr="00FF25DE">
        <w:t>, Tomo VI (Madrid: por Blas Roman, impresor de la Real Academia de Dere</w:t>
      </w:r>
      <w:r>
        <w:t xml:space="preserve">cho Español y Público, 1781), Disc. </w:t>
      </w:r>
      <w:r w:rsidRPr="000560AE">
        <w:t>I, n. 23.</w:t>
      </w:r>
    </w:p>
  </w:footnote>
  <w:footnote w:id="67">
    <w:p w14:paraId="5C1B780F" w14:textId="26E3BDBC" w:rsidR="00AC086E" w:rsidRPr="00185E50" w:rsidRDefault="00AC086E" w:rsidP="008E4E99">
      <w:pPr>
        <w:pStyle w:val="Textonotapie"/>
      </w:pPr>
      <w:r w:rsidRPr="002B6C75">
        <w:rPr>
          <w:rStyle w:val="Refdenotaalpie"/>
        </w:rPr>
        <w:footnoteRef/>
      </w:r>
      <w:r w:rsidRPr="00766A7E">
        <w:t xml:space="preserve"> “</w:t>
      </w:r>
      <w:r>
        <w:t>donde n</w:t>
      </w:r>
      <w:r w:rsidRPr="00766A7E">
        <w:t xml:space="preserve">o convenza el amor, </w:t>
      </w:r>
      <w:r>
        <w:t xml:space="preserve">restrinja </w:t>
      </w:r>
      <w:r w:rsidRPr="00766A7E">
        <w:t xml:space="preserve">el temor” Murillo Velarde, </w:t>
      </w:r>
      <w:r w:rsidRPr="00766A7E">
        <w:rPr>
          <w:i/>
        </w:rPr>
        <w:t>Cursus iuris canonici</w:t>
      </w:r>
      <w:r w:rsidRPr="00766A7E">
        <w:t xml:space="preserve">, L. V, tít. </w:t>
      </w:r>
      <w:r>
        <w:t xml:space="preserve">XXXVII, </w:t>
      </w:r>
      <w:r w:rsidRPr="00F47F3C">
        <w:t>“De pœnis”</w:t>
      </w:r>
      <w:r>
        <w:t>, No. 319.</w:t>
      </w:r>
    </w:p>
  </w:footnote>
  <w:footnote w:id="68">
    <w:p w14:paraId="24D9BA0F" w14:textId="77777777" w:rsidR="00AC086E" w:rsidRPr="009D2BC9" w:rsidRDefault="00AC086E" w:rsidP="008E4E99">
      <w:pPr>
        <w:pStyle w:val="Textonotapie"/>
      </w:pPr>
      <w:r w:rsidRPr="002B6C75">
        <w:rPr>
          <w:rStyle w:val="Refdenotaalpie"/>
        </w:rPr>
        <w:footnoteRef/>
      </w:r>
      <w:r>
        <w:t xml:space="preserve"> Andrés Mendo, </w:t>
      </w:r>
      <w:r>
        <w:rPr>
          <w:i/>
        </w:rPr>
        <w:t>Príncipe perfecto</w:t>
      </w:r>
      <w:r>
        <w:t xml:space="preserve">, doc. XXIV. La “canción real” incluida en las páginas preliminares del </w:t>
      </w:r>
      <w:r>
        <w:rPr>
          <w:i/>
        </w:rPr>
        <w:t>Tratado</w:t>
      </w:r>
      <w:r>
        <w:t xml:space="preserve">… de Juan López de Cuéllar juega además con la relación indulto-insulto: “Tu practica estudiosa, que dá leyes // A Consejos, á Principes, á Reyes. // Pues les muestras aqui, que los Indultos, // Mal usados fomentan los insultos, // Y que con nombre impropio // quieren llamar clemencia, y Regalia // La ofensa de la ley; que el suyo proprio // Es llamarla impiedad, y tiranía.” </w:t>
      </w:r>
    </w:p>
  </w:footnote>
  <w:footnote w:id="69">
    <w:p w14:paraId="4FC3866C" w14:textId="77777777" w:rsidR="00AC086E" w:rsidRPr="00573862" w:rsidRDefault="00AC086E" w:rsidP="008E4E99">
      <w:pPr>
        <w:pStyle w:val="Textonotapie"/>
      </w:pPr>
      <w:r w:rsidRPr="002B6C75">
        <w:rPr>
          <w:rStyle w:val="Refdenotaalpie"/>
        </w:rPr>
        <w:footnoteRef/>
      </w:r>
      <w:r w:rsidRPr="00531380">
        <w:rPr>
          <w:lang w:val="it-IT"/>
        </w:rPr>
        <w:t xml:space="preserve"> Feijoo, </w:t>
      </w:r>
      <w:r w:rsidRPr="00531380">
        <w:rPr>
          <w:i/>
          <w:lang w:val="it-IT"/>
        </w:rPr>
        <w:t>Theatro critico</w:t>
      </w:r>
      <w:r w:rsidRPr="00531380">
        <w:rPr>
          <w:lang w:val="it-IT"/>
        </w:rPr>
        <w:t xml:space="preserve">, Tomo VI, Disc. </w:t>
      </w:r>
      <w:r w:rsidRPr="00573862">
        <w:t>I, n. 23.</w:t>
      </w:r>
    </w:p>
  </w:footnote>
  <w:footnote w:id="70">
    <w:p w14:paraId="1B08C730" w14:textId="3B71E26C" w:rsidR="00AC086E" w:rsidRDefault="00AC086E" w:rsidP="008E4E99">
      <w:pPr>
        <w:pStyle w:val="Textonotapie"/>
      </w:pPr>
      <w:r w:rsidRPr="002B6C75">
        <w:rPr>
          <w:rStyle w:val="Refdenotaalpie"/>
        </w:rPr>
        <w:footnoteRef/>
      </w:r>
      <w:r>
        <w:t xml:space="preserve"> Como toda gracia, el perdón real se caracteriza porque para su otorgamiento dependía únicamente de la voluntad regia. </w:t>
      </w:r>
      <w:r>
        <w:fldChar w:fldCharType="begin"/>
      </w:r>
      <w:r w:rsidR="007C7C94">
        <w:instrText xml:space="preserve"> ADDIN ZOTERO_ITEM CSL_CITATION {"citationID":"0wHfMMhw","properties":{"formattedCitation":"Rodr\\uc0\\u237{}guez Flores, {\\i{}El perd\\uc0\\u243{}n real}, 14.","plainCitation":"Rodríguez Flores, El perdón real, 14.","noteIndex":74},"citationItems":[{"id":2654,"uris":["http://zotero.org/users/163570/items/APZE9XAC"],"uri":["http://zotero.org/users/163570/items/APZE9XAC"],"itemData":{"id":2654,"type":"book","title":"El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0560AE">
        <w:rPr>
          <w:rFonts w:cs="Times New Roman"/>
          <w:szCs w:val="24"/>
        </w:rPr>
        <w:t xml:space="preserve">Rodríguez Flores, </w:t>
      </w:r>
      <w:r w:rsidRPr="000560AE">
        <w:rPr>
          <w:rFonts w:cs="Times New Roman"/>
          <w:i/>
          <w:iCs/>
          <w:szCs w:val="24"/>
        </w:rPr>
        <w:t>El perdón real</w:t>
      </w:r>
      <w:r w:rsidRPr="000560AE">
        <w:rPr>
          <w:rFonts w:cs="Times New Roman"/>
          <w:szCs w:val="24"/>
        </w:rPr>
        <w:t>, 14.</w:t>
      </w:r>
      <w:r>
        <w:fldChar w:fldCharType="end"/>
      </w:r>
    </w:p>
  </w:footnote>
  <w:footnote w:id="71">
    <w:p w14:paraId="3ACE29C5" w14:textId="2E92173B" w:rsidR="00AC086E" w:rsidRPr="00090E5A" w:rsidRDefault="00AC086E" w:rsidP="008E4E99">
      <w:pPr>
        <w:pStyle w:val="Textonotapie"/>
      </w:pPr>
      <w:r w:rsidRPr="002B6C75">
        <w:rPr>
          <w:rStyle w:val="Refdenotaalpie"/>
        </w:rPr>
        <w:footnoteRef/>
      </w:r>
      <w:r w:rsidRPr="00912069">
        <w:t xml:space="preserve"> López</w:t>
      </w:r>
      <w:r>
        <w:t xml:space="preserve"> de Cuéllar</w:t>
      </w:r>
      <w:r w:rsidRPr="00912069">
        <w:t xml:space="preserve">, </w:t>
      </w:r>
      <w:r w:rsidRPr="00912069">
        <w:rPr>
          <w:i/>
        </w:rPr>
        <w:t>Tratado iuridico-politico</w:t>
      </w:r>
      <w:r w:rsidRPr="00912069">
        <w:t xml:space="preserve">, n. 31. </w:t>
      </w:r>
      <w:r w:rsidRPr="00403FAA">
        <w:t xml:space="preserve">También </w:t>
      </w:r>
      <w:r>
        <w:t xml:space="preserve">lo planteó así el jesuita Nicolas Caussin: “el príncipe no puede dejar de castigar sin condenarse a sí mismo.” </w:t>
      </w:r>
      <w:r w:rsidRPr="000560AE">
        <w:rPr>
          <w:i/>
        </w:rPr>
        <w:t>La corte santa</w:t>
      </w:r>
      <w:r w:rsidRPr="000560AE">
        <w:t xml:space="preserve">, tomo II, tratado I, prólogo, p. 9. </w:t>
      </w:r>
      <w:r w:rsidRPr="00090E5A">
        <w:t>Paolo Prodi señala</w:t>
      </w:r>
      <w:r>
        <w:t>ba además:</w:t>
      </w:r>
      <w:r w:rsidRPr="00090E5A">
        <w:t xml:space="preserve">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t xml:space="preserve"> </w:t>
      </w:r>
      <w:r>
        <w:fldChar w:fldCharType="begin"/>
      </w:r>
      <w:r w:rsidR="007C7C94">
        <w:instrText xml:space="preserve"> ADDIN ZOTERO_ITEM CSL_CITATION {"citationID":"fI73Vgkx","properties":{"formattedCitation":"Prodi, {\\i{}Una historia de la justicia}, 42.","plainCitation":"Prodi, Una historia de la justicia, 42.","noteIndex":75},"citationItems":[{"id":3390,"uris":["http://zotero.org/users/163570/items/C54QSDGR"],"uri":["http://zotero.org/users/163570/items/C54QSDGR"],"itemData":{"id":3390,"type":"book","title":"Una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007C7C94" w:rsidRPr="007C7C94">
        <w:rPr>
          <w:rFonts w:cs="Times New Roman"/>
          <w:szCs w:val="24"/>
        </w:rPr>
        <w:t xml:space="preserve">Prodi, </w:t>
      </w:r>
      <w:r w:rsidR="007C7C94" w:rsidRPr="007C7C94">
        <w:rPr>
          <w:rFonts w:cs="Times New Roman"/>
          <w:i/>
          <w:iCs/>
          <w:szCs w:val="24"/>
        </w:rPr>
        <w:t>Una historia de la justicia</w:t>
      </w:r>
      <w:r w:rsidR="007C7C94" w:rsidRPr="007C7C94">
        <w:rPr>
          <w:rFonts w:cs="Times New Roman"/>
          <w:szCs w:val="24"/>
        </w:rPr>
        <w:t>, 42.</w:t>
      </w:r>
      <w:r>
        <w:fldChar w:fldCharType="end"/>
      </w:r>
    </w:p>
  </w:footnote>
  <w:footnote w:id="72">
    <w:p w14:paraId="1225404A" w14:textId="77777777" w:rsidR="00AC086E" w:rsidRPr="00273553" w:rsidRDefault="00AC086E" w:rsidP="008E4E99">
      <w:pPr>
        <w:pStyle w:val="Textonotapie"/>
      </w:pPr>
      <w:r w:rsidRPr="002B6C75">
        <w:rPr>
          <w:rStyle w:val="Refdenotaalpie"/>
        </w:rPr>
        <w:footnoteRef/>
      </w:r>
      <w:r w:rsidRPr="00273553">
        <w:t xml:space="preserve"> Andrés Mendo, </w:t>
      </w:r>
      <w:r w:rsidRPr="00273553">
        <w:rPr>
          <w:i/>
        </w:rPr>
        <w:t>Príncipe perfecto</w:t>
      </w:r>
      <w:r w:rsidRPr="00273553">
        <w:t xml:space="preserve">, doc. </w:t>
      </w:r>
      <w:r>
        <w:t>XXIV, “Limpie de delinquentes el Reyno, sin que tengan asylo los culpados”, p. 125.</w:t>
      </w:r>
    </w:p>
  </w:footnote>
  <w:footnote w:id="73">
    <w:p w14:paraId="3A200291" w14:textId="77777777" w:rsidR="00AC086E" w:rsidRPr="00B3069B" w:rsidRDefault="00AC086E" w:rsidP="008E4E99">
      <w:pPr>
        <w:pStyle w:val="Textonotapie"/>
      </w:pPr>
      <w:r w:rsidRPr="002B6C75">
        <w:rPr>
          <w:rStyle w:val="Refdenotaalpie"/>
        </w:rPr>
        <w:footnoteRef/>
      </w:r>
      <w:r w:rsidRPr="00B3069B">
        <w:t xml:space="preserve"> </w:t>
      </w:r>
      <w:r>
        <w:t xml:space="preserve">Andrés Mendo, </w:t>
      </w:r>
      <w:r>
        <w:rPr>
          <w:i/>
        </w:rPr>
        <w:t>Príncipe perfecto</w:t>
      </w:r>
      <w:r>
        <w:t>, doc. XXIV, p. 123.</w:t>
      </w:r>
    </w:p>
  </w:footnote>
  <w:footnote w:id="74">
    <w:p w14:paraId="790F4A8A" w14:textId="0FF357B8" w:rsidR="00AC086E" w:rsidRPr="000560AE" w:rsidRDefault="00AC086E" w:rsidP="008E4E99">
      <w:pPr>
        <w:pStyle w:val="Textonotapie"/>
      </w:pPr>
      <w:r w:rsidRPr="002B6C75">
        <w:rPr>
          <w:rStyle w:val="Refdenotaalpie"/>
        </w:rPr>
        <w:footnoteRef/>
      </w:r>
      <w:r w:rsidRPr="00620CEA">
        <w:t xml:space="preserve"> </w:t>
      </w:r>
      <w:r w:rsidRPr="00493605">
        <w:t xml:space="preserve">“Nam severitas inflexibilis est circa inflictionem poenarum quando hoc recta ratio requirit, clementia autem diminutiva est poenarum etiam secundum rationem rectam, quando scilicet oportet, et in quibus oportet. </w:t>
      </w:r>
      <w:r w:rsidRPr="00493605">
        <w:rPr>
          <w:lang w:val="it-IT"/>
        </w:rPr>
        <w:t>Et ideo non sunt opposita, quia non sunt circa idem.”</w:t>
      </w:r>
      <w:r>
        <w:rPr>
          <w:lang w:val="it-IT"/>
        </w:rPr>
        <w:t xml:space="preserve"> </w:t>
      </w:r>
      <w:r w:rsidRPr="00F01192">
        <w:t xml:space="preserve">(En efecto, la severidad se muestra inflexible en la imposición de castigos cuando lo exige la recta razón, mientras que la clemencia tiende a aminorar los castigos, también según la recta razón, es decir, cuando y como conviene. Por eso no se oponen, porque no tienen el mismo objeto.) </w:t>
      </w:r>
      <w:r>
        <w:t>“</w:t>
      </w:r>
      <w:r w:rsidRPr="00DA246C">
        <w:t>Summa Theologiae</w:t>
      </w:r>
      <w:r w:rsidRPr="00F01192">
        <w:t>,</w:t>
      </w:r>
      <w:r>
        <w:t>”</w:t>
      </w:r>
      <w:r w:rsidRPr="00F01192">
        <w:t xml:space="preserve"> IIª-IIae, q. 157 a. 2 ad 1. </w:t>
      </w:r>
      <w:r w:rsidRPr="000560AE">
        <w:t xml:space="preserve">También Feijoo, </w:t>
      </w:r>
      <w:r w:rsidRPr="000560AE">
        <w:rPr>
          <w:i/>
        </w:rPr>
        <w:t>Theatro critico</w:t>
      </w:r>
      <w:r w:rsidRPr="000560AE">
        <w:t>, Tomo VI, I, "Paradoxas politicas y morales", paradoxa tercera, n. 21.</w:t>
      </w:r>
    </w:p>
  </w:footnote>
  <w:footnote w:id="75">
    <w:p w14:paraId="5AAB967A" w14:textId="77777777" w:rsidR="00AC086E" w:rsidRPr="008E4E99" w:rsidRDefault="00AC086E" w:rsidP="008E4E99">
      <w:pPr>
        <w:pStyle w:val="Textonotapie"/>
      </w:pPr>
      <w:r w:rsidRPr="002B6C75">
        <w:rPr>
          <w:rStyle w:val="Refdenotaalpie"/>
        </w:rPr>
        <w:footnoteRef/>
      </w:r>
      <w:r w:rsidRPr="008E4E99">
        <w:t xml:space="preserve"> Feijoo, </w:t>
      </w:r>
      <w:r w:rsidRPr="008E4E99">
        <w:rPr>
          <w:i/>
        </w:rPr>
        <w:t>Theatro critico</w:t>
      </w:r>
      <w:r w:rsidRPr="008E4E99">
        <w:t>, Tomo VI, I, "Paradoxas politicas y morales", paradoxa tercera, n. 31</w:t>
      </w:r>
    </w:p>
  </w:footnote>
  <w:footnote w:id="76">
    <w:p w14:paraId="11F3A4B0" w14:textId="13956F4E" w:rsidR="00AC086E" w:rsidRDefault="00AC086E">
      <w:pPr>
        <w:pStyle w:val="Textonotapie"/>
      </w:pPr>
      <w:r>
        <w:rPr>
          <w:rStyle w:val="Refdenotaalpie"/>
        </w:rPr>
        <w:footnoteRef/>
      </w:r>
      <w:r>
        <w:t xml:space="preserve"> </w:t>
      </w:r>
      <w:r>
        <w:fldChar w:fldCharType="begin"/>
      </w:r>
      <w:r w:rsidR="007C7C94">
        <w:instrText xml:space="preserve"> ADDIN ZOTERO_ITEM CSL_CITATION {"citationID":"dduflYZh","properties":{"formattedCitation":"Bartolom\\uc0\\u233{} Clavero, \\uc0\\u8220{}Justicia y gobierno, econom\\uc0\\u237{}a y gracia\\uc0\\u8221{}, en {\\i{}Real Chanciller\\uc0\\u237{}a de Granada: V Centenario 1505-2005} (Granada: Consejer\\uc0\\u237{}a de Cultura, 2006), 121\\uc0\\u8211{}48, http://www.bartolomeclavero.net/wp-content/uploads/2014/07/Justicia-Gobierno-Econom%C3%ADa-Gracia.pdf.","plainCitation":"Bartolomé Clavero, “Justicia y gobierno, economía y gracia”, en Real Chancillería de Granada: V Centenario 1505-2005 (Granada: Consejería de Cultura, 2006), 121–48, http://www.bartolomeclavero.net/wp-content/uploads/2014/07/Justicia-Gobierno-Econom%C3%ADa-Gracia.pdf.","noteIndex":80},"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schema":"https://github.com/citation-style-language/schema/raw/master/csl-citation.json"} </w:instrText>
      </w:r>
      <w:r>
        <w:fldChar w:fldCharType="separate"/>
      </w:r>
      <w:r w:rsidRPr="0065409B">
        <w:rPr>
          <w:rFonts w:cs="Times New Roman"/>
          <w:szCs w:val="24"/>
        </w:rPr>
        <w:t xml:space="preserve">Bartolomé Clavero, “Justicia y gobierno, economía y gracia”, en </w:t>
      </w:r>
      <w:r w:rsidRPr="0065409B">
        <w:rPr>
          <w:rFonts w:cs="Times New Roman"/>
          <w:i/>
          <w:iCs/>
          <w:szCs w:val="24"/>
        </w:rPr>
        <w:t>Real Chancillería de Granada: V Centenario 1505-2005</w:t>
      </w:r>
      <w:r w:rsidRPr="0065409B">
        <w:rPr>
          <w:rFonts w:cs="Times New Roman"/>
          <w:szCs w:val="24"/>
        </w:rPr>
        <w:t xml:space="preserve"> (Granada: Consejería de Cultura, 2006), 121–48, http://www.bartolomeclavero.net/wp-content/uploads/2014/07/Justicia-Gobierno-Econom%C3%ADa-Gracia.pdf.</w:t>
      </w:r>
      <w:r>
        <w:fldChar w:fldCharType="end"/>
      </w:r>
      <w:r>
        <w:t xml:space="preserve"> </w:t>
      </w:r>
    </w:p>
  </w:footnote>
  <w:footnote w:id="77">
    <w:p w14:paraId="5EA2974A" w14:textId="202D8092" w:rsidR="00AC086E" w:rsidRDefault="00AC086E">
      <w:pPr>
        <w:pStyle w:val="Textonotapie"/>
      </w:pPr>
      <w:r>
        <w:rPr>
          <w:rStyle w:val="Refdenotaalpie"/>
        </w:rPr>
        <w:footnoteRef/>
      </w:r>
      <w:r>
        <w:t xml:space="preserve"> </w:t>
      </w:r>
      <w:r>
        <w:fldChar w:fldCharType="begin"/>
      </w:r>
      <w:r w:rsidR="007C7C94">
        <w:instrText xml:space="preserve"> ADDIN ZOTERO_ITEM CSL_CITATION {"citationID":"pa8ElGbk","properties":{"formattedCitation":"Carlos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67.","plainCitation":"Carlos Garriga Acosta, “Orden jurídico y poder político en el antiguo régimen”, en Cádiz, 1812. La Constitución jurisdiccional, de Carlos Garriga Acosta y Marta Lorente Sariñena, Cuadernos y debates 174 (Madrid: Centro de Estudios Políticos y Constitucionales, 2007), 67.","noteIndex":81},"citationItems":[{"id":8230,"uris":["http://zotero.org/users/163570/items/TCD7A8EM"],"uri":["http://zotero.org/users/163570/items/TCD7A8EM"],"itemData":{"id":8230,"type":"chapter","title":"Orden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302F7B">
        <w:rPr>
          <w:rFonts w:cs="Times New Roman"/>
          <w:szCs w:val="24"/>
        </w:rPr>
        <w:t xml:space="preserve">Carlos Garriga Acosta, “Orden jurídico y poder político en el antiguo régimen”, en </w:t>
      </w:r>
      <w:r w:rsidRPr="00302F7B">
        <w:rPr>
          <w:rFonts w:cs="Times New Roman"/>
          <w:i/>
          <w:iCs/>
          <w:szCs w:val="24"/>
        </w:rPr>
        <w:t>Cádiz, 1812. La Constitución jurisdiccional</w:t>
      </w:r>
      <w:r w:rsidRPr="00302F7B">
        <w:rPr>
          <w:rFonts w:cs="Times New Roman"/>
          <w:szCs w:val="24"/>
        </w:rPr>
        <w:t>, de Carlos Garriga Acosta y Marta Lorente Sariñena, Cuadernos y debates 174 (Madrid: Centro de Estudios Políticos y Constitucionales, 2007), 67.</w:t>
      </w:r>
      <w:r>
        <w:fldChar w:fldCharType="end"/>
      </w:r>
    </w:p>
  </w:footnote>
  <w:footnote w:id="78">
    <w:p w14:paraId="28F2A1EE" w14:textId="419C4726" w:rsidR="00AC086E" w:rsidRDefault="00AC086E">
      <w:pPr>
        <w:pStyle w:val="Textonotapie"/>
      </w:pPr>
      <w:r>
        <w:rPr>
          <w:rStyle w:val="Refdenotaalpie"/>
        </w:rPr>
        <w:footnoteRef/>
      </w:r>
      <w:r>
        <w:t xml:space="preserve"> El diccionario de autoridades definía una de las acepciones de gracia de la siguiente manera: “</w:t>
      </w:r>
      <w:r w:rsidRPr="004D50C8">
        <w:t>Tomada theologica y genericamente es dón de Dios sobre toda la actividad y exigencia de nuestra naturaleza, sin méritos ni proporción de parte nuestra, y siempre ordenado al logro de la bienaventuranza.</w:t>
      </w:r>
      <w:r>
        <w:t xml:space="preserve">” </w:t>
      </w:r>
    </w:p>
  </w:footnote>
  <w:footnote w:id="79">
    <w:p w14:paraId="765A4B8A" w14:textId="774D3E61" w:rsidR="00AC086E" w:rsidRDefault="00AC086E">
      <w:pPr>
        <w:pStyle w:val="Textonotapie"/>
      </w:pPr>
      <w:r>
        <w:rPr>
          <w:rStyle w:val="Refdenotaalpie"/>
        </w:rPr>
        <w:footnoteRef/>
      </w:r>
      <w:r>
        <w:t xml:space="preserve"> </w:t>
      </w:r>
      <w:r>
        <w:fldChar w:fldCharType="begin"/>
      </w:r>
      <w:r w:rsidR="007C7C94">
        <w:instrText xml:space="preserve"> ADDIN ZOTERO_ITEM CSL_CITATION {"citationID":"ie9CeY7u","properties":{"formattedCitation":"Alejandro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45.","plainCitation":"Alejandro Agüero Nazar, “Las categorías básicas de la cultura jurisdiccional”, en De justicia de jueces a justicia de leyes: hacia la España de 1870, ed. Marta Lorente Sariñena, Cuadernos de derecho judicial, VI–2006 (Madrid: Consejo General del Poder Judicial, 2007), 45.","noteIndex":83},"citationItems":[{"id":5999,"uris":["http://zotero.org/users/163570/items/HQHICPD6"],"uri":["http://zotero.org/users/163570/items/HQHICPD6"],"itemData":{"id":5999,"type":"chapter","title":"Las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Nazar","given":"Alejandro"}],"issued":{"date-parts":[["2007"]]}},"locator":"45","label":"page"}],"schema":"https://github.com/citation-style-language/schema/raw/master/csl-citation.json"} </w:instrText>
      </w:r>
      <w:r>
        <w:fldChar w:fldCharType="separate"/>
      </w:r>
      <w:r w:rsidRPr="00B94F93">
        <w:rPr>
          <w:rFonts w:cs="Times New Roman"/>
          <w:szCs w:val="24"/>
        </w:rPr>
        <w:t xml:space="preserve">Alejandro Agüero Nazar, “Las categorías básicas de la cultura jurisdiccional”, en </w:t>
      </w:r>
      <w:r w:rsidRPr="00B94F93">
        <w:rPr>
          <w:rFonts w:cs="Times New Roman"/>
          <w:i/>
          <w:iCs/>
          <w:szCs w:val="24"/>
        </w:rPr>
        <w:t>De justicia de jueces a justicia de leyes: hacia la España de 1870</w:t>
      </w:r>
      <w:r w:rsidRPr="00B94F93">
        <w:rPr>
          <w:rFonts w:cs="Times New Roman"/>
          <w:szCs w:val="24"/>
        </w:rPr>
        <w:t>, ed. Marta Lorente Sariñena, Cuadernos de derecho judicial, VI–2006 (Madrid: Consejo General del Poder Judicial, 2007), 45.</w:t>
      </w:r>
      <w:r>
        <w:fldChar w:fldCharType="end"/>
      </w:r>
    </w:p>
  </w:footnote>
  <w:footnote w:id="80">
    <w:p w14:paraId="79021727" w14:textId="0D3F2378" w:rsidR="00AC086E" w:rsidRPr="00BA76C0" w:rsidRDefault="00AC086E">
      <w:pPr>
        <w:pStyle w:val="Textonotapie"/>
      </w:pPr>
      <w:r>
        <w:rPr>
          <w:rStyle w:val="Refdenotaalpie"/>
        </w:rPr>
        <w:footnoteRef/>
      </w:r>
      <w:r>
        <w:t xml:space="preserve"> Al respecto es ilustrativo el capítulo VIII del libro II del </w:t>
      </w:r>
      <w:r>
        <w:rPr>
          <w:i/>
        </w:rPr>
        <w:t>Tratado de la religión y las virtudes</w:t>
      </w:r>
      <w:r>
        <w:t xml:space="preserve"> de Ribadeneyra, en el cual explica que las mercedes debían ser producto del agradecimiento a quien sus virtudes lo hacían merecedor de la donación y no por la petición hecha por el servidor. Criticaba además las mercedes concedidas por intermediarios, incluidos los perdones: “otros muchos ay que por pura importunidad y negociacion alcançan lo que no merecieron: ò mereciendo castigo, son galardonados, y gozan del fruto de los servicios agenos.” Finalmente señala que los “agradecimientos” por las mercedes debían llegar al rey y no a sus ministros y privados; porque “el Principe es señor y distribuydor de ellas, y que las reparte a su voluntad, y que no ha de valer cohecho, ni dadivas que se den à sus criados.” </w:t>
      </w:r>
    </w:p>
  </w:footnote>
  <w:footnote w:id="81">
    <w:p w14:paraId="0B7D8553" w14:textId="63D20E3E" w:rsidR="00AC086E" w:rsidRDefault="00AC086E">
      <w:pPr>
        <w:pStyle w:val="Textonotapie"/>
      </w:pPr>
      <w:r>
        <w:rPr>
          <w:rStyle w:val="Refdenotaalpie"/>
        </w:rPr>
        <w:footnoteRef/>
      </w:r>
      <w:r>
        <w:t xml:space="preserve"> </w:t>
      </w:r>
      <w:r>
        <w:fldChar w:fldCharType="begin"/>
      </w:r>
      <w:r w:rsidR="007C7C94">
        <w:instrText xml:space="preserve"> ADDIN ZOTERO_ITEM CSL_CITATION {"citationID":"92bTQFWd","properties":{"formattedCitation":"Clavero, \\uc0\\u8220{}Justicia y gobierno, econom\\uc0\\u237{}a y gracia\\uc0\\u8221{}; {\\i{}Antidora: antropolog\\uc0\\u237{}a cat\\uc0\\u243{}lica de la econom\\uc0\\u237{}a moderna}, Per la storia del pensiero giuridico moderno 39 (Mil\\uc0\\u225{}n: Giuffr\\uc0\\u232{}, 1991); Ant\\uc0\\u243{}nio Manuel Hespanha, \\uc0\\u8220{}La econom\\uc0\\u237{}a de la gracia\\uc0\\u8221{}, en {\\i{}La gracia del derecho: econom\\uc0\\u237{}a de la cultura en la edad moderna}, trad. Ana Ca\\uc0\\u241{}ellas Haurie (Madrid: Centro de estudios constitucionales, 1993), 151\\uc0\\u8211{}76.","plainCitation":"Clavero, “Justicia y gobierno, economía y gracia”; Antidora: antropología católica de la economía moderna, Per la storia del pensiero giuridico moderno 39 (Milán: Giuffrè, 1991); António Manuel Hespanha, “La economía de la gracia”, en La gracia del derecho: economía de la cultura en la edad moderna, trad. Ana Cañellas Haurie (Madrid: Centro de estudios constitucionales, 1993), 151–76.","noteIndex":85},"citationItems":[{"id":8246,"uris":["http://zotero.org/users/163570/items/YR6E2SPQ"],"uri":["http://zotero.org/users/163570/items/YR6E2SPQ"],"itemData":{"id":8246,"type":"paper-conference","title":"Justicia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6146,"uris":["http://zotero.org/users/163570/items/NCS78AC2"],"uri":["http://zotero.org/users/163570/items/NCS78AC2"],"itemData":{"id":6146,"type":"book","title":"Antidora: antropología católica de la economía moderna","collection-title":"Per la storia del pensiero giuridico moderno","collection-number":"39","publisher":"Giuffrè","publisher-place":"Milán","number-of-pages":"259","source":"Gemeinsamer Bibliotheksverbund ISBN","event-place":"Milán","ISBN":"978-88-14-02861-8","note":"OCLC: 246412656","shortTitle":"Antidora","author":[{"family":"Clavero","given":"Bartolomé"}],"issued":{"date-parts":[["1991"]]}},"label":"page","suppress-author":true},{"id":5898,"uris":["http://zotero.org/users/163570/items/W3JTGGNP"],"uri":["http://zotero.org/users/163570/items/W3JTGGNP"],"itemData":{"id":5898,"type":"chapter","title":"La economía de la gracia","container-title":"La gracia del derecho: economía de la cultura en la edad moderna","publisher":"Centro de estudios constitucionales","publisher-place":"Madrid","page":"151-176","source":"Open WorldCat","event-place":"Madrid","ISBN":"84-259-0949-X","language":"Spanish","author":[{"family":"Hespanha","given":"António Manuel"}],"translator":[{"family":"Cañellas Haurie","given":"Ana"}],"issued":{"date-parts":[["1993"]]}},"label":"page"}],"schema":"https://github.com/citation-style-language/schema/raw/master/csl-citation.json"} </w:instrText>
      </w:r>
      <w:r>
        <w:fldChar w:fldCharType="separate"/>
      </w:r>
      <w:r w:rsidRPr="002D4546">
        <w:rPr>
          <w:rFonts w:cs="Times New Roman"/>
          <w:szCs w:val="24"/>
        </w:rPr>
        <w:t xml:space="preserve">Clavero, “Justicia y gobierno, economía y gracia”; </w:t>
      </w:r>
      <w:r w:rsidRPr="002D4546">
        <w:rPr>
          <w:rFonts w:cs="Times New Roman"/>
          <w:i/>
          <w:iCs/>
          <w:szCs w:val="24"/>
        </w:rPr>
        <w:t>Antidora: antropología católica de la economía moderna</w:t>
      </w:r>
      <w:r w:rsidRPr="002D4546">
        <w:rPr>
          <w:rFonts w:cs="Times New Roman"/>
          <w:szCs w:val="24"/>
        </w:rPr>
        <w:t xml:space="preserve">, Per la storia del pensiero giuridico moderno 39 (Milán: Giuffrè, 1991); António Manuel Hespanha, “La economía de la gracia”, en </w:t>
      </w:r>
      <w:r w:rsidRPr="002D4546">
        <w:rPr>
          <w:rFonts w:cs="Times New Roman"/>
          <w:i/>
          <w:iCs/>
          <w:szCs w:val="24"/>
        </w:rPr>
        <w:t>La gracia del derecho: economía de la cultura en la edad moderna</w:t>
      </w:r>
      <w:r w:rsidRPr="002D4546">
        <w:rPr>
          <w:rFonts w:cs="Times New Roman"/>
          <w:szCs w:val="24"/>
        </w:rPr>
        <w:t>, trad. Ana Cañellas Haurie (Madrid: Centro de estudios constitucionales, 1993), 151–76.</w:t>
      </w:r>
      <w:r>
        <w:fldChar w:fldCharType="end"/>
      </w:r>
    </w:p>
  </w:footnote>
  <w:footnote w:id="82">
    <w:p w14:paraId="2CBAA388" w14:textId="0EFDB417" w:rsidR="00AC086E" w:rsidRDefault="00AC086E">
      <w:pPr>
        <w:pStyle w:val="Textonotapie"/>
      </w:pPr>
      <w:r>
        <w:rPr>
          <w:rStyle w:val="Refdenotaalpie"/>
        </w:rPr>
        <w:footnoteRef/>
      </w:r>
      <w:r>
        <w:t xml:space="preserve"> Giovanni Botero decía incluso que el exceso de mercedes hacía del rey tirano al conducirlo al tributo abusivo o a la rapiña para solventar su exceso de liberalidad. </w:t>
      </w:r>
      <w:r w:rsidRPr="0024260A">
        <w:rPr>
          <w:highlight w:val="yellow"/>
        </w:rPr>
        <w:t xml:space="preserve">Giovanni Botero, </w:t>
      </w:r>
      <w:r w:rsidRPr="0024260A">
        <w:rPr>
          <w:i/>
          <w:highlight w:val="yellow"/>
        </w:rPr>
        <w:t>Diez libros de la razón de estado. Con tres libros de las causas de la grandeza y magnificencia de las ciudades de Iuan Botero</w:t>
      </w:r>
      <w:r w:rsidRPr="0024260A">
        <w:rPr>
          <w:highlight w:val="yellow"/>
        </w:rPr>
        <w:t>, tr. Antonio de Herrera (Madrid: Luis Sánchez, 1593)</w:t>
      </w:r>
      <w:r>
        <w:t>, 31.</w:t>
      </w:r>
    </w:p>
  </w:footnote>
  <w:footnote w:id="83">
    <w:p w14:paraId="4AB2DC3B" w14:textId="51D45B8A" w:rsidR="00AC086E" w:rsidRDefault="00AC086E">
      <w:pPr>
        <w:pStyle w:val="Textonotapie"/>
      </w:pPr>
      <w:r>
        <w:rPr>
          <w:rStyle w:val="Refdenotaalpie"/>
        </w:rPr>
        <w:footnoteRef/>
      </w:r>
      <w:r>
        <w:t xml:space="preserve"> </w:t>
      </w:r>
      <w:r>
        <w:fldChar w:fldCharType="begin"/>
      </w:r>
      <w:r w:rsidR="007C7C94">
        <w:instrText xml:space="preserve"> ADDIN ZOTERO_ITEM CSL_CITATION {"citationID":"dtRoeggi","properties":{"formattedCitation":"Francisco And\\uc0\\u250{}jar Castillo, {\\i{}Necesidad y venalidad: Espa\\uc0\\u241{}a e Indias 1704-1711}, Colecci\\uc0\\u243{}n Historia de la sociedad pol\\uc0\\u237{}tica (Madrid: Centro de Estudios Pol\\uc0\\u237{}ticos y Constitucionales, 2008), 315\\uc0\\u8211{}20.","plainCitation":"Francisco Andújar Castillo, Necesidad y venalidad: España e Indias 1704-1711, Colección Historia de la sociedad política (Madrid: Centro de Estudios Políticos y Constitucionales, 2008), 315–20.","noteIndex":87},"citationItems":[{"id":8248,"uris":["http://zotero.org/users/163570/items/YEN73JLK"],"uri":["http://zotero.org/users/163570/items/YEN73JLK"],"itemData":{"id":8248,"type":"book","title":"Necesidad y venalidad: España e Indias 1704-1711","collection-title":"Colección Historia de la sociedad política","publisher":"Centro de Estudios Políticos y Constitucionales","publisher-place":"Madrid","number-of-pages":"351","source":"Library of Congress ISBN","event-place":"Madrid","ISBN":"978-84-259-1402-7","call-number":"JN8386 .A74 2008","shortTitle":"Necesidad y venalidad","author":[{"family":"Andújar Castillo","given":"Francisco"}],"issued":{"date-parts":[["2008"]]}},"locator":"315-320","label":"page"}],"schema":"https://github.com/citation-style-language/schema/raw/master/csl-citation.json"} </w:instrText>
      </w:r>
      <w:r>
        <w:fldChar w:fldCharType="separate"/>
      </w:r>
      <w:r w:rsidRPr="004B53F0">
        <w:rPr>
          <w:rFonts w:cs="Times New Roman"/>
          <w:szCs w:val="24"/>
        </w:rPr>
        <w:t xml:space="preserve">Francisco Andújar Castillo, </w:t>
      </w:r>
      <w:r w:rsidRPr="004B53F0">
        <w:rPr>
          <w:rFonts w:cs="Times New Roman"/>
          <w:i/>
          <w:iCs/>
          <w:szCs w:val="24"/>
        </w:rPr>
        <w:t>Necesidad y venalidad: España e Indias 1704-1711</w:t>
      </w:r>
      <w:r w:rsidRPr="004B53F0">
        <w:rPr>
          <w:rFonts w:cs="Times New Roman"/>
          <w:szCs w:val="24"/>
        </w:rPr>
        <w:t>, Colección Historia de la sociedad política (Madrid: Centro de Estudios Políticos y Constitucionales, 2008), 315–20.</w:t>
      </w:r>
      <w:r>
        <w:fldChar w:fldCharType="end"/>
      </w:r>
    </w:p>
  </w:footnote>
  <w:footnote w:id="84">
    <w:p w14:paraId="0B2564F6" w14:textId="0CC97D56" w:rsidR="00AC086E" w:rsidRDefault="00AC086E">
      <w:pPr>
        <w:pStyle w:val="Textonotapie"/>
      </w:pPr>
      <w:r>
        <w:rPr>
          <w:rStyle w:val="Refdenotaalpie"/>
        </w:rPr>
        <w:footnoteRef/>
      </w:r>
      <w:r>
        <w:t xml:space="preserve"> Al respecto resalto el trabajo compilatorio de </w:t>
      </w:r>
      <w:r>
        <w:fldChar w:fldCharType="begin"/>
      </w:r>
      <w:r w:rsidR="007C7C94">
        <w:instrText xml:space="preserve"> ADDIN ZOTERO_ITEM CSL_CITATION {"citationID":"8DGUF8us","properties":{"formattedCitation":"Pilar Ponce Leiva y Francisco And\\uc0\\u250{}jar Castillo, eds., {\\i{}M\\uc0\\u233{}rito, venalidad y corrupci\\uc0\\u243{}n en Espa\\uc0\\u241{}a y Am\\uc0\\u233{}rica, siglos XVII y XVIII}, Colecci\\uc0\\u243{}n Historia de Espa\\uc0\\u241{}a y su proyecci\\uc0\\u243{}n internacional 10 (Valencia: Albatros, 2016).","plainCitation":"Pilar Ponce Leiva y Francisco Andújar Castillo, eds., Mérito, venalidad y corrupción en España y América, siglos XVII y XVIII, Colección Historia de España y su proyección internacional 10 (Valencia: Albatros, 2016).","noteIndex":88},"citationItems":[{"id":8250,"uris":["http://zotero.org/users/163570/items/TIWVX7J9"],"uri":["http://zotero.org/users/163570/items/TIWVX7J9"],"itemData":{"id":8250,"type":"book","title":"Mérito, venalidad y corrupción en España y América, siglos XVII y XVIII","collection-title":"Colección Historia de España y su proyección internacional","collection-number":"10","publisher":"Albatros","publisher-place":"Valencia","number-of-pages":"362","source":"Library of Congress ISBN","event-place":"Valencia","ISBN":"978-84-7274-326-7","call-number":"JN8386 .M47 2016","note":"OCLC: ocn962187992","editor":[{"family":"Ponce Leiva","given":"Pilar"},{"family":"Andújar Castillo","given":"Francisco"}],"issued":{"date-parts":[["2016"]]}}}],"schema":"https://github.com/citation-style-language/schema/raw/master/csl-citation.json"} </w:instrText>
      </w:r>
      <w:r>
        <w:fldChar w:fldCharType="separate"/>
      </w:r>
      <w:r w:rsidRPr="004B53F0">
        <w:rPr>
          <w:rFonts w:cs="Times New Roman"/>
          <w:szCs w:val="24"/>
        </w:rPr>
        <w:t xml:space="preserve">Pilar Ponce Leiva y Francisco Andújar Castillo, eds., </w:t>
      </w:r>
      <w:r w:rsidRPr="004B53F0">
        <w:rPr>
          <w:rFonts w:cs="Times New Roman"/>
          <w:i/>
          <w:iCs/>
          <w:szCs w:val="24"/>
        </w:rPr>
        <w:t>Mérito, venalidad y corrupción en España y América, siglos XVII y XVIII</w:t>
      </w:r>
      <w:r w:rsidRPr="004B53F0">
        <w:rPr>
          <w:rFonts w:cs="Times New Roman"/>
          <w:szCs w:val="24"/>
        </w:rPr>
        <w:t>, Colección Historia de España y su proyección internacional 10 (Valencia: Albatros, 2016).</w:t>
      </w:r>
      <w:r>
        <w:fldChar w:fldCharType="end"/>
      </w:r>
    </w:p>
  </w:footnote>
  <w:footnote w:id="85">
    <w:p w14:paraId="7DD94F36" w14:textId="2830DDD9" w:rsidR="00AC086E" w:rsidRPr="008F36FD" w:rsidRDefault="00AC086E">
      <w:pPr>
        <w:pStyle w:val="Textonotapie"/>
        <w:rPr>
          <w:lang w:val="fr-FR"/>
        </w:rPr>
      </w:pPr>
      <w:r>
        <w:rPr>
          <w:rStyle w:val="Refdenotaalpie"/>
        </w:rPr>
        <w:footnoteRef/>
      </w:r>
      <w:r w:rsidRPr="008F36FD">
        <w:rPr>
          <w:lang w:val="fr-FR"/>
        </w:rPr>
        <w:t xml:space="preserve"> </w:t>
      </w:r>
      <w:r>
        <w:fldChar w:fldCharType="begin"/>
      </w:r>
      <w:r w:rsidR="007C7C94">
        <w:rPr>
          <w:lang w:val="fr-FR"/>
        </w:rPr>
        <w:instrText xml:space="preserve"> ADDIN ZOTERO_ITEM CSL_CITATION {"citationID":"BvQHV7RC","properties":{"formattedCitation":"Rudy Chaulet, {\\i{}Crimes, rixes et bruits d\\uc0\\u8217{}\\uc0\\u233{}p\\uc0\\u233{}es: homicides pardonn\\uc0\\u233{}s en Castille au si\\uc0\\u232{}cle d\\uc0\\u8217{}or}, Espagne m\\uc0\\u233{}di\\uc0\\u233{}vale et moderne 11 (Montpellier: Presses Universitaires de la M\\uc0\\u233{}diterran\\uc0\\u233{}e, 2007), 375\\uc0\\u8211{}76; Rodr\\uc0\\u237{}guez Flores, {\\i{}El perd\\uc0\\u243{}n real}, 66\\uc0\\u8211{}69.","plainCitation":"Rudy Chaulet, Crimes, rixes et bruits d’épées: homicides pardonnés en Castille au siècle d’or, Espagne médiévale et moderne 11 (Montpellier: Presses Universitaires de la Méditerranée, 2007), 375–76; Rodríguez Flores, El perdón real, 66–69.","noteIndex":89},"citationItems":[{"id":8002,"uris":["http://zotero.org/users/163570/items/GERVJL77"],"uri":["http://zotero.org/users/163570/items/GERVJL77"],"itemData":{"id":8002,"type":"book","title":"Crimes,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3A403C">
        <w:rPr>
          <w:rFonts w:cs="Times New Roman"/>
          <w:szCs w:val="24"/>
          <w:lang w:val="fr-FR"/>
        </w:rPr>
        <w:t xml:space="preserve">Rudy Chaulet, </w:t>
      </w:r>
      <w:r w:rsidRPr="003A403C">
        <w:rPr>
          <w:rFonts w:cs="Times New Roman"/>
          <w:i/>
          <w:iCs/>
          <w:szCs w:val="24"/>
          <w:lang w:val="fr-FR"/>
        </w:rPr>
        <w:t>Crimes, rixes et bruits d’épées: homicides pardonnés en Castille au siècle d’or</w:t>
      </w:r>
      <w:r w:rsidRPr="003A403C">
        <w:rPr>
          <w:rFonts w:cs="Times New Roman"/>
          <w:szCs w:val="24"/>
          <w:lang w:val="fr-FR"/>
        </w:rPr>
        <w:t xml:space="preserve">, Espagne médiévale et moderne 11 (Montpellier: Presses Universitaires de la Méditerranée, 2007), 375–76; Rodríguez Flores, </w:t>
      </w:r>
      <w:r w:rsidRPr="003A403C">
        <w:rPr>
          <w:rFonts w:cs="Times New Roman"/>
          <w:i/>
          <w:iCs/>
          <w:szCs w:val="24"/>
          <w:lang w:val="fr-FR"/>
        </w:rPr>
        <w:t>El perdón real</w:t>
      </w:r>
      <w:r w:rsidRPr="003A403C">
        <w:rPr>
          <w:rFonts w:cs="Times New Roman"/>
          <w:szCs w:val="24"/>
          <w:lang w:val="fr-FR"/>
        </w:rPr>
        <w:t>, 66–69.</w:t>
      </w:r>
      <w:r>
        <w:fldChar w:fldCharType="end"/>
      </w:r>
    </w:p>
  </w:footnote>
  <w:footnote w:id="86">
    <w:p w14:paraId="5285D108" w14:textId="3571AFDB" w:rsidR="00AC086E" w:rsidRDefault="00AC086E">
      <w:pPr>
        <w:pStyle w:val="Textonotapie"/>
      </w:pPr>
      <w:r>
        <w:rPr>
          <w:rStyle w:val="Refdenotaalpie"/>
        </w:rPr>
        <w:footnoteRef/>
      </w:r>
      <w:r>
        <w:t xml:space="preserve"> </w:t>
      </w:r>
      <w:r>
        <w:fldChar w:fldCharType="begin"/>
      </w:r>
      <w:r w:rsidR="007C7C94">
        <w:instrText xml:space="preserve"> ADDIN ZOTERO_ITEM CSL_CITATION {"citationID":"jCJ9QdMn","properties":{"formattedCitation":"Tamar Herzog, {\\i{}La administraci\\uc0\\u243{}n como un fen\\uc0\\u243{}meno social: la justicia penal de la ciudad de Quito (1650 - 1750)}, Historia de la sociedad pol\\uc0\\u237{}tica (Madrid: Centro de Estudios Constitucionales, 1995), 249\\uc0\\u8211{}50.","plainCitation":"Tamar Herzog, La administración como un fenómeno social: la justicia penal de la ciudad de Quito (1650 - 1750), Historia de la sociedad política (Madrid: Centro de Estudios Constitucionales, 1995), 249–50.","noteIndex":90},"citationItems":[{"id":8027,"uris":["http://zotero.org/users/163570/items/WNQSRIKP"],"uri":["http://zotero.org/users/163570/items/WNQSRIKP"],"itemData":{"id":8027,"type":"book","title":"La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social","language":"spa","author":[{"family":"Herzog","given":"Tamar"}],"issued":{"date-parts":[["1995"]]}},"locator":"249-250","label":"page"}],"schema":"https://github.com/citation-style-language/schema/raw/master/csl-citation.json"} </w:instrText>
      </w:r>
      <w:r>
        <w:fldChar w:fldCharType="separate"/>
      </w:r>
      <w:r w:rsidRPr="00EC03F2">
        <w:rPr>
          <w:rFonts w:cs="Times New Roman"/>
          <w:szCs w:val="24"/>
        </w:rPr>
        <w:t xml:space="preserve">Tamar Herzog, </w:t>
      </w:r>
      <w:r w:rsidRPr="00EC03F2">
        <w:rPr>
          <w:rFonts w:cs="Times New Roman"/>
          <w:i/>
          <w:iCs/>
          <w:szCs w:val="24"/>
        </w:rPr>
        <w:t>La administración como un fenómeno social: la justicia penal de la ciudad de Quito (1650 - 1750)</w:t>
      </w:r>
      <w:r w:rsidRPr="00EC03F2">
        <w:rPr>
          <w:rFonts w:cs="Times New Roman"/>
          <w:szCs w:val="24"/>
        </w:rPr>
        <w:t>, Historia de la sociedad política (Madrid: Centro de Estudios Constitucionales, 1995), 249–50.</w:t>
      </w:r>
      <w:r>
        <w:fldChar w:fldCharType="end"/>
      </w:r>
    </w:p>
  </w:footnote>
  <w:footnote w:id="87">
    <w:p w14:paraId="782BC615" w14:textId="76DC3E0D" w:rsidR="00AC086E" w:rsidRDefault="00AC086E" w:rsidP="003B65A6">
      <w:pPr>
        <w:pStyle w:val="Textonotapie"/>
      </w:pPr>
      <w:r>
        <w:rPr>
          <w:rStyle w:val="Refdenotaalpie"/>
        </w:rPr>
        <w:footnoteRef/>
      </w:r>
      <w:r>
        <w:t xml:space="preserve"> </w:t>
      </w:r>
      <w:r>
        <w:fldChar w:fldCharType="begin"/>
      </w:r>
      <w:r w:rsidR="007C7C94">
        <w:instrText xml:space="preserve"> ADDIN ZOTERO_ITEM CSL_CITATION {"citationID":"BIlYK7Zg","properties":{"formattedCitation":"Clavero, \\uc0\\u8220{}Justicia y gobierno, econom\\uc0\\u237{}a y gracia\\uc0\\u8221{}; Garriga Acosta, \\uc0\\u8220{}Orden jur\\uc0\\u237{}dico y poder pol\\uc0\\u237{}tico\\uc0\\u8221{}, 67.","plainCitation":"Clavero, “Justicia y gobierno, economía y gracia”; Garriga Acosta, “Orden jurídico y poder político”, 67.","noteIndex":91},"citationItems":[{"id":8246,"uris":["http://zotero.org/users/163570/items/YR6E2SPQ"],"uri":["http://zotero.org/users/163570/items/YR6E2SPQ"],"itemData":{"id":8246,"type":"paper-conference","title":"Justicia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160A4C">
        <w:rPr>
          <w:rFonts w:cs="Times New Roman"/>
          <w:szCs w:val="24"/>
        </w:rPr>
        <w:t>Clavero, “Justicia y gobierno, economía y gracia”; Garriga Acosta, “Orden jurídico y poder político”, 67.</w:t>
      </w:r>
      <w:r>
        <w:fldChar w:fldCharType="end"/>
      </w:r>
    </w:p>
  </w:footnote>
  <w:footnote w:id="88">
    <w:p w14:paraId="2CF4D1B5" w14:textId="3DFDF817" w:rsidR="00AC086E" w:rsidRDefault="00AC086E">
      <w:pPr>
        <w:pStyle w:val="Textonotapie"/>
      </w:pPr>
      <w:r>
        <w:rPr>
          <w:rStyle w:val="Refdenotaalpie"/>
        </w:rPr>
        <w:footnoteRef/>
      </w:r>
      <w:r>
        <w:t xml:space="preserve"> </w:t>
      </w:r>
      <w:r>
        <w:fldChar w:fldCharType="begin"/>
      </w:r>
      <w:r w:rsidR="007C7C94">
        <w:instrText xml:space="preserve"> ADDIN ZOTERO_ITEM CSL_CITATION {"citationID":"LgJ9B42t","properties":{"formattedCitation":"Salustiano de Dios, \\uc0\\u8220{}El ejercicio de la gracia regia en Castilla entre 1250 y 1530, los inicios del Consejo de la C\\uc0\\u225{}mara\\uc0\\u8221{}, {\\i{}Anuario de historia del derecho espa\\uc0\\u241{}ol}, n\\uc0\\u250{}m. 60 (1990): 326\\uc0\\u8211{}27.","plainCitation":"Salustiano de Dios, “El ejercicio de la gracia regia en Castilla entre 1250 y 1530, los inicios del Consejo de la Cámara”, Anuario de historia del derecho español, núm. 60 (1990): 326–27.","noteIndex":92},"citationItems":[{"id":5913,"uris":["http://zotero.org/users/163570/items/2BICB3CT"],"uri":["http://zotero.org/users/163570/items/2BICB3CT"],"itemData":{"id":5913,"type":"article-journal","title":"El ejercicio de la gracia regia en Castilla entre 1250 y 1530, los inicios del Consejo de la Cámara","container-title":"Anuario de historia del derecho español","page":"323-352","issue":"60","source":"dialnet.unirioja.es","abstract":"Información del artículo El ejercicio de la gracia regia en Castilla entre 1250 y 1530, los inicios del Consejo de la Cámara","ISSN":"0304-4319","language":"spa","author":[{"family":"Dios","given":"Salustiano","non-dropping-particle":"de"}],"issued":{"date-parts":[["1990"]]}},"locator":"326-327","label":"page"}],"schema":"https://github.com/citation-style-language/schema/raw/master/csl-citation.json"} </w:instrText>
      </w:r>
      <w:r>
        <w:fldChar w:fldCharType="separate"/>
      </w:r>
      <w:r w:rsidRPr="00DF61A5">
        <w:rPr>
          <w:rFonts w:cs="Times New Roman"/>
          <w:szCs w:val="24"/>
        </w:rPr>
        <w:t xml:space="preserve">Salustiano de Dios, “El ejercicio de la gracia regia en Castilla entre 1250 y 1530, los inicios del Consejo de la Cámara”, </w:t>
      </w:r>
      <w:r w:rsidRPr="00DF61A5">
        <w:rPr>
          <w:rFonts w:cs="Times New Roman"/>
          <w:i/>
          <w:iCs/>
          <w:szCs w:val="24"/>
        </w:rPr>
        <w:t>Anuario de historia del derecho español</w:t>
      </w:r>
      <w:r w:rsidRPr="00DF61A5">
        <w:rPr>
          <w:rFonts w:cs="Times New Roman"/>
          <w:szCs w:val="24"/>
        </w:rPr>
        <w:t>, núm. 60 (1990): 326–27.</w:t>
      </w:r>
      <w:r>
        <w:fldChar w:fldCharType="end"/>
      </w:r>
    </w:p>
  </w:footnote>
  <w:footnote w:id="89">
    <w:p w14:paraId="50EA41B8" w14:textId="7EF4D8E8" w:rsidR="00AC086E" w:rsidRDefault="00AC086E">
      <w:pPr>
        <w:pStyle w:val="Textonotapie"/>
      </w:pPr>
      <w:r>
        <w:rPr>
          <w:rStyle w:val="Refdenotaalpie"/>
        </w:rPr>
        <w:footnoteRef/>
      </w:r>
      <w:r>
        <w:t xml:space="preserve"> </w:t>
      </w:r>
      <w:r w:rsidRPr="00F7244B">
        <w:rPr>
          <w:highlight w:val="yellow"/>
        </w:rPr>
        <w:t xml:space="preserve">Saavedra Fajardo, </w:t>
      </w:r>
      <w:r w:rsidRPr="00F7244B">
        <w:rPr>
          <w:i/>
          <w:highlight w:val="yellow"/>
        </w:rPr>
        <w:t>Idea de un príncipe político christiano representada en cien empresas</w:t>
      </w:r>
      <w:r w:rsidRPr="00F7244B">
        <w:rPr>
          <w:highlight w:val="yellow"/>
        </w:rPr>
        <w:t xml:space="preserve"> (Mónaco, s.n., 1640, Milán, s.n., 1642)</w:t>
      </w:r>
      <w:r>
        <w:rPr>
          <w:highlight w:val="yellow"/>
        </w:rPr>
        <w:t>, emp. 73,</w:t>
      </w:r>
      <w:r w:rsidRPr="00F7244B">
        <w:rPr>
          <w:highlight w:val="yellow"/>
        </w:rPr>
        <w:t xml:space="preserve"> lema “compressa quiescunt”.</w:t>
      </w:r>
    </w:p>
  </w:footnote>
  <w:footnote w:id="90">
    <w:p w14:paraId="7C5A3E76" w14:textId="64564A5B" w:rsidR="00AC086E" w:rsidRDefault="00AC086E">
      <w:pPr>
        <w:pStyle w:val="Textonotapie"/>
      </w:pPr>
      <w:r>
        <w:rPr>
          <w:rStyle w:val="Refdenotaalpie"/>
        </w:rPr>
        <w:footnoteRef/>
      </w:r>
      <w:r>
        <w:t xml:space="preserve"> Saavedra Fajardo, emp. 11, lema “ex pulsu noscitur”. Las referencias bíblicas tomadas por Saavedra son Eccl. 5:4 y Eccl. 4:34.</w:t>
      </w:r>
    </w:p>
  </w:footnote>
  <w:footnote w:id="91">
    <w:p w14:paraId="38459F24" w14:textId="4B8BFFCB" w:rsidR="00AC086E" w:rsidRDefault="00AC086E">
      <w:pPr>
        <w:pStyle w:val="Textonotapie"/>
      </w:pPr>
      <w:r>
        <w:rPr>
          <w:rStyle w:val="Refdenotaalpie"/>
        </w:rPr>
        <w:footnoteRef/>
      </w:r>
      <w:r w:rsidRPr="00912BF7">
        <w:t xml:space="preserve"> </w:t>
      </w:r>
      <w:r>
        <w:fldChar w:fldCharType="begin"/>
      </w:r>
      <w:r w:rsidR="007C7C94">
        <w:instrText xml:space="preserve"> ADDIN ZOTERO_ITEM CSL_CITATION {"citationID":"qKtJVnvG","properties":{"formattedCitation":"Prodi, {\\i{}Una historia de la justicia}, 42.","plainCitation":"Prodi, Una historia de la justicia, 42.","noteIndex":95},"citationItems":[{"id":3390,"uris":["http://zotero.org/users/163570/items/C54QSDGR"],"uri":["http://zotero.org/users/163570/items/C54QSDGR"],"itemData":{"id":3390,"type":"book","title":"Una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Pr="00090E5A">
        <w:rPr>
          <w:rFonts w:cs="Times New Roman"/>
          <w:szCs w:val="24"/>
        </w:rPr>
        <w:t xml:space="preserve">Prodi, </w:t>
      </w:r>
      <w:r w:rsidRPr="00090E5A">
        <w:rPr>
          <w:rFonts w:cs="Times New Roman"/>
          <w:i/>
          <w:iCs/>
          <w:szCs w:val="24"/>
        </w:rPr>
        <w:t>Una historia de la justicia</w:t>
      </w:r>
      <w:r w:rsidRPr="00090E5A">
        <w:rPr>
          <w:rFonts w:cs="Times New Roman"/>
          <w:szCs w:val="24"/>
        </w:rPr>
        <w:t>, 42.</w:t>
      </w:r>
      <w:r>
        <w:fldChar w:fldCharType="end"/>
      </w:r>
    </w:p>
  </w:footnote>
  <w:footnote w:id="92">
    <w:p w14:paraId="6859A76C" w14:textId="1DFFF776" w:rsidR="00AC086E" w:rsidRPr="003C35C1" w:rsidRDefault="00AC086E" w:rsidP="00AF1BA2">
      <w:pPr>
        <w:pStyle w:val="Textonotapie"/>
      </w:pPr>
      <w:r w:rsidRPr="00E40FE9">
        <w:rPr>
          <w:rStyle w:val="Refdenotaalpie"/>
        </w:rPr>
        <w:footnoteRef/>
      </w:r>
      <w:r w:rsidRPr="00CF6A24">
        <w:rPr>
          <w:lang w:val="la-Latn"/>
        </w:rPr>
        <w:t xml:space="preserve"> “Indulgentia itaque est condonatio gratiosa facta per Principem reo alicujus criminis pœnam liberaliter condonando, et in </w:t>
      </w:r>
      <w:r w:rsidRPr="00C377A3">
        <w:rPr>
          <w:lang w:val="it-IT"/>
        </w:rPr>
        <w:t xml:space="preserve">pristinum statum restituendo”. </w:t>
      </w:r>
      <w:r w:rsidRPr="002718AC">
        <w:rPr>
          <w:lang w:val="it-IT"/>
        </w:rPr>
        <w:t xml:space="preserve">Laurentii Matheu i Sanz, </w:t>
      </w:r>
      <w:r w:rsidRPr="002718AC">
        <w:rPr>
          <w:i/>
          <w:lang w:val="it-IT"/>
        </w:rPr>
        <w:t>Tractatus de re criminali</w:t>
      </w:r>
      <w:r w:rsidRPr="002718AC">
        <w:rPr>
          <w:lang w:val="it-IT"/>
        </w:rPr>
        <w:t>, Contr. XXI “De indulgentia, mitigatione, at</w:t>
      </w:r>
      <w:r>
        <w:rPr>
          <w:lang w:val="it-IT"/>
        </w:rPr>
        <w:t>que commutatione p</w:t>
      </w:r>
      <w:r w:rsidRPr="000838D9">
        <w:rPr>
          <w:lang w:val="it-IT"/>
        </w:rPr>
        <w:t>œ</w:t>
      </w:r>
      <w:r>
        <w:rPr>
          <w:lang w:val="it-IT"/>
        </w:rPr>
        <w:t xml:space="preserve">narum”, n. 2. </w:t>
      </w:r>
      <w:r w:rsidRPr="009C45CC">
        <w:rPr>
          <w:lang w:val="it-IT"/>
        </w:rPr>
        <w:t xml:space="preserve">“"Quo Reorum numero Reus sive accusatus eximitur, &amp; memoria accusationis deletur”, López de Cuéllar, </w:t>
      </w:r>
      <w:r w:rsidRPr="009C45CC">
        <w:rPr>
          <w:i/>
          <w:lang w:val="it-IT"/>
        </w:rPr>
        <w:t>Tratado iuridico-politico</w:t>
      </w:r>
      <w:r w:rsidRPr="009C45CC">
        <w:rPr>
          <w:lang w:val="it-IT"/>
        </w:rPr>
        <w:t xml:space="preserve">, n. 55. </w:t>
      </w:r>
      <w:r w:rsidRPr="003C35C1">
        <w:t xml:space="preserve">“Por el indulto quedan los acusados exentos de la pena, se borra en cierto modo la memoria de su acusacion para no volver </w:t>
      </w:r>
      <w:r>
        <w:t xml:space="preserve">á tratar de ella en juicio.” Vicente Vizcaíno, </w:t>
      </w:r>
      <w:r>
        <w:rPr>
          <w:i/>
        </w:rPr>
        <w:t>Código y práctica criminal</w:t>
      </w:r>
      <w:r>
        <w:t>, tomo III, n. 425.</w:t>
      </w:r>
    </w:p>
  </w:footnote>
  <w:footnote w:id="93">
    <w:p w14:paraId="5278C48F" w14:textId="77777777" w:rsidR="00AC086E" w:rsidRPr="00F47F3C" w:rsidRDefault="00AC086E" w:rsidP="00AF1BA2">
      <w:pPr>
        <w:pStyle w:val="Textonotapie"/>
      </w:pPr>
      <w:r w:rsidRPr="00E40FE9">
        <w:rPr>
          <w:rStyle w:val="Refdenotaalpie"/>
        </w:rPr>
        <w:footnoteRef/>
      </w:r>
      <w:r>
        <w:t xml:space="preserve"> “In nostra Hispania de hac gratia, qu</w:t>
      </w:r>
      <w:r w:rsidRPr="006B1ECB">
        <w:t>æ</w:t>
      </w:r>
      <w:r>
        <w:t xml:space="preserve"> </w:t>
      </w:r>
      <w:r w:rsidRPr="006B1ECB">
        <w:rPr>
          <w:i/>
        </w:rPr>
        <w:t>Hispan</w:t>
      </w:r>
      <w:r>
        <w:rPr>
          <w:i/>
        </w:rPr>
        <w:t>è</w:t>
      </w:r>
      <w:r w:rsidRPr="006B1ECB">
        <w:rPr>
          <w:i/>
        </w:rPr>
        <w:t>: Indulto, y perdón</w:t>
      </w:r>
      <w:r>
        <w:t xml:space="preserve">”. Murillo Velarde, </w:t>
      </w:r>
      <w:r>
        <w:rPr>
          <w:i/>
        </w:rPr>
        <w:t>Cursus iuris canonici</w:t>
      </w:r>
      <w:r w:rsidRPr="00F47F3C">
        <w:t>,</w:t>
      </w:r>
      <w:r>
        <w:t xml:space="preserve"> </w:t>
      </w:r>
      <w:r w:rsidRPr="00F47F3C">
        <w:t>L. V, t</w:t>
      </w:r>
      <w:r>
        <w:t>í</w:t>
      </w:r>
      <w:r w:rsidRPr="00F47F3C">
        <w:t>t</w:t>
      </w:r>
      <w:r>
        <w:t>.</w:t>
      </w:r>
      <w:r w:rsidRPr="00F47F3C">
        <w:t xml:space="preserve"> </w:t>
      </w:r>
      <w:r>
        <w:t>XXXVII</w:t>
      </w:r>
      <w:r w:rsidRPr="00F47F3C">
        <w:t>, “De pœnis”</w:t>
      </w:r>
      <w:r>
        <w:t>,</w:t>
      </w:r>
      <w:r w:rsidRPr="00F47F3C">
        <w:t xml:space="preserve"> No. 322.</w:t>
      </w:r>
    </w:p>
  </w:footnote>
  <w:footnote w:id="94">
    <w:p w14:paraId="7E19721E" w14:textId="21583116" w:rsidR="00AC086E" w:rsidRPr="005A04A0" w:rsidRDefault="00AC086E" w:rsidP="00AF1BA2">
      <w:pPr>
        <w:pStyle w:val="Textonotapie"/>
      </w:pPr>
      <w:r w:rsidRPr="00E40FE9">
        <w:rPr>
          <w:rStyle w:val="Refdenotaalpie"/>
        </w:rPr>
        <w:footnoteRef/>
      </w:r>
      <w:r w:rsidRPr="005A04A0">
        <w:rPr>
          <w:lang w:val="it-IT"/>
        </w:rPr>
        <w:t xml:space="preserve"> “Ignoscere autem est, quem iudi</w:t>
      </w:r>
      <w:r>
        <w:rPr>
          <w:lang w:val="it-IT"/>
        </w:rPr>
        <w:t>ces puniendum, non punire</w:t>
      </w:r>
      <w:r w:rsidRPr="005A04A0">
        <w:rPr>
          <w:lang w:val="it-IT"/>
        </w:rPr>
        <w:t xml:space="preserve">; venia debitae poenae remissio est. Clementia hoc primum praestat, ut, quos dimittit, nihil aliud illos pati debuisse pronuntiet; plenior est quam venia, honestior est.” </w:t>
      </w:r>
      <w:r>
        <w:t>Seneca, “</w:t>
      </w:r>
      <w:r w:rsidRPr="00215D8E">
        <w:t>De clementia</w:t>
      </w:r>
      <w:r>
        <w:t>,” Liber II, párr. 7. “</w:t>
      </w:r>
      <w:r w:rsidRPr="00DA246C">
        <w:t>Summa Theologiae</w:t>
      </w:r>
      <w:r>
        <w:t xml:space="preserve">,” </w:t>
      </w:r>
      <w:r w:rsidRPr="005A04A0">
        <w:t>IIª-IIae, q. 157 a. 2 ad 2</w:t>
      </w:r>
      <w:r>
        <w:t>.</w:t>
      </w:r>
    </w:p>
  </w:footnote>
  <w:footnote w:id="95">
    <w:p w14:paraId="313BF6BD" w14:textId="77777777" w:rsidR="00AC086E" w:rsidRPr="00494FBE" w:rsidRDefault="00AC086E" w:rsidP="00AF1BA2">
      <w:pPr>
        <w:pStyle w:val="Textonotapie"/>
      </w:pPr>
      <w:r w:rsidRPr="00E40FE9">
        <w:rPr>
          <w:rStyle w:val="Refdenotaalpie"/>
        </w:rPr>
        <w:footnoteRef/>
      </w:r>
      <w:r>
        <w:t xml:space="preserve"> Antonio Xavier Pérez, </w:t>
      </w:r>
      <w:r>
        <w:rPr>
          <w:i/>
        </w:rPr>
        <w:t>Teatro de la legislación universal de España e Indias</w:t>
      </w:r>
      <w:r>
        <w:t>, Tomo XVI (Madrid: imprenta de don Antonio Espinosa, 1797), 320-321.</w:t>
      </w:r>
    </w:p>
  </w:footnote>
  <w:footnote w:id="96">
    <w:p w14:paraId="647584A7" w14:textId="6D391541" w:rsidR="00AC086E" w:rsidRPr="008129CF" w:rsidRDefault="00AC086E" w:rsidP="00AF1BA2">
      <w:pPr>
        <w:pStyle w:val="Textonotapie"/>
      </w:pPr>
      <w:r w:rsidRPr="00E40FE9">
        <w:rPr>
          <w:rStyle w:val="Refdenotaalpie"/>
        </w:rPr>
        <w:footnoteRef/>
      </w:r>
      <w:r>
        <w:t xml:space="preserve"> La </w:t>
      </w:r>
      <w:r>
        <w:rPr>
          <w:i/>
        </w:rPr>
        <w:t>restitutio famae</w:t>
      </w:r>
      <w:r>
        <w:t xml:space="preserve"> y la restitución de bienes son tratados por </w:t>
      </w:r>
      <w:r>
        <w:fldChar w:fldCharType="begin"/>
      </w:r>
      <w:r w:rsidR="007C7C94">
        <w:instrText xml:space="preserve"> ADDIN ZOTERO_ITEM CSL_CITATION {"citationID":"lyM7Do61","properties":{"formattedCitation":"Rodr\\uc0\\u237{}guez Flores, {\\i{}El perd\\uc0\\u243{}n real}, 190\\uc0\\u8211{}225.","plainCitation":"Rodríguez Flores, El perdón real, 190–225.","noteIndex":100},"citationItems":[{"id":2654,"uris":["http://zotero.org/users/163570/items/APZE9XAC"],"uri":["http://zotero.org/users/163570/items/APZE9XAC"],"itemData":{"id":2654,"type":"book","title":"El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Inmaculada"}],"issued":{"date-parts":[["1971"]]}},"locator":"190-225","label":"page"}],"schema":"https://github.com/citation-style-language/schema/raw/master/csl-citation.json"}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190–225.</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805C6"/>
    <w:multiLevelType w:val="multilevel"/>
    <w:tmpl w:val="6F3E21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D21D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C010B0"/>
    <w:multiLevelType w:val="multilevel"/>
    <w:tmpl w:val="A9C6845C"/>
    <w:lvl w:ilvl="0">
      <w:start w:val="1"/>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2"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4A2D6F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B513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807F0B"/>
    <w:multiLevelType w:val="multilevel"/>
    <w:tmpl w:val="3BB4C1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24"/>
  </w:num>
  <w:num w:numId="2">
    <w:abstractNumId w:val="5"/>
  </w:num>
  <w:num w:numId="3">
    <w:abstractNumId w:val="20"/>
  </w:num>
  <w:num w:numId="4">
    <w:abstractNumId w:val="14"/>
  </w:num>
  <w:num w:numId="5">
    <w:abstractNumId w:val="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
  </w:num>
  <w:num w:numId="9">
    <w:abstractNumId w:val="13"/>
  </w:num>
  <w:num w:numId="10">
    <w:abstractNumId w:val="12"/>
  </w:num>
  <w:num w:numId="11">
    <w:abstractNumId w:val="1"/>
  </w:num>
  <w:num w:numId="12">
    <w:abstractNumId w:val="21"/>
  </w:num>
  <w:num w:numId="13">
    <w:abstractNumId w:val="7"/>
  </w:num>
  <w:num w:numId="14">
    <w:abstractNumId w:val="18"/>
  </w:num>
  <w:num w:numId="15">
    <w:abstractNumId w:val="11"/>
  </w:num>
  <w:num w:numId="16">
    <w:abstractNumId w:val="15"/>
  </w:num>
  <w:num w:numId="17">
    <w:abstractNumId w:val="17"/>
  </w:num>
  <w:num w:numId="18">
    <w:abstractNumId w:val="2"/>
  </w:num>
  <w:num w:numId="19">
    <w:abstractNumId w:val="9"/>
  </w:num>
  <w:num w:numId="20">
    <w:abstractNumId w:val="4"/>
  </w:num>
  <w:num w:numId="21">
    <w:abstractNumId w:val="26"/>
  </w:num>
  <w:num w:numId="22">
    <w:abstractNumId w:val="23"/>
  </w:num>
  <w:num w:numId="23">
    <w:abstractNumId w:val="10"/>
  </w:num>
  <w:num w:numId="24">
    <w:abstractNumId w:val="25"/>
  </w:num>
  <w:num w:numId="25">
    <w:abstractNumId w:val="16"/>
  </w:num>
  <w:num w:numId="26">
    <w:abstractNumId w:val="6"/>
  </w:num>
  <w:num w:numId="27">
    <w:abstractNumId w:val="2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442"/>
    <w:rsid w:val="00003EAA"/>
    <w:rsid w:val="00004051"/>
    <w:rsid w:val="00005E55"/>
    <w:rsid w:val="000068F8"/>
    <w:rsid w:val="00007A64"/>
    <w:rsid w:val="000100A2"/>
    <w:rsid w:val="00010BC5"/>
    <w:rsid w:val="000113E8"/>
    <w:rsid w:val="00014468"/>
    <w:rsid w:val="00014B86"/>
    <w:rsid w:val="000221E4"/>
    <w:rsid w:val="00025326"/>
    <w:rsid w:val="000266F2"/>
    <w:rsid w:val="000300DC"/>
    <w:rsid w:val="00030DFA"/>
    <w:rsid w:val="00033206"/>
    <w:rsid w:val="000343F7"/>
    <w:rsid w:val="000353B2"/>
    <w:rsid w:val="000372BE"/>
    <w:rsid w:val="000407D1"/>
    <w:rsid w:val="000407D4"/>
    <w:rsid w:val="00041380"/>
    <w:rsid w:val="000424A6"/>
    <w:rsid w:val="000426EF"/>
    <w:rsid w:val="000505B2"/>
    <w:rsid w:val="0005300F"/>
    <w:rsid w:val="00054D95"/>
    <w:rsid w:val="00055714"/>
    <w:rsid w:val="000560AE"/>
    <w:rsid w:val="000602A4"/>
    <w:rsid w:val="00065B9B"/>
    <w:rsid w:val="00065F91"/>
    <w:rsid w:val="00067D02"/>
    <w:rsid w:val="00071531"/>
    <w:rsid w:val="000719C6"/>
    <w:rsid w:val="000778C1"/>
    <w:rsid w:val="0008025F"/>
    <w:rsid w:val="00081ED4"/>
    <w:rsid w:val="00087B96"/>
    <w:rsid w:val="00087BC1"/>
    <w:rsid w:val="0009056F"/>
    <w:rsid w:val="00090E5A"/>
    <w:rsid w:val="000960E7"/>
    <w:rsid w:val="000A1CF6"/>
    <w:rsid w:val="000A2FB1"/>
    <w:rsid w:val="000A6590"/>
    <w:rsid w:val="000A6ADA"/>
    <w:rsid w:val="000A7C05"/>
    <w:rsid w:val="000A7CAE"/>
    <w:rsid w:val="000B13F6"/>
    <w:rsid w:val="000B1ACC"/>
    <w:rsid w:val="000B2B81"/>
    <w:rsid w:val="000B2B9E"/>
    <w:rsid w:val="000B36F5"/>
    <w:rsid w:val="000B4007"/>
    <w:rsid w:val="000C1053"/>
    <w:rsid w:val="000C1EEA"/>
    <w:rsid w:val="000C3630"/>
    <w:rsid w:val="000C3722"/>
    <w:rsid w:val="000C3B4D"/>
    <w:rsid w:val="000C5699"/>
    <w:rsid w:val="000C59B5"/>
    <w:rsid w:val="000C7CFA"/>
    <w:rsid w:val="000D0722"/>
    <w:rsid w:val="000D289E"/>
    <w:rsid w:val="000D3181"/>
    <w:rsid w:val="000D46D3"/>
    <w:rsid w:val="000D77E0"/>
    <w:rsid w:val="000D7C7C"/>
    <w:rsid w:val="000E0A21"/>
    <w:rsid w:val="000E2090"/>
    <w:rsid w:val="000E4B53"/>
    <w:rsid w:val="000E7114"/>
    <w:rsid w:val="000F01DD"/>
    <w:rsid w:val="000F0EAD"/>
    <w:rsid w:val="000F2BAD"/>
    <w:rsid w:val="000F3839"/>
    <w:rsid w:val="000F3AA5"/>
    <w:rsid w:val="000F415D"/>
    <w:rsid w:val="000F59E1"/>
    <w:rsid w:val="00102968"/>
    <w:rsid w:val="0010513E"/>
    <w:rsid w:val="001056D4"/>
    <w:rsid w:val="00106F3F"/>
    <w:rsid w:val="00111F38"/>
    <w:rsid w:val="00112B69"/>
    <w:rsid w:val="00113798"/>
    <w:rsid w:val="0011469E"/>
    <w:rsid w:val="00116273"/>
    <w:rsid w:val="00116CF3"/>
    <w:rsid w:val="00117822"/>
    <w:rsid w:val="00117A9C"/>
    <w:rsid w:val="00122329"/>
    <w:rsid w:val="0012263D"/>
    <w:rsid w:val="00123602"/>
    <w:rsid w:val="00123CC7"/>
    <w:rsid w:val="00126721"/>
    <w:rsid w:val="00126935"/>
    <w:rsid w:val="00127A9C"/>
    <w:rsid w:val="0013002E"/>
    <w:rsid w:val="001309A5"/>
    <w:rsid w:val="00131992"/>
    <w:rsid w:val="00131A0A"/>
    <w:rsid w:val="00132E3A"/>
    <w:rsid w:val="00134E68"/>
    <w:rsid w:val="00135A97"/>
    <w:rsid w:val="00137320"/>
    <w:rsid w:val="00142E02"/>
    <w:rsid w:val="0014412D"/>
    <w:rsid w:val="00146FD9"/>
    <w:rsid w:val="001478CB"/>
    <w:rsid w:val="001530D7"/>
    <w:rsid w:val="001543B8"/>
    <w:rsid w:val="001544D0"/>
    <w:rsid w:val="0015686F"/>
    <w:rsid w:val="001573BA"/>
    <w:rsid w:val="00160A4C"/>
    <w:rsid w:val="0016104C"/>
    <w:rsid w:val="00164B64"/>
    <w:rsid w:val="0016649F"/>
    <w:rsid w:val="00170F83"/>
    <w:rsid w:val="001754C2"/>
    <w:rsid w:val="001858CC"/>
    <w:rsid w:val="001917AB"/>
    <w:rsid w:val="00191C85"/>
    <w:rsid w:val="00191E14"/>
    <w:rsid w:val="0019518C"/>
    <w:rsid w:val="001A138B"/>
    <w:rsid w:val="001A5687"/>
    <w:rsid w:val="001B2249"/>
    <w:rsid w:val="001B4764"/>
    <w:rsid w:val="001B61B0"/>
    <w:rsid w:val="001B79A8"/>
    <w:rsid w:val="001C0FBA"/>
    <w:rsid w:val="001C4925"/>
    <w:rsid w:val="001D2949"/>
    <w:rsid w:val="001D4E85"/>
    <w:rsid w:val="001D5205"/>
    <w:rsid w:val="001D58D7"/>
    <w:rsid w:val="001E0330"/>
    <w:rsid w:val="001E15B1"/>
    <w:rsid w:val="001E16B2"/>
    <w:rsid w:val="001E1BEF"/>
    <w:rsid w:val="001E394C"/>
    <w:rsid w:val="001E5979"/>
    <w:rsid w:val="001F55DA"/>
    <w:rsid w:val="001F6A3F"/>
    <w:rsid w:val="001F7A79"/>
    <w:rsid w:val="00201290"/>
    <w:rsid w:val="0020271B"/>
    <w:rsid w:val="002056AD"/>
    <w:rsid w:val="00211A92"/>
    <w:rsid w:val="00213058"/>
    <w:rsid w:val="00215D8E"/>
    <w:rsid w:val="00220385"/>
    <w:rsid w:val="0022561B"/>
    <w:rsid w:val="00226D1A"/>
    <w:rsid w:val="0023420D"/>
    <w:rsid w:val="002344C8"/>
    <w:rsid w:val="002367B0"/>
    <w:rsid w:val="002402EF"/>
    <w:rsid w:val="0024234E"/>
    <w:rsid w:val="0024260A"/>
    <w:rsid w:val="00242AB4"/>
    <w:rsid w:val="00243186"/>
    <w:rsid w:val="0024383C"/>
    <w:rsid w:val="002451A7"/>
    <w:rsid w:val="002452C2"/>
    <w:rsid w:val="002478DB"/>
    <w:rsid w:val="00250C03"/>
    <w:rsid w:val="00253C78"/>
    <w:rsid w:val="00255FC9"/>
    <w:rsid w:val="002567E3"/>
    <w:rsid w:val="00257C78"/>
    <w:rsid w:val="0026130B"/>
    <w:rsid w:val="0026170B"/>
    <w:rsid w:val="00261B3A"/>
    <w:rsid w:val="0026239A"/>
    <w:rsid w:val="00263344"/>
    <w:rsid w:val="0026423E"/>
    <w:rsid w:val="00265A20"/>
    <w:rsid w:val="002724A4"/>
    <w:rsid w:val="00273647"/>
    <w:rsid w:val="00277709"/>
    <w:rsid w:val="00281A8B"/>
    <w:rsid w:val="00281C75"/>
    <w:rsid w:val="00285218"/>
    <w:rsid w:val="002858B2"/>
    <w:rsid w:val="00285AB4"/>
    <w:rsid w:val="00295A0D"/>
    <w:rsid w:val="002974D2"/>
    <w:rsid w:val="002A1714"/>
    <w:rsid w:val="002A1C33"/>
    <w:rsid w:val="002A1EB5"/>
    <w:rsid w:val="002A3D12"/>
    <w:rsid w:val="002A4B7D"/>
    <w:rsid w:val="002A6BED"/>
    <w:rsid w:val="002A6D37"/>
    <w:rsid w:val="002A6F16"/>
    <w:rsid w:val="002A7C29"/>
    <w:rsid w:val="002B4F9E"/>
    <w:rsid w:val="002B6C75"/>
    <w:rsid w:val="002B71A0"/>
    <w:rsid w:val="002B7F68"/>
    <w:rsid w:val="002C0CF3"/>
    <w:rsid w:val="002C31D4"/>
    <w:rsid w:val="002C36EE"/>
    <w:rsid w:val="002C53AF"/>
    <w:rsid w:val="002C5578"/>
    <w:rsid w:val="002C58DF"/>
    <w:rsid w:val="002D17B5"/>
    <w:rsid w:val="002D344A"/>
    <w:rsid w:val="002D4546"/>
    <w:rsid w:val="002D535C"/>
    <w:rsid w:val="002D661C"/>
    <w:rsid w:val="002E1398"/>
    <w:rsid w:val="002E15D5"/>
    <w:rsid w:val="002E266C"/>
    <w:rsid w:val="002E634A"/>
    <w:rsid w:val="002F071D"/>
    <w:rsid w:val="002F1F37"/>
    <w:rsid w:val="002F2950"/>
    <w:rsid w:val="002F3FD6"/>
    <w:rsid w:val="00301BE4"/>
    <w:rsid w:val="00302F7B"/>
    <w:rsid w:val="0030389A"/>
    <w:rsid w:val="00304BCC"/>
    <w:rsid w:val="00306997"/>
    <w:rsid w:val="003100C2"/>
    <w:rsid w:val="00311A3C"/>
    <w:rsid w:val="00312258"/>
    <w:rsid w:val="00312A9B"/>
    <w:rsid w:val="00312EF0"/>
    <w:rsid w:val="00314027"/>
    <w:rsid w:val="003142C3"/>
    <w:rsid w:val="003145D6"/>
    <w:rsid w:val="0032430F"/>
    <w:rsid w:val="00325A34"/>
    <w:rsid w:val="003268DD"/>
    <w:rsid w:val="003307D4"/>
    <w:rsid w:val="00330F81"/>
    <w:rsid w:val="00331B59"/>
    <w:rsid w:val="00336BAF"/>
    <w:rsid w:val="00341052"/>
    <w:rsid w:val="00341DA2"/>
    <w:rsid w:val="0034339A"/>
    <w:rsid w:val="0034609E"/>
    <w:rsid w:val="00352AAE"/>
    <w:rsid w:val="00353440"/>
    <w:rsid w:val="0036187F"/>
    <w:rsid w:val="00363556"/>
    <w:rsid w:val="00364BD5"/>
    <w:rsid w:val="00364D51"/>
    <w:rsid w:val="00370B1B"/>
    <w:rsid w:val="00371E45"/>
    <w:rsid w:val="00375EDA"/>
    <w:rsid w:val="00375F6B"/>
    <w:rsid w:val="003767F0"/>
    <w:rsid w:val="00376AB6"/>
    <w:rsid w:val="00377315"/>
    <w:rsid w:val="003773DB"/>
    <w:rsid w:val="00382B2F"/>
    <w:rsid w:val="0038402C"/>
    <w:rsid w:val="00386C4C"/>
    <w:rsid w:val="003926D3"/>
    <w:rsid w:val="00394194"/>
    <w:rsid w:val="00395402"/>
    <w:rsid w:val="003971E3"/>
    <w:rsid w:val="00397844"/>
    <w:rsid w:val="003A1A84"/>
    <w:rsid w:val="003A2A8E"/>
    <w:rsid w:val="003A3E26"/>
    <w:rsid w:val="003A403C"/>
    <w:rsid w:val="003A4475"/>
    <w:rsid w:val="003A6E80"/>
    <w:rsid w:val="003A739E"/>
    <w:rsid w:val="003B2520"/>
    <w:rsid w:val="003B564E"/>
    <w:rsid w:val="003B607F"/>
    <w:rsid w:val="003B65A6"/>
    <w:rsid w:val="003C401E"/>
    <w:rsid w:val="003C63E0"/>
    <w:rsid w:val="003C75C0"/>
    <w:rsid w:val="003D4F03"/>
    <w:rsid w:val="003D54BA"/>
    <w:rsid w:val="003D647C"/>
    <w:rsid w:val="003D6EAE"/>
    <w:rsid w:val="003E057C"/>
    <w:rsid w:val="003E1218"/>
    <w:rsid w:val="003E21B3"/>
    <w:rsid w:val="003E3A62"/>
    <w:rsid w:val="003E52CC"/>
    <w:rsid w:val="003E5E29"/>
    <w:rsid w:val="003E7F64"/>
    <w:rsid w:val="003F0504"/>
    <w:rsid w:val="003F4E71"/>
    <w:rsid w:val="003F7359"/>
    <w:rsid w:val="00403B8A"/>
    <w:rsid w:val="004047C1"/>
    <w:rsid w:val="00407BD8"/>
    <w:rsid w:val="00411451"/>
    <w:rsid w:val="004135B7"/>
    <w:rsid w:val="00413C14"/>
    <w:rsid w:val="004142D1"/>
    <w:rsid w:val="00414710"/>
    <w:rsid w:val="00414A82"/>
    <w:rsid w:val="00420BB0"/>
    <w:rsid w:val="00421861"/>
    <w:rsid w:val="0042190A"/>
    <w:rsid w:val="00422F2B"/>
    <w:rsid w:val="0042459E"/>
    <w:rsid w:val="004308E1"/>
    <w:rsid w:val="00432FBA"/>
    <w:rsid w:val="00444FE7"/>
    <w:rsid w:val="0045090F"/>
    <w:rsid w:val="00450953"/>
    <w:rsid w:val="00452E15"/>
    <w:rsid w:val="00453281"/>
    <w:rsid w:val="00461A7A"/>
    <w:rsid w:val="004628C3"/>
    <w:rsid w:val="00464785"/>
    <w:rsid w:val="00464AD6"/>
    <w:rsid w:val="0046533D"/>
    <w:rsid w:val="00466519"/>
    <w:rsid w:val="00466C1B"/>
    <w:rsid w:val="004704C7"/>
    <w:rsid w:val="00472190"/>
    <w:rsid w:val="004726B7"/>
    <w:rsid w:val="004735B6"/>
    <w:rsid w:val="0047499D"/>
    <w:rsid w:val="0047512A"/>
    <w:rsid w:val="004755E2"/>
    <w:rsid w:val="00484FB4"/>
    <w:rsid w:val="00491039"/>
    <w:rsid w:val="00492B29"/>
    <w:rsid w:val="00493605"/>
    <w:rsid w:val="00494234"/>
    <w:rsid w:val="004956DE"/>
    <w:rsid w:val="004970C2"/>
    <w:rsid w:val="00497A7D"/>
    <w:rsid w:val="004A15F4"/>
    <w:rsid w:val="004A1A9C"/>
    <w:rsid w:val="004A1C86"/>
    <w:rsid w:val="004A499C"/>
    <w:rsid w:val="004B11E4"/>
    <w:rsid w:val="004B3411"/>
    <w:rsid w:val="004B3B57"/>
    <w:rsid w:val="004B3DAC"/>
    <w:rsid w:val="004B419A"/>
    <w:rsid w:val="004B53F0"/>
    <w:rsid w:val="004B5675"/>
    <w:rsid w:val="004C1A08"/>
    <w:rsid w:val="004C226D"/>
    <w:rsid w:val="004C2B66"/>
    <w:rsid w:val="004C2E13"/>
    <w:rsid w:val="004C5C01"/>
    <w:rsid w:val="004D05B9"/>
    <w:rsid w:val="004D1B52"/>
    <w:rsid w:val="004D3D2D"/>
    <w:rsid w:val="004D50C8"/>
    <w:rsid w:val="004D6C81"/>
    <w:rsid w:val="004E0EEF"/>
    <w:rsid w:val="004E398A"/>
    <w:rsid w:val="004E6A40"/>
    <w:rsid w:val="004E6D14"/>
    <w:rsid w:val="004E7906"/>
    <w:rsid w:val="004F0066"/>
    <w:rsid w:val="004F0B24"/>
    <w:rsid w:val="004F2730"/>
    <w:rsid w:val="004F2AE6"/>
    <w:rsid w:val="004F2FDB"/>
    <w:rsid w:val="00500348"/>
    <w:rsid w:val="00503A44"/>
    <w:rsid w:val="0050477D"/>
    <w:rsid w:val="00505CD1"/>
    <w:rsid w:val="00507B87"/>
    <w:rsid w:val="005137D0"/>
    <w:rsid w:val="00515929"/>
    <w:rsid w:val="005166E9"/>
    <w:rsid w:val="00516F63"/>
    <w:rsid w:val="00520895"/>
    <w:rsid w:val="00523356"/>
    <w:rsid w:val="00525F67"/>
    <w:rsid w:val="00526429"/>
    <w:rsid w:val="005306EA"/>
    <w:rsid w:val="00533D9A"/>
    <w:rsid w:val="005356F7"/>
    <w:rsid w:val="00537AE8"/>
    <w:rsid w:val="005433D6"/>
    <w:rsid w:val="005440D9"/>
    <w:rsid w:val="00545629"/>
    <w:rsid w:val="005613F2"/>
    <w:rsid w:val="00565B64"/>
    <w:rsid w:val="005666D8"/>
    <w:rsid w:val="00567C76"/>
    <w:rsid w:val="00570D59"/>
    <w:rsid w:val="00572F2C"/>
    <w:rsid w:val="0057471E"/>
    <w:rsid w:val="005779E7"/>
    <w:rsid w:val="00577FF2"/>
    <w:rsid w:val="00580E83"/>
    <w:rsid w:val="005844AE"/>
    <w:rsid w:val="00590FCC"/>
    <w:rsid w:val="00592AD1"/>
    <w:rsid w:val="005935C1"/>
    <w:rsid w:val="00593D82"/>
    <w:rsid w:val="00594ACD"/>
    <w:rsid w:val="00595B83"/>
    <w:rsid w:val="005A12A8"/>
    <w:rsid w:val="005A4693"/>
    <w:rsid w:val="005A53FF"/>
    <w:rsid w:val="005A68E3"/>
    <w:rsid w:val="005A77FF"/>
    <w:rsid w:val="005B055C"/>
    <w:rsid w:val="005B05B1"/>
    <w:rsid w:val="005B2C6F"/>
    <w:rsid w:val="005D3FA1"/>
    <w:rsid w:val="005D46DD"/>
    <w:rsid w:val="005D781A"/>
    <w:rsid w:val="005E4727"/>
    <w:rsid w:val="005E6CE4"/>
    <w:rsid w:val="005E7BAC"/>
    <w:rsid w:val="005F1025"/>
    <w:rsid w:val="005F746C"/>
    <w:rsid w:val="00601520"/>
    <w:rsid w:val="0060289C"/>
    <w:rsid w:val="00602CC3"/>
    <w:rsid w:val="00604337"/>
    <w:rsid w:val="00604C80"/>
    <w:rsid w:val="006126EC"/>
    <w:rsid w:val="006128BA"/>
    <w:rsid w:val="00613890"/>
    <w:rsid w:val="00614710"/>
    <w:rsid w:val="006211F4"/>
    <w:rsid w:val="0062417A"/>
    <w:rsid w:val="00625740"/>
    <w:rsid w:val="00627034"/>
    <w:rsid w:val="00630E1A"/>
    <w:rsid w:val="00632255"/>
    <w:rsid w:val="00632A67"/>
    <w:rsid w:val="00636256"/>
    <w:rsid w:val="00637FA8"/>
    <w:rsid w:val="006409A3"/>
    <w:rsid w:val="0064159E"/>
    <w:rsid w:val="00645E07"/>
    <w:rsid w:val="00647AB3"/>
    <w:rsid w:val="00650140"/>
    <w:rsid w:val="00653A46"/>
    <w:rsid w:val="0065409B"/>
    <w:rsid w:val="00660639"/>
    <w:rsid w:val="0066090D"/>
    <w:rsid w:val="00662708"/>
    <w:rsid w:val="00662C12"/>
    <w:rsid w:val="00663420"/>
    <w:rsid w:val="0066409D"/>
    <w:rsid w:val="006659B5"/>
    <w:rsid w:val="006661B1"/>
    <w:rsid w:val="00666B3A"/>
    <w:rsid w:val="006709BF"/>
    <w:rsid w:val="00670EE5"/>
    <w:rsid w:val="00671DDC"/>
    <w:rsid w:val="00672F1B"/>
    <w:rsid w:val="006736ED"/>
    <w:rsid w:val="006738AD"/>
    <w:rsid w:val="006746FE"/>
    <w:rsid w:val="00676D37"/>
    <w:rsid w:val="00677069"/>
    <w:rsid w:val="00682D0E"/>
    <w:rsid w:val="00683C91"/>
    <w:rsid w:val="00685D0C"/>
    <w:rsid w:val="0069009E"/>
    <w:rsid w:val="00693857"/>
    <w:rsid w:val="006A0C4B"/>
    <w:rsid w:val="006A5213"/>
    <w:rsid w:val="006A672D"/>
    <w:rsid w:val="006A70E5"/>
    <w:rsid w:val="006A7616"/>
    <w:rsid w:val="006A7CFF"/>
    <w:rsid w:val="006B1DAE"/>
    <w:rsid w:val="006B20EE"/>
    <w:rsid w:val="006B51F8"/>
    <w:rsid w:val="006B6B52"/>
    <w:rsid w:val="006B6E95"/>
    <w:rsid w:val="006C60FF"/>
    <w:rsid w:val="006D096D"/>
    <w:rsid w:val="006D2579"/>
    <w:rsid w:val="006D2682"/>
    <w:rsid w:val="006E11ED"/>
    <w:rsid w:val="006E24E4"/>
    <w:rsid w:val="006E2B23"/>
    <w:rsid w:val="006E2B46"/>
    <w:rsid w:val="006E3973"/>
    <w:rsid w:val="006E4054"/>
    <w:rsid w:val="006E7B3C"/>
    <w:rsid w:val="006E7C4B"/>
    <w:rsid w:val="006F0199"/>
    <w:rsid w:val="006F0C1E"/>
    <w:rsid w:val="006F40B7"/>
    <w:rsid w:val="006F43A5"/>
    <w:rsid w:val="006F5E81"/>
    <w:rsid w:val="006F7E08"/>
    <w:rsid w:val="0070048C"/>
    <w:rsid w:val="00700CBA"/>
    <w:rsid w:val="00700D25"/>
    <w:rsid w:val="00701E31"/>
    <w:rsid w:val="00703095"/>
    <w:rsid w:val="0070628F"/>
    <w:rsid w:val="007067B0"/>
    <w:rsid w:val="00707D96"/>
    <w:rsid w:val="007126D3"/>
    <w:rsid w:val="00714366"/>
    <w:rsid w:val="00715314"/>
    <w:rsid w:val="00720197"/>
    <w:rsid w:val="00722CBD"/>
    <w:rsid w:val="00724125"/>
    <w:rsid w:val="00724F89"/>
    <w:rsid w:val="00725B91"/>
    <w:rsid w:val="007319E7"/>
    <w:rsid w:val="00734344"/>
    <w:rsid w:val="0073488D"/>
    <w:rsid w:val="00734A1B"/>
    <w:rsid w:val="00736260"/>
    <w:rsid w:val="00736368"/>
    <w:rsid w:val="00743A8C"/>
    <w:rsid w:val="007441DB"/>
    <w:rsid w:val="007516A7"/>
    <w:rsid w:val="00751AF7"/>
    <w:rsid w:val="0075433A"/>
    <w:rsid w:val="00755042"/>
    <w:rsid w:val="00755CE8"/>
    <w:rsid w:val="00755E15"/>
    <w:rsid w:val="00762FE7"/>
    <w:rsid w:val="0076306D"/>
    <w:rsid w:val="00766A7E"/>
    <w:rsid w:val="00767801"/>
    <w:rsid w:val="00767A73"/>
    <w:rsid w:val="00770534"/>
    <w:rsid w:val="00773955"/>
    <w:rsid w:val="007767A7"/>
    <w:rsid w:val="00776965"/>
    <w:rsid w:val="007812D1"/>
    <w:rsid w:val="0078191E"/>
    <w:rsid w:val="007827E4"/>
    <w:rsid w:val="00784CA8"/>
    <w:rsid w:val="0078764D"/>
    <w:rsid w:val="0079524B"/>
    <w:rsid w:val="007A11BA"/>
    <w:rsid w:val="007A7D17"/>
    <w:rsid w:val="007B67FC"/>
    <w:rsid w:val="007C0571"/>
    <w:rsid w:val="007C09F3"/>
    <w:rsid w:val="007C516D"/>
    <w:rsid w:val="007C618D"/>
    <w:rsid w:val="007C6342"/>
    <w:rsid w:val="007C7C94"/>
    <w:rsid w:val="007D1F5B"/>
    <w:rsid w:val="007D4515"/>
    <w:rsid w:val="007D7629"/>
    <w:rsid w:val="007D7D42"/>
    <w:rsid w:val="007D7E74"/>
    <w:rsid w:val="007E2725"/>
    <w:rsid w:val="007E5CB7"/>
    <w:rsid w:val="007E7B8A"/>
    <w:rsid w:val="007F1766"/>
    <w:rsid w:val="007F24F4"/>
    <w:rsid w:val="007F36EF"/>
    <w:rsid w:val="007F47A9"/>
    <w:rsid w:val="007F52A4"/>
    <w:rsid w:val="00800EE5"/>
    <w:rsid w:val="008018E8"/>
    <w:rsid w:val="0080525F"/>
    <w:rsid w:val="008072E6"/>
    <w:rsid w:val="00812D7B"/>
    <w:rsid w:val="00816429"/>
    <w:rsid w:val="008210C8"/>
    <w:rsid w:val="00823751"/>
    <w:rsid w:val="008278F3"/>
    <w:rsid w:val="00827997"/>
    <w:rsid w:val="0083002A"/>
    <w:rsid w:val="008303C6"/>
    <w:rsid w:val="00830D5A"/>
    <w:rsid w:val="00832F46"/>
    <w:rsid w:val="00833341"/>
    <w:rsid w:val="00834591"/>
    <w:rsid w:val="0083523B"/>
    <w:rsid w:val="00836348"/>
    <w:rsid w:val="00840013"/>
    <w:rsid w:val="00840267"/>
    <w:rsid w:val="00840B09"/>
    <w:rsid w:val="00841292"/>
    <w:rsid w:val="00843A2F"/>
    <w:rsid w:val="0084734D"/>
    <w:rsid w:val="008500D8"/>
    <w:rsid w:val="0085395D"/>
    <w:rsid w:val="00856AF5"/>
    <w:rsid w:val="00860041"/>
    <w:rsid w:val="00860C68"/>
    <w:rsid w:val="00860ED3"/>
    <w:rsid w:val="0086150A"/>
    <w:rsid w:val="00861C4D"/>
    <w:rsid w:val="00862D6F"/>
    <w:rsid w:val="00866385"/>
    <w:rsid w:val="00866F29"/>
    <w:rsid w:val="00867493"/>
    <w:rsid w:val="0086793B"/>
    <w:rsid w:val="008704CE"/>
    <w:rsid w:val="008709A7"/>
    <w:rsid w:val="00873BED"/>
    <w:rsid w:val="008758BA"/>
    <w:rsid w:val="00875DC6"/>
    <w:rsid w:val="00875EC5"/>
    <w:rsid w:val="00883F5D"/>
    <w:rsid w:val="00886E44"/>
    <w:rsid w:val="00887352"/>
    <w:rsid w:val="00891315"/>
    <w:rsid w:val="00892BDA"/>
    <w:rsid w:val="00892D06"/>
    <w:rsid w:val="00893F33"/>
    <w:rsid w:val="00895690"/>
    <w:rsid w:val="008958FE"/>
    <w:rsid w:val="00897132"/>
    <w:rsid w:val="008979B9"/>
    <w:rsid w:val="008A21B7"/>
    <w:rsid w:val="008A2727"/>
    <w:rsid w:val="008A2DA7"/>
    <w:rsid w:val="008B1E67"/>
    <w:rsid w:val="008B2835"/>
    <w:rsid w:val="008B7B56"/>
    <w:rsid w:val="008C09F0"/>
    <w:rsid w:val="008C2CAC"/>
    <w:rsid w:val="008C6989"/>
    <w:rsid w:val="008C7F0E"/>
    <w:rsid w:val="008D23B4"/>
    <w:rsid w:val="008D5F8A"/>
    <w:rsid w:val="008D71A0"/>
    <w:rsid w:val="008D7B48"/>
    <w:rsid w:val="008E1FFC"/>
    <w:rsid w:val="008E21DD"/>
    <w:rsid w:val="008E4E99"/>
    <w:rsid w:val="008E55EA"/>
    <w:rsid w:val="008F1007"/>
    <w:rsid w:val="008F36FD"/>
    <w:rsid w:val="008F377B"/>
    <w:rsid w:val="008F5280"/>
    <w:rsid w:val="008F628B"/>
    <w:rsid w:val="009002A6"/>
    <w:rsid w:val="009026DF"/>
    <w:rsid w:val="009045B6"/>
    <w:rsid w:val="009060CE"/>
    <w:rsid w:val="00911AD5"/>
    <w:rsid w:val="00912BF7"/>
    <w:rsid w:val="009144F1"/>
    <w:rsid w:val="0092166A"/>
    <w:rsid w:val="00922CC8"/>
    <w:rsid w:val="00922D6F"/>
    <w:rsid w:val="00923C33"/>
    <w:rsid w:val="00925A8D"/>
    <w:rsid w:val="00925F98"/>
    <w:rsid w:val="00932469"/>
    <w:rsid w:val="009355E1"/>
    <w:rsid w:val="009426D7"/>
    <w:rsid w:val="00944E5A"/>
    <w:rsid w:val="00947E39"/>
    <w:rsid w:val="00950B3C"/>
    <w:rsid w:val="009512D5"/>
    <w:rsid w:val="00951556"/>
    <w:rsid w:val="009577FC"/>
    <w:rsid w:val="009600DC"/>
    <w:rsid w:val="00960C69"/>
    <w:rsid w:val="00962083"/>
    <w:rsid w:val="009639EA"/>
    <w:rsid w:val="00963F3A"/>
    <w:rsid w:val="00964F52"/>
    <w:rsid w:val="009675A3"/>
    <w:rsid w:val="00967F83"/>
    <w:rsid w:val="0097273C"/>
    <w:rsid w:val="009759D1"/>
    <w:rsid w:val="00977FCA"/>
    <w:rsid w:val="0098373E"/>
    <w:rsid w:val="00984573"/>
    <w:rsid w:val="009904B1"/>
    <w:rsid w:val="00994D47"/>
    <w:rsid w:val="00994EC9"/>
    <w:rsid w:val="009956C8"/>
    <w:rsid w:val="00996F83"/>
    <w:rsid w:val="009971E4"/>
    <w:rsid w:val="009A28F3"/>
    <w:rsid w:val="009A50FD"/>
    <w:rsid w:val="009A5A86"/>
    <w:rsid w:val="009A609C"/>
    <w:rsid w:val="009A707D"/>
    <w:rsid w:val="009A7156"/>
    <w:rsid w:val="009B147C"/>
    <w:rsid w:val="009B3BC4"/>
    <w:rsid w:val="009B5CD1"/>
    <w:rsid w:val="009C2208"/>
    <w:rsid w:val="009C502A"/>
    <w:rsid w:val="009C68C7"/>
    <w:rsid w:val="009C75E0"/>
    <w:rsid w:val="009D1930"/>
    <w:rsid w:val="009D1FB7"/>
    <w:rsid w:val="009D49BD"/>
    <w:rsid w:val="009E4287"/>
    <w:rsid w:val="009E48AE"/>
    <w:rsid w:val="009E6782"/>
    <w:rsid w:val="009E76D2"/>
    <w:rsid w:val="009E7C29"/>
    <w:rsid w:val="009F0747"/>
    <w:rsid w:val="009F1357"/>
    <w:rsid w:val="009F15C3"/>
    <w:rsid w:val="00A00775"/>
    <w:rsid w:val="00A06B11"/>
    <w:rsid w:val="00A07920"/>
    <w:rsid w:val="00A1012F"/>
    <w:rsid w:val="00A11957"/>
    <w:rsid w:val="00A277B2"/>
    <w:rsid w:val="00A3216A"/>
    <w:rsid w:val="00A3241E"/>
    <w:rsid w:val="00A37ED6"/>
    <w:rsid w:val="00A44824"/>
    <w:rsid w:val="00A46D07"/>
    <w:rsid w:val="00A50404"/>
    <w:rsid w:val="00A51D3A"/>
    <w:rsid w:val="00A529E8"/>
    <w:rsid w:val="00A56C33"/>
    <w:rsid w:val="00A60385"/>
    <w:rsid w:val="00A6066F"/>
    <w:rsid w:val="00A65238"/>
    <w:rsid w:val="00A65548"/>
    <w:rsid w:val="00A76491"/>
    <w:rsid w:val="00A76EFA"/>
    <w:rsid w:val="00A77E24"/>
    <w:rsid w:val="00A8093A"/>
    <w:rsid w:val="00A80EDA"/>
    <w:rsid w:val="00A842CE"/>
    <w:rsid w:val="00A86C78"/>
    <w:rsid w:val="00A90C68"/>
    <w:rsid w:val="00A916BC"/>
    <w:rsid w:val="00A92165"/>
    <w:rsid w:val="00A94EC6"/>
    <w:rsid w:val="00A95DDA"/>
    <w:rsid w:val="00A96226"/>
    <w:rsid w:val="00A97FB0"/>
    <w:rsid w:val="00AA0E9B"/>
    <w:rsid w:val="00AA511A"/>
    <w:rsid w:val="00AA7B98"/>
    <w:rsid w:val="00AB12F3"/>
    <w:rsid w:val="00AB186B"/>
    <w:rsid w:val="00AB236F"/>
    <w:rsid w:val="00AB263E"/>
    <w:rsid w:val="00AB3F05"/>
    <w:rsid w:val="00AB4794"/>
    <w:rsid w:val="00AB4D57"/>
    <w:rsid w:val="00AB5A40"/>
    <w:rsid w:val="00AC0576"/>
    <w:rsid w:val="00AC086E"/>
    <w:rsid w:val="00AD04AD"/>
    <w:rsid w:val="00AD7100"/>
    <w:rsid w:val="00AE284D"/>
    <w:rsid w:val="00AE3608"/>
    <w:rsid w:val="00AE3978"/>
    <w:rsid w:val="00AE48AE"/>
    <w:rsid w:val="00AE68EA"/>
    <w:rsid w:val="00AF057A"/>
    <w:rsid w:val="00AF11C2"/>
    <w:rsid w:val="00AF1BA2"/>
    <w:rsid w:val="00AF29A2"/>
    <w:rsid w:val="00AF455D"/>
    <w:rsid w:val="00B011C4"/>
    <w:rsid w:val="00B0400F"/>
    <w:rsid w:val="00B068AB"/>
    <w:rsid w:val="00B169BD"/>
    <w:rsid w:val="00B20DA2"/>
    <w:rsid w:val="00B2236D"/>
    <w:rsid w:val="00B223FE"/>
    <w:rsid w:val="00B22F55"/>
    <w:rsid w:val="00B247B2"/>
    <w:rsid w:val="00B27F31"/>
    <w:rsid w:val="00B30064"/>
    <w:rsid w:val="00B3156A"/>
    <w:rsid w:val="00B32981"/>
    <w:rsid w:val="00B3358E"/>
    <w:rsid w:val="00B33E35"/>
    <w:rsid w:val="00B354EA"/>
    <w:rsid w:val="00B402E3"/>
    <w:rsid w:val="00B41251"/>
    <w:rsid w:val="00B45562"/>
    <w:rsid w:val="00B45861"/>
    <w:rsid w:val="00B530AB"/>
    <w:rsid w:val="00B5325E"/>
    <w:rsid w:val="00B5399E"/>
    <w:rsid w:val="00B54A63"/>
    <w:rsid w:val="00B612D7"/>
    <w:rsid w:val="00B6238F"/>
    <w:rsid w:val="00B636AC"/>
    <w:rsid w:val="00B639B7"/>
    <w:rsid w:val="00B63CB5"/>
    <w:rsid w:val="00B64E56"/>
    <w:rsid w:val="00B6589A"/>
    <w:rsid w:val="00B65C1E"/>
    <w:rsid w:val="00B66D94"/>
    <w:rsid w:val="00B674E5"/>
    <w:rsid w:val="00B67F9E"/>
    <w:rsid w:val="00B73D0E"/>
    <w:rsid w:val="00B74F9E"/>
    <w:rsid w:val="00B75D5F"/>
    <w:rsid w:val="00B75E99"/>
    <w:rsid w:val="00B77B75"/>
    <w:rsid w:val="00B77D1F"/>
    <w:rsid w:val="00B8078A"/>
    <w:rsid w:val="00B81CD1"/>
    <w:rsid w:val="00B82B4D"/>
    <w:rsid w:val="00B844BB"/>
    <w:rsid w:val="00B90477"/>
    <w:rsid w:val="00B91863"/>
    <w:rsid w:val="00B92233"/>
    <w:rsid w:val="00B931C3"/>
    <w:rsid w:val="00B93C8F"/>
    <w:rsid w:val="00B94D0E"/>
    <w:rsid w:val="00B94F93"/>
    <w:rsid w:val="00B95181"/>
    <w:rsid w:val="00B9631D"/>
    <w:rsid w:val="00B97549"/>
    <w:rsid w:val="00BA2C62"/>
    <w:rsid w:val="00BA35EF"/>
    <w:rsid w:val="00BA7059"/>
    <w:rsid w:val="00BA76C0"/>
    <w:rsid w:val="00BB134C"/>
    <w:rsid w:val="00BB22D0"/>
    <w:rsid w:val="00BB378A"/>
    <w:rsid w:val="00BB38A4"/>
    <w:rsid w:val="00BB67EA"/>
    <w:rsid w:val="00BB71F6"/>
    <w:rsid w:val="00BB7363"/>
    <w:rsid w:val="00BB7F07"/>
    <w:rsid w:val="00BC18E6"/>
    <w:rsid w:val="00BC4CEA"/>
    <w:rsid w:val="00BC72A7"/>
    <w:rsid w:val="00BC74C3"/>
    <w:rsid w:val="00BD6753"/>
    <w:rsid w:val="00BD7E1E"/>
    <w:rsid w:val="00BE1F7D"/>
    <w:rsid w:val="00BE45D0"/>
    <w:rsid w:val="00BE4624"/>
    <w:rsid w:val="00BE515F"/>
    <w:rsid w:val="00BE5E46"/>
    <w:rsid w:val="00BE7C91"/>
    <w:rsid w:val="00BF3E79"/>
    <w:rsid w:val="00BF3F7B"/>
    <w:rsid w:val="00BF4919"/>
    <w:rsid w:val="00BF6A88"/>
    <w:rsid w:val="00BF7F72"/>
    <w:rsid w:val="00C001C4"/>
    <w:rsid w:val="00C03AC1"/>
    <w:rsid w:val="00C04580"/>
    <w:rsid w:val="00C054C4"/>
    <w:rsid w:val="00C05F45"/>
    <w:rsid w:val="00C064B8"/>
    <w:rsid w:val="00C119C2"/>
    <w:rsid w:val="00C125B2"/>
    <w:rsid w:val="00C12723"/>
    <w:rsid w:val="00C12C3F"/>
    <w:rsid w:val="00C132DC"/>
    <w:rsid w:val="00C13903"/>
    <w:rsid w:val="00C13C32"/>
    <w:rsid w:val="00C15674"/>
    <w:rsid w:val="00C170C2"/>
    <w:rsid w:val="00C17281"/>
    <w:rsid w:val="00C17FF8"/>
    <w:rsid w:val="00C20799"/>
    <w:rsid w:val="00C2352E"/>
    <w:rsid w:val="00C24D3C"/>
    <w:rsid w:val="00C24EFF"/>
    <w:rsid w:val="00C256D3"/>
    <w:rsid w:val="00C27768"/>
    <w:rsid w:val="00C3030E"/>
    <w:rsid w:val="00C36C1C"/>
    <w:rsid w:val="00C37831"/>
    <w:rsid w:val="00C46D84"/>
    <w:rsid w:val="00C46E67"/>
    <w:rsid w:val="00C50376"/>
    <w:rsid w:val="00C50A72"/>
    <w:rsid w:val="00C52CE9"/>
    <w:rsid w:val="00C52EEA"/>
    <w:rsid w:val="00C54558"/>
    <w:rsid w:val="00C54BF5"/>
    <w:rsid w:val="00C61EB3"/>
    <w:rsid w:val="00C76389"/>
    <w:rsid w:val="00C76800"/>
    <w:rsid w:val="00C87243"/>
    <w:rsid w:val="00C921B6"/>
    <w:rsid w:val="00C976C5"/>
    <w:rsid w:val="00CA595E"/>
    <w:rsid w:val="00CA790F"/>
    <w:rsid w:val="00CB0A86"/>
    <w:rsid w:val="00CB7418"/>
    <w:rsid w:val="00CC0324"/>
    <w:rsid w:val="00CC2BEE"/>
    <w:rsid w:val="00CC2DB7"/>
    <w:rsid w:val="00CC5033"/>
    <w:rsid w:val="00CC6CFE"/>
    <w:rsid w:val="00CC6EA7"/>
    <w:rsid w:val="00CD0B42"/>
    <w:rsid w:val="00CD112A"/>
    <w:rsid w:val="00CD4A8A"/>
    <w:rsid w:val="00CE1562"/>
    <w:rsid w:val="00CE1F32"/>
    <w:rsid w:val="00CF0BD6"/>
    <w:rsid w:val="00CF1AF3"/>
    <w:rsid w:val="00CF2633"/>
    <w:rsid w:val="00CF5358"/>
    <w:rsid w:val="00CF5F2B"/>
    <w:rsid w:val="00CF767A"/>
    <w:rsid w:val="00D01331"/>
    <w:rsid w:val="00D0522D"/>
    <w:rsid w:val="00D06A86"/>
    <w:rsid w:val="00D10A0A"/>
    <w:rsid w:val="00D10DAC"/>
    <w:rsid w:val="00D10FC2"/>
    <w:rsid w:val="00D112FD"/>
    <w:rsid w:val="00D1457C"/>
    <w:rsid w:val="00D14DD0"/>
    <w:rsid w:val="00D15002"/>
    <w:rsid w:val="00D17382"/>
    <w:rsid w:val="00D215CF"/>
    <w:rsid w:val="00D22DD7"/>
    <w:rsid w:val="00D27351"/>
    <w:rsid w:val="00D27E44"/>
    <w:rsid w:val="00D27FF1"/>
    <w:rsid w:val="00D3066E"/>
    <w:rsid w:val="00D31176"/>
    <w:rsid w:val="00D31A81"/>
    <w:rsid w:val="00D333CD"/>
    <w:rsid w:val="00D33C44"/>
    <w:rsid w:val="00D3631A"/>
    <w:rsid w:val="00D37198"/>
    <w:rsid w:val="00D4023B"/>
    <w:rsid w:val="00D40432"/>
    <w:rsid w:val="00D45882"/>
    <w:rsid w:val="00D45972"/>
    <w:rsid w:val="00D46BE8"/>
    <w:rsid w:val="00D516C3"/>
    <w:rsid w:val="00D531AD"/>
    <w:rsid w:val="00D5570B"/>
    <w:rsid w:val="00D60460"/>
    <w:rsid w:val="00D62165"/>
    <w:rsid w:val="00D70071"/>
    <w:rsid w:val="00D70251"/>
    <w:rsid w:val="00D70380"/>
    <w:rsid w:val="00D70E0A"/>
    <w:rsid w:val="00D72814"/>
    <w:rsid w:val="00D7332C"/>
    <w:rsid w:val="00D77D3A"/>
    <w:rsid w:val="00D80C09"/>
    <w:rsid w:val="00D93561"/>
    <w:rsid w:val="00D9361C"/>
    <w:rsid w:val="00D95419"/>
    <w:rsid w:val="00D959A8"/>
    <w:rsid w:val="00D976B0"/>
    <w:rsid w:val="00DA246C"/>
    <w:rsid w:val="00DA2B30"/>
    <w:rsid w:val="00DA4530"/>
    <w:rsid w:val="00DB06F0"/>
    <w:rsid w:val="00DB2964"/>
    <w:rsid w:val="00DB33BE"/>
    <w:rsid w:val="00DB4B8E"/>
    <w:rsid w:val="00DB7584"/>
    <w:rsid w:val="00DC02A4"/>
    <w:rsid w:val="00DC1368"/>
    <w:rsid w:val="00DC2BC8"/>
    <w:rsid w:val="00DC508E"/>
    <w:rsid w:val="00DD1BDD"/>
    <w:rsid w:val="00DE0693"/>
    <w:rsid w:val="00DE1962"/>
    <w:rsid w:val="00DE1BA5"/>
    <w:rsid w:val="00DE2DBC"/>
    <w:rsid w:val="00DE6C7D"/>
    <w:rsid w:val="00DE7BFE"/>
    <w:rsid w:val="00DF146F"/>
    <w:rsid w:val="00DF1E2D"/>
    <w:rsid w:val="00DF40D9"/>
    <w:rsid w:val="00DF48C3"/>
    <w:rsid w:val="00DF4FE9"/>
    <w:rsid w:val="00DF61A5"/>
    <w:rsid w:val="00DF6D11"/>
    <w:rsid w:val="00E00BF4"/>
    <w:rsid w:val="00E016C9"/>
    <w:rsid w:val="00E01863"/>
    <w:rsid w:val="00E02848"/>
    <w:rsid w:val="00E03A47"/>
    <w:rsid w:val="00E04A38"/>
    <w:rsid w:val="00E076C9"/>
    <w:rsid w:val="00E157B4"/>
    <w:rsid w:val="00E16316"/>
    <w:rsid w:val="00E20BD7"/>
    <w:rsid w:val="00E25A99"/>
    <w:rsid w:val="00E25D17"/>
    <w:rsid w:val="00E26E5A"/>
    <w:rsid w:val="00E27ACA"/>
    <w:rsid w:val="00E316B7"/>
    <w:rsid w:val="00E32911"/>
    <w:rsid w:val="00E32BA0"/>
    <w:rsid w:val="00E335DE"/>
    <w:rsid w:val="00E341E0"/>
    <w:rsid w:val="00E37837"/>
    <w:rsid w:val="00E44201"/>
    <w:rsid w:val="00E44EC0"/>
    <w:rsid w:val="00E453AC"/>
    <w:rsid w:val="00E45B98"/>
    <w:rsid w:val="00E46A1D"/>
    <w:rsid w:val="00E517E4"/>
    <w:rsid w:val="00E6089A"/>
    <w:rsid w:val="00E6584F"/>
    <w:rsid w:val="00E66448"/>
    <w:rsid w:val="00E673DE"/>
    <w:rsid w:val="00E73C16"/>
    <w:rsid w:val="00E746A1"/>
    <w:rsid w:val="00E8285F"/>
    <w:rsid w:val="00E857BD"/>
    <w:rsid w:val="00E909EB"/>
    <w:rsid w:val="00E910A7"/>
    <w:rsid w:val="00E91FB0"/>
    <w:rsid w:val="00E973D3"/>
    <w:rsid w:val="00EA06BC"/>
    <w:rsid w:val="00EA3413"/>
    <w:rsid w:val="00EA3933"/>
    <w:rsid w:val="00EA4E33"/>
    <w:rsid w:val="00EA4F65"/>
    <w:rsid w:val="00EB2B2F"/>
    <w:rsid w:val="00EB311F"/>
    <w:rsid w:val="00EB3385"/>
    <w:rsid w:val="00EB3702"/>
    <w:rsid w:val="00EB679F"/>
    <w:rsid w:val="00EB6DE4"/>
    <w:rsid w:val="00EC03F2"/>
    <w:rsid w:val="00EC1C52"/>
    <w:rsid w:val="00EC3176"/>
    <w:rsid w:val="00EC4EBB"/>
    <w:rsid w:val="00EC526A"/>
    <w:rsid w:val="00EC55B0"/>
    <w:rsid w:val="00ED6883"/>
    <w:rsid w:val="00EE1252"/>
    <w:rsid w:val="00EE1E8F"/>
    <w:rsid w:val="00EE1FE2"/>
    <w:rsid w:val="00EE5DEF"/>
    <w:rsid w:val="00EE7820"/>
    <w:rsid w:val="00EF00DF"/>
    <w:rsid w:val="00EF1C63"/>
    <w:rsid w:val="00EF1D5B"/>
    <w:rsid w:val="00EF339D"/>
    <w:rsid w:val="00EF6AF6"/>
    <w:rsid w:val="00EF718A"/>
    <w:rsid w:val="00F01192"/>
    <w:rsid w:val="00F0198D"/>
    <w:rsid w:val="00F03BEA"/>
    <w:rsid w:val="00F05BA7"/>
    <w:rsid w:val="00F06033"/>
    <w:rsid w:val="00F06C03"/>
    <w:rsid w:val="00F1286E"/>
    <w:rsid w:val="00F14FA0"/>
    <w:rsid w:val="00F22980"/>
    <w:rsid w:val="00F2452A"/>
    <w:rsid w:val="00F24859"/>
    <w:rsid w:val="00F259B1"/>
    <w:rsid w:val="00F25F79"/>
    <w:rsid w:val="00F273C6"/>
    <w:rsid w:val="00F277E6"/>
    <w:rsid w:val="00F27FDB"/>
    <w:rsid w:val="00F3022B"/>
    <w:rsid w:val="00F30C88"/>
    <w:rsid w:val="00F32962"/>
    <w:rsid w:val="00F32E78"/>
    <w:rsid w:val="00F3353F"/>
    <w:rsid w:val="00F35A64"/>
    <w:rsid w:val="00F35E58"/>
    <w:rsid w:val="00F4170E"/>
    <w:rsid w:val="00F41955"/>
    <w:rsid w:val="00F42389"/>
    <w:rsid w:val="00F43D0C"/>
    <w:rsid w:val="00F4524B"/>
    <w:rsid w:val="00F459DA"/>
    <w:rsid w:val="00F461CA"/>
    <w:rsid w:val="00F5443E"/>
    <w:rsid w:val="00F54B95"/>
    <w:rsid w:val="00F55CBD"/>
    <w:rsid w:val="00F56205"/>
    <w:rsid w:val="00F56304"/>
    <w:rsid w:val="00F60E2A"/>
    <w:rsid w:val="00F65812"/>
    <w:rsid w:val="00F65E56"/>
    <w:rsid w:val="00F7244B"/>
    <w:rsid w:val="00F73C7E"/>
    <w:rsid w:val="00F757CA"/>
    <w:rsid w:val="00F77026"/>
    <w:rsid w:val="00F80BE0"/>
    <w:rsid w:val="00F81B0B"/>
    <w:rsid w:val="00F869B3"/>
    <w:rsid w:val="00F96FD3"/>
    <w:rsid w:val="00FA12F3"/>
    <w:rsid w:val="00FA249B"/>
    <w:rsid w:val="00FA65B3"/>
    <w:rsid w:val="00FA6731"/>
    <w:rsid w:val="00FB0748"/>
    <w:rsid w:val="00FB1407"/>
    <w:rsid w:val="00FB1454"/>
    <w:rsid w:val="00FB5CBC"/>
    <w:rsid w:val="00FC3356"/>
    <w:rsid w:val="00FC74F2"/>
    <w:rsid w:val="00FD0EC4"/>
    <w:rsid w:val="00FD268F"/>
    <w:rsid w:val="00FD6312"/>
    <w:rsid w:val="00FD6E7C"/>
    <w:rsid w:val="00FD7684"/>
    <w:rsid w:val="00FE27EB"/>
    <w:rsid w:val="00FE4247"/>
    <w:rsid w:val="00FE426A"/>
    <w:rsid w:val="00FE642D"/>
    <w:rsid w:val="00FE68F4"/>
    <w:rsid w:val="00FF0228"/>
    <w:rsid w:val="00FF087F"/>
    <w:rsid w:val="00FF3FBE"/>
    <w:rsid w:val="00FF5759"/>
    <w:rsid w:val="00FF5EF8"/>
    <w:rsid w:val="00FF75DB"/>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1786"/>
  <w15:chartTrackingRefBased/>
  <w15:docId w15:val="{F40031A3-21E6-4B69-99D0-26D0297D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510D278-4086-4F4A-9C5A-D9078CBC9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18698</TotalTime>
  <Pages>23</Pages>
  <Words>6225</Words>
  <Characters>34861</Characters>
  <Application>Microsoft Office Word</Application>
  <DocSecurity>0</DocSecurity>
  <Lines>441</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2</cp:revision>
  <dcterms:created xsi:type="dcterms:W3CDTF">2018-05-10T18:12:00Z</dcterms:created>
  <dcterms:modified xsi:type="dcterms:W3CDTF">2018-06-05T02:21:00Z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id="AIDupX2K"/&gt;&lt;style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 name="delayCitationUpdates" value="true"/&gt;&lt;/prefs&gt;&lt;/data&gt;</vt:lpwstr>
  </property>
</Properties>
</file>