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5B7F631" w:rsidR="00B9631D" w:rsidRPr="00B9631D" w:rsidRDefault="00B9631D" w:rsidP="00B9631D">
      <w:pPr>
        <w:keepNext/>
        <w:keepLines/>
        <w:spacing w:before="240"/>
        <w:ind w:firstLine="0"/>
        <w:jc w:val="center"/>
        <w:outlineLvl w:val="0"/>
        <w:rPr>
          <w:rFonts w:eastAsiaTheme="majorEastAsia" w:cstheme="majorBidi"/>
          <w:b/>
          <w:smallCaps/>
          <w:szCs w:val="32"/>
        </w:rPr>
      </w:pPr>
      <w:bookmarkStart w:id="0" w:name="_Toc508040699"/>
      <w:r w:rsidRPr="00B9631D">
        <w:rPr>
          <w:rFonts w:eastAsiaTheme="majorEastAsia" w:cstheme="majorBidi"/>
          <w:b/>
          <w:smallCaps/>
          <w:szCs w:val="32"/>
        </w:rPr>
        <w:t xml:space="preserve">Capítulo I. El concepto del perdón </w:t>
      </w:r>
      <w:r w:rsidR="008B7B56">
        <w:rPr>
          <w:rFonts w:eastAsiaTheme="majorEastAsia" w:cstheme="majorBidi"/>
          <w:b/>
          <w:smallCaps/>
          <w:szCs w:val="32"/>
        </w:rPr>
        <w:t xml:space="preserve">real </w:t>
      </w:r>
      <w:bookmarkEnd w:id="0"/>
      <w:r w:rsidR="008B7B56">
        <w:rPr>
          <w:rFonts w:eastAsiaTheme="majorEastAsia" w:cstheme="majorBidi"/>
          <w:b/>
          <w:smallCaps/>
          <w:szCs w:val="32"/>
        </w:rPr>
        <w:t>en la tradición jurídic</w:t>
      </w:r>
      <w:r w:rsidR="00AD04AD">
        <w:rPr>
          <w:rFonts w:eastAsiaTheme="majorEastAsia" w:cstheme="majorBidi"/>
          <w:b/>
          <w:smallCaps/>
          <w:szCs w:val="32"/>
        </w:rPr>
        <w:t>o-política</w:t>
      </w:r>
      <w:r w:rsidR="008B7B56">
        <w:rPr>
          <w:rFonts w:eastAsiaTheme="majorEastAsia" w:cstheme="majorBidi"/>
          <w:b/>
          <w:smallCaps/>
          <w:szCs w:val="32"/>
        </w:rPr>
        <w:t xml:space="preserve"> </w:t>
      </w:r>
      <w:r w:rsidR="008E1FFC">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w:t>
      </w:r>
      <w:proofErr w:type="spellStart"/>
      <w:r w:rsidR="00AB3F05" w:rsidRPr="009705FF">
        <w:rPr>
          <w:rFonts w:eastAsia="Calibri" w:cs="Times New Roman"/>
          <w:iCs/>
        </w:rPr>
        <w:t>perdon</w:t>
      </w:r>
      <w:proofErr w:type="spellEnd"/>
      <w:r w:rsidR="00AB3F05" w:rsidRPr="009705FF">
        <w:rPr>
          <w:rFonts w:eastAsia="Calibri" w:cs="Times New Roman"/>
          <w:iCs/>
        </w:rPr>
        <w:t xml:space="preserve"> </w:t>
      </w:r>
      <w:proofErr w:type="spellStart"/>
      <w:r w:rsidR="00AB3F05" w:rsidRPr="009705FF">
        <w:rPr>
          <w:rFonts w:eastAsia="Calibri" w:cs="Times New Roman"/>
          <w:iCs/>
        </w:rPr>
        <w:lastRenderedPageBreak/>
        <w:t>avia</w:t>
      </w:r>
      <w:proofErr w:type="spellEnd"/>
      <w:r w:rsidR="00AB3F05" w:rsidRPr="009705FF">
        <w:rPr>
          <w:rFonts w:eastAsia="Calibri" w:cs="Times New Roman"/>
          <w:iCs/>
        </w:rPr>
        <w:t xml:space="preserve"> de salir este </w:t>
      </w:r>
      <w:proofErr w:type="spellStart"/>
      <w:r w:rsidR="00AB3F05" w:rsidRPr="009705FF">
        <w:rPr>
          <w:rFonts w:eastAsia="Calibri" w:cs="Times New Roman"/>
          <w:iCs/>
        </w:rPr>
        <w:t>cavildo</w:t>
      </w:r>
      <w:proofErr w:type="spellEnd"/>
      <w:r w:rsidR="00AB3F05" w:rsidRPr="009705FF">
        <w:rPr>
          <w:rFonts w:eastAsia="Calibri" w:cs="Times New Roman"/>
          <w:iCs/>
        </w:rPr>
        <w:t xml:space="preserve"> procesionalmente con el </w:t>
      </w:r>
      <w:proofErr w:type="spellStart"/>
      <w:r w:rsidR="00AB3F05" w:rsidRPr="009705FF">
        <w:rPr>
          <w:rFonts w:eastAsia="Calibri" w:cs="Times New Roman"/>
          <w:iCs/>
        </w:rPr>
        <w:t>santisimo</w:t>
      </w:r>
      <w:proofErr w:type="spellEnd"/>
      <w:r w:rsidR="00AB3F05" w:rsidRPr="009705FF">
        <w:rPr>
          <w:rFonts w:eastAsia="Calibri" w:cs="Times New Roman"/>
          <w:iCs/>
        </w:rPr>
        <w:t xml:space="preserve"> sacramento y asistencia del 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w:t>
      </w:r>
      <w:proofErr w:type="spellStart"/>
      <w:r w:rsidR="00AB3F05" w:rsidRPr="009705FF">
        <w:rPr>
          <w:rFonts w:eastAsia="Calibri" w:cs="Times New Roman"/>
          <w:iCs/>
        </w:rPr>
        <w:t>hallava</w:t>
      </w:r>
      <w:proofErr w:type="spellEnd"/>
      <w:r w:rsidR="00AB3F05" w:rsidRPr="009705FF">
        <w:rPr>
          <w:rFonts w:eastAsia="Calibri" w:cs="Times New Roman"/>
          <w:iCs/>
        </w:rPr>
        <w:t xml:space="preserve">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6DD466CF"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Sin embargo, esta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sería necesario el perdón de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proofErr w:type="gramStart"/>
      <w:r w:rsidR="00E44EC0">
        <w:rPr>
          <w:rFonts w:eastAsia="Calibri" w:cs="Times New Roman"/>
          <w:iCs/>
        </w:rPr>
        <w:t>sin</w:t>
      </w:r>
      <w:proofErr w:type="gramEnd"/>
      <w:r w:rsidR="00E44EC0">
        <w:rPr>
          <w:rFonts w:eastAsia="Calibri" w:cs="Times New Roman"/>
          <w:iCs/>
        </w:rPr>
        <w:t xml:space="preserve"> embargo, el mismo monarca </w:t>
      </w:r>
      <w:r w:rsidR="00F81B0B">
        <w:rPr>
          <w:rFonts w:eastAsia="Calibri" w:cs="Times New Roman"/>
          <w:iCs/>
        </w:rPr>
        <w:t>aclaro a Eslava que la no ratificación no implicaba propender por el castigo inmediato de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E44EC0">
        <w:rPr>
          <w:rFonts w:eastAsia="Calibri" w:cs="Times New Roman"/>
          <w:iCs/>
        </w:rPr>
        <w:t xml:space="preserve"> </w:t>
      </w:r>
      <w:r w:rsidR="00F81B0B">
        <w:rPr>
          <w:rFonts w:eastAsia="Calibri" w:cs="Times New Roman"/>
          <w:iCs/>
        </w:rPr>
        <w:t>sino a vigilar los díscolos para proceder con rigor</w:t>
      </w:r>
      <w:r w:rsidR="00BA35EF">
        <w:rPr>
          <w:rFonts w:eastAsia="Calibri" w:cs="Times New Roman"/>
          <w:iCs/>
        </w:rPr>
        <w:t>,</w:t>
      </w:r>
      <w:r w:rsidR="00F81B0B">
        <w:rPr>
          <w:rFonts w:eastAsia="Calibri" w:cs="Times New Roman"/>
          <w:iCs/>
        </w:rPr>
        <w:t xml:space="preserve"> antes que se originase una nueva sublevación. </w:t>
      </w:r>
      <w:r w:rsidR="00E44EC0">
        <w:rPr>
          <w:rFonts w:eastAsia="Calibri" w:cs="Times New Roman"/>
          <w:iCs/>
        </w:rPr>
        <w:t>¿</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7FB98268" w:rsidR="00F0198D" w:rsidRDefault="006D2579" w:rsidP="00AB263E">
      <w:r>
        <w:lastRenderedPageBreak/>
        <w:t>Consideramos que interpretar el perdón en el antiguo régimen implica abordarlo desde la lógica de la época, esto es, como una conjunción de acciones de gracia regia y de un 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de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6F95B9CE"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con lo cual se mostraba los esponsales simbólicos que daban sentido a la monarquía que reconciliara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estos vicarios de él 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784C0B17"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 Más que un conocimiento de los “códigos de la élite”, acciones como las ejecutadas por los sublevados de Cartagena </w:t>
      </w:r>
      <w:r w:rsidR="00D0522D">
        <w:t>fueron</w:t>
      </w:r>
      <w:r w:rsidR="00BF7F72">
        <w:t xml:space="preserve"> 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2"/>
      </w:r>
    </w:p>
    <w:p w14:paraId="4C327C6F" w14:textId="3B731495" w:rsidR="00B63CB5" w:rsidRPr="009600DC" w:rsidRDefault="002402EF" w:rsidP="00F42389">
      <w:r>
        <w:t>Este capítulo estará dedicado a la revisión de los patrones discursivos, simbólicos y doctrinales que construyeron el sentido del indulto desde la Baja Edad Media, 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3"/>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4"/>
      </w:r>
      <w:r w:rsidR="00F42389">
        <w:t xml:space="preserve"> por lo tanto, es en la lógica compleja que justificaba divina y terrenalmente el perdón que se encuentra este enlace entre la autoridad y la clemencia</w:t>
      </w:r>
      <w:r w:rsidR="002974D2">
        <w:t xml:space="preserve"> que posteriormente puede verse manifestado en las peticiones y concesiones de indulto durante el siglo XVIII del Nuevo Reino de Granada.</w:t>
      </w:r>
    </w:p>
    <w:p w14:paraId="54BC4733" w14:textId="77777777" w:rsidR="00AE3608" w:rsidRDefault="00AE3608" w:rsidP="00A51D3A"/>
    <w:p w14:paraId="1C4B73FB" w14:textId="4B59627F" w:rsidR="0024383C" w:rsidRDefault="00D10FC2" w:rsidP="002451A7">
      <w:pPr>
        <w:pStyle w:val="Ttulo2"/>
        <w:numPr>
          <w:ilvl w:val="1"/>
          <w:numId w:val="20"/>
        </w:numPr>
      </w:pPr>
      <w:r>
        <w:t xml:space="preserve"> </w:t>
      </w:r>
      <w:r w:rsidR="00F35E58">
        <w:t>E</w:t>
      </w:r>
      <w:r>
        <w:t xml:space="preserve">l perdón </w:t>
      </w:r>
      <w:r w:rsidR="0024383C">
        <w:t>desde la perspectiva de</w:t>
      </w:r>
      <w:r w:rsidR="00F35E58">
        <w:t xml:space="preserve"> </w:t>
      </w:r>
      <w:r w:rsidR="007F24F4">
        <w:t xml:space="preserve">la cultura </w:t>
      </w:r>
      <w:r w:rsidR="002451A7">
        <w:t>jurisdiccional</w:t>
      </w:r>
    </w:p>
    <w:p w14:paraId="15AD3170" w14:textId="77777777" w:rsidR="0024383C" w:rsidRDefault="0024383C" w:rsidP="007F24F4"/>
    <w:p w14:paraId="1578C847" w14:textId="340A2657" w:rsidR="004B5675" w:rsidRDefault="00F05BA7" w:rsidP="000A1CF6">
      <w:r>
        <w:t>Desde hace varios años la historia del derecho,</w:t>
      </w:r>
      <w:r w:rsidR="002451A7">
        <w:t xml:space="preserve"> paralelamente a </w:t>
      </w:r>
      <w:r>
        <w:t xml:space="preserve">la historia política, </w:t>
      </w:r>
      <w:r w:rsidR="002451A7">
        <w:t xml:space="preserve">coinciden en concebir el poder político de antiguo régimen como </w:t>
      </w:r>
      <w:r w:rsidR="009E76D2">
        <w:t>sometido y limitado por el derecho, entendido éste en su dimensión más amplia como la expresión de un orden natural que se revelaba a los hombres a través de la tradición. Lo jur</w:t>
      </w:r>
      <w:r w:rsidR="00A44824">
        <w:t xml:space="preserve">ídico en este contexto se componía de una jerarquía de órdenes normativos representados por diferentes tipos de derechos: divino, natural, de gentes, positivo, canónico, eclesiástico, entre otros. </w:t>
      </w:r>
      <w:r w:rsidR="006A672D">
        <w:t xml:space="preserve">En este ámbito cultural, el poder político se </w:t>
      </w:r>
      <w:r w:rsidR="00500348">
        <w:t xml:space="preserve">expresaba por la facultad de una autoridad para “declarar” el derecho, es decir, la potestad para establecer normas o administrar justicia en el ámbito de su competencia. </w:t>
      </w:r>
      <w:r w:rsidR="002A4B7D">
        <w:t xml:space="preserve">Hablar de derecho en el antiguo régimen no trata entonces solamente de leyes y procesos, todo acto de gobierno que pretendiera garantizar el orden natural, tradicional y católico, podía considerarse como </w:t>
      </w:r>
      <w:proofErr w:type="spellStart"/>
      <w:r w:rsidR="002A4B7D">
        <w:rPr>
          <w:i/>
        </w:rPr>
        <w:t>iurisdictio</w:t>
      </w:r>
      <w:proofErr w:type="spellEnd"/>
      <w:r w:rsidR="002A4B7D">
        <w:t>, es decir, la potestad de “decir el derecho.”</w:t>
      </w:r>
      <w:bookmarkStart w:id="1" w:name="_Ref514281780"/>
      <w:r w:rsidR="004E398A">
        <w:rPr>
          <w:rStyle w:val="Refdenotaalpie"/>
        </w:rPr>
        <w:footnoteReference w:id="15"/>
      </w:r>
      <w:bookmarkEnd w:id="1"/>
      <w:r w:rsidR="00C12C3F">
        <w:t xml:space="preserve"> La formulación general de la idea de cultura jurisdiccional (también nominada como orden normativo o jurídico) ha sido tratada en un buen número de trabajos, en particular por Carlos Garriga, quien ha contribuido a resaltar los aspectos generales de este ordenamiento</w:t>
      </w:r>
      <w:r w:rsidR="00301BE4">
        <w:rPr>
          <w:rStyle w:val="Refdenotaalpie"/>
        </w:rPr>
        <w:footnoteReference w:id="16"/>
      </w:r>
      <w:r w:rsidR="00C12C3F">
        <w:t>; por lo cual este trabajo se enfocará en aquellas características que remiten al ejercicio de la clemencia y el perdón en el ordenamiento j</w:t>
      </w:r>
      <w:r w:rsidR="000A1CF6">
        <w:t>urídico-político iberoamericano.</w:t>
      </w:r>
    </w:p>
    <w:p w14:paraId="291F3344" w14:textId="77777777" w:rsidR="006B6B52" w:rsidRPr="000A1CF6" w:rsidRDefault="006B6B52" w:rsidP="006B6B52">
      <w:pPr>
        <w:ind w:firstLine="0"/>
        <w:rPr>
          <w:rFonts w:eastAsiaTheme="majorEastAsia" w:cstheme="majorBidi"/>
          <w:b/>
          <w:szCs w:val="24"/>
          <w:lang w:eastAsia="es-ES"/>
        </w:rPr>
      </w:pPr>
    </w:p>
    <w:p w14:paraId="68123670" w14:textId="5D85B82A" w:rsidR="00B65C1E" w:rsidRDefault="006B6B52" w:rsidP="00507B87">
      <w:pPr>
        <w:pStyle w:val="Prrafodelista"/>
        <w:numPr>
          <w:ilvl w:val="0"/>
          <w:numId w:val="22"/>
        </w:numPr>
        <w:rPr>
          <w:rFonts w:eastAsiaTheme="majorEastAsia" w:cstheme="majorBidi"/>
          <w:b/>
        </w:rPr>
      </w:pPr>
      <w:r>
        <w:rPr>
          <w:rFonts w:eastAsiaTheme="majorEastAsia" w:cstheme="majorBidi"/>
          <w:b/>
        </w:rPr>
        <w:t>Preeminencia del orden teológico-religioso</w:t>
      </w:r>
    </w:p>
    <w:p w14:paraId="7E03E21F" w14:textId="1B44F134" w:rsidR="00B77B75" w:rsidRPr="009577FC" w:rsidRDefault="00A37ED6" w:rsidP="00507B87">
      <w:r>
        <w:t xml:space="preserve">Cuando nos referimos a la preeminencia de un orden teológico-religioso apelamos </w:t>
      </w:r>
      <w:r w:rsidR="00F2452A">
        <w:t xml:space="preserve">a la concepción de una justicia como expresión de la voluntad divina, declaración del orden eterno e </w:t>
      </w:r>
      <w:r w:rsidR="00005E55">
        <w:t>inmutable</w:t>
      </w:r>
      <w:r w:rsidR="00F2452A">
        <w:t xml:space="preserve"> dado desde la creación, y a</w:t>
      </w:r>
      <w:r w:rsidR="00743A8C">
        <w:t xml:space="preserve"> la dialéctica </w:t>
      </w:r>
      <w:r w:rsidR="00F2452A">
        <w:t xml:space="preserve">del fuero </w:t>
      </w:r>
      <w:r w:rsidR="00453281">
        <w:t xml:space="preserve">interno </w:t>
      </w:r>
      <w:r w:rsidR="00743A8C">
        <w:t>y externo, entendido como lugar</w:t>
      </w:r>
      <w:r w:rsidR="00F2452A">
        <w:t xml:space="preserve"> tanto físico como simbólico en el cual se </w:t>
      </w:r>
      <w:r w:rsidR="006B20EE">
        <w:t>ejercía</w:t>
      </w:r>
      <w:r w:rsidR="00F2452A">
        <w:t xml:space="preserve"> la justicia como juicio.</w:t>
      </w:r>
      <w:r w:rsidR="00F2452A">
        <w:rPr>
          <w:rStyle w:val="Refdenotaalpie"/>
        </w:rPr>
        <w:footnoteReference w:id="17"/>
      </w:r>
      <w:r w:rsidR="006A7CFF">
        <w:t xml:space="preserve"> </w:t>
      </w:r>
      <w:r w:rsidR="008A2727">
        <w:t xml:space="preserve">Este orden daba sentido tanto a la comunidad cristiana, al poder monárquico, a los </w:t>
      </w:r>
      <w:r w:rsidR="000D77E0">
        <w:t>poderes</w:t>
      </w:r>
      <w:r w:rsidR="00005E55">
        <w:t xml:space="preserve"> e incluso a</w:t>
      </w:r>
      <w:r w:rsidR="00E6584F">
        <w:t xml:space="preserve"> los gentiles; el derecho, era la forma como dicho orden se develaba, como se entendía su funcionamiento. </w:t>
      </w:r>
      <w:r w:rsidR="009577FC" w:rsidRPr="00A528CE">
        <w:rPr>
          <w:highlight w:val="yellow"/>
        </w:rPr>
        <w:t>Los derechos natural y divino comprendían el orden jurídico-moral entregado directamente por Dios a los hombres, no sujeto a arbitrio individual y colectivo; de allí se desprendían los demás derechos, de gentes (construido por lo hombres para su convivencia), canónico (creado para la comunidad cristiana), eclesiástico, civil, municipal, señorial, entre otros</w:t>
      </w:r>
      <w:r w:rsidR="00EE7820" w:rsidRPr="00A528CE">
        <w:rPr>
          <w:rStyle w:val="Refdenotaalpie"/>
          <w:highlight w:val="yellow"/>
        </w:rPr>
        <w:footnoteReference w:id="18"/>
      </w:r>
      <w:r w:rsidR="009577FC" w:rsidRPr="00A528CE">
        <w:rPr>
          <w:highlight w:val="yellow"/>
        </w:rPr>
        <w:t>.</w:t>
      </w:r>
      <w:r w:rsidR="009577FC">
        <w:t xml:space="preserve"> Toda normatividad, en este sentido, era una interpretación sabia del orden en su estado simple (</w:t>
      </w:r>
      <w:r w:rsidR="009577FC">
        <w:rPr>
          <w:i/>
        </w:rPr>
        <w:t>ruda equidad</w:t>
      </w:r>
      <w:r w:rsidR="009577FC">
        <w:t>), que no era otra cosa que la “naturaleza”</w:t>
      </w:r>
      <w:r w:rsidR="00BB22D0">
        <w:t xml:space="preserve"> de las cosa</w:t>
      </w:r>
      <w:r w:rsidR="0024234E">
        <w:t>s</w:t>
      </w:r>
      <w:r w:rsidR="00BB22D0">
        <w:t>; por lo cual,</w:t>
      </w:r>
      <w:r w:rsidR="009577FC">
        <w:t xml:space="preserve"> </w:t>
      </w:r>
      <w:r w:rsidR="00D80C09">
        <w:t xml:space="preserve">se comprendía que </w:t>
      </w:r>
      <w:r w:rsidR="009577FC">
        <w:t xml:space="preserve">el derecho tenía </w:t>
      </w:r>
      <w:r w:rsidR="00D80C09">
        <w:t>“</w:t>
      </w:r>
      <w:proofErr w:type="spellStart"/>
      <w:r w:rsidR="009577FC" w:rsidRPr="00D80C09">
        <w:t>onticidad</w:t>
      </w:r>
      <w:proofErr w:type="spellEnd"/>
      <w:r w:rsidR="00D80C09">
        <w:t>”</w:t>
      </w:r>
      <w:r w:rsidR="00EC1C52">
        <w:t xml:space="preserve"> y no era el resultado de la mera inventiva del legislador</w:t>
      </w:r>
      <w:r w:rsidR="009577FC">
        <w:t>.</w:t>
      </w:r>
      <w:r w:rsidR="009577FC">
        <w:rPr>
          <w:rStyle w:val="Refdenotaalpie"/>
        </w:rPr>
        <w:footnoteReference w:id="19"/>
      </w:r>
    </w:p>
    <w:p w14:paraId="46650C21" w14:textId="77777777" w:rsidR="000A1CF6" w:rsidRDefault="000A1CF6" w:rsidP="00507B87"/>
    <w:p w14:paraId="50C90F27" w14:textId="5592B74D" w:rsidR="00FD6312" w:rsidRDefault="006E24E4" w:rsidP="00507B87">
      <w:r>
        <w:t xml:space="preserve">La primacía de la divinidad </w:t>
      </w:r>
      <w:r w:rsidRPr="00912BF7">
        <w:rPr>
          <w:highlight w:val="yellow"/>
        </w:rPr>
        <w:t>se dejaba explícita</w:t>
      </w:r>
      <w:r>
        <w:t xml:space="preserve"> en la mayoría de obras doctrinales y legislativas (aún la constitución vigente colombiana declara a Dios como su protector). La más editada obra del orbe indiano</w:t>
      </w:r>
      <w:r w:rsidR="006409A3">
        <w:rPr>
          <w:rStyle w:val="Refdenotaalpie"/>
        </w:rPr>
        <w:footnoteReference w:id="20"/>
      </w:r>
      <w:r>
        <w:t xml:space="preserve">, la </w:t>
      </w:r>
      <w:r>
        <w:rPr>
          <w:i/>
        </w:rPr>
        <w:t xml:space="preserve">Curia </w:t>
      </w:r>
      <w:proofErr w:type="spellStart"/>
      <w:r>
        <w:rPr>
          <w:i/>
        </w:rPr>
        <w:t>Philipica</w:t>
      </w:r>
      <w:proofErr w:type="spellEnd"/>
      <w:r>
        <w:t xml:space="preserve"> de Hevia Bolaños, iniciaba su tratado diciendo:</w:t>
      </w:r>
    </w:p>
    <w:p w14:paraId="23F59A90" w14:textId="3AF5AB54" w:rsidR="006E24E4" w:rsidRPr="006E24E4" w:rsidRDefault="006E24E4" w:rsidP="006E24E4">
      <w:pPr>
        <w:pStyle w:val="Cita"/>
      </w:pPr>
      <w:r>
        <w:t xml:space="preserve">Dios nuestro Señor es principio, medio y fin de todas las cosas, sin el </w:t>
      </w:r>
      <w:proofErr w:type="spellStart"/>
      <w:r>
        <w:t>qual</w:t>
      </w:r>
      <w:proofErr w:type="spellEnd"/>
      <w:r>
        <w:t xml:space="preserve"> ninguna puede ser hecha. Y así el que alguna hubiere de hacer, primero debe invocar su Santo Nombre (como le invoco) según lo hizo, y ordena el sapientísimo Rey Don Alonso el Nono, en el principio del Prólogo de sus célebre, y famosas leyes de las siete Partidas.</w:t>
      </w:r>
      <w:r>
        <w:rPr>
          <w:rStyle w:val="Refdenotaalpie"/>
        </w:rPr>
        <w:footnoteReference w:id="21"/>
      </w:r>
    </w:p>
    <w:p w14:paraId="786B8B39" w14:textId="77777777" w:rsidR="00FD6312" w:rsidRDefault="00FD6312" w:rsidP="00507B87"/>
    <w:p w14:paraId="7BBFB11F" w14:textId="77777777" w:rsidR="006E24E4" w:rsidRPr="00FD6312" w:rsidRDefault="006E24E4" w:rsidP="00507B87"/>
    <w:p w14:paraId="6DF70A82" w14:textId="1528F45D" w:rsidR="00507B87" w:rsidRPr="00507B87" w:rsidRDefault="00507B87" w:rsidP="00507B87">
      <w:r w:rsidRPr="00507B87">
        <w:rPr>
          <w:highlight w:val="yellow"/>
        </w:rPr>
        <w:t xml:space="preserve">Solórzano Pereira decía respecto a si era justo la posesión española de las indias: “si Dios es dueño de todo, está en todo, y lo </w:t>
      </w:r>
      <w:proofErr w:type="spellStart"/>
      <w:r w:rsidRPr="00507B87">
        <w:rPr>
          <w:highlight w:val="yellow"/>
        </w:rPr>
        <w:t>govierna</w:t>
      </w:r>
      <w:proofErr w:type="spellEnd"/>
      <w:r w:rsidRPr="00507B87">
        <w:rPr>
          <w:highlight w:val="yellow"/>
        </w:rPr>
        <w:t xml:space="preserve"> todo, como es de </w:t>
      </w:r>
      <w:proofErr w:type="spellStart"/>
      <w:r w:rsidRPr="00507B87">
        <w:rPr>
          <w:highlight w:val="yellow"/>
        </w:rPr>
        <w:t>Fé</w:t>
      </w:r>
      <w:proofErr w:type="spellEnd"/>
      <w:r w:rsidRPr="00507B87">
        <w:rPr>
          <w:highlight w:val="yellow"/>
        </w:rPr>
        <w:t xml:space="preserve"> […] ninguna cosa hay </w:t>
      </w:r>
      <w:proofErr w:type="spellStart"/>
      <w:r w:rsidRPr="00507B87">
        <w:rPr>
          <w:highlight w:val="yellow"/>
        </w:rPr>
        <w:t>mas</w:t>
      </w:r>
      <w:proofErr w:type="spellEnd"/>
      <w:r w:rsidRPr="00507B87">
        <w:rPr>
          <w:highlight w:val="yellow"/>
        </w:rPr>
        <w:t xml:space="preserve"> conforme </w:t>
      </w:r>
      <w:proofErr w:type="spellStart"/>
      <w:r w:rsidRPr="00507B87">
        <w:rPr>
          <w:highlight w:val="yellow"/>
        </w:rPr>
        <w:t>á</w:t>
      </w:r>
      <w:proofErr w:type="spellEnd"/>
      <w:r w:rsidRPr="00507B87">
        <w:rPr>
          <w:highlight w:val="yellow"/>
        </w:rPr>
        <w:t xml:space="preserve"> justicia, y derecho, que seguir lo que su Divina </w:t>
      </w:r>
      <w:proofErr w:type="spellStart"/>
      <w:r w:rsidRPr="00507B87">
        <w:rPr>
          <w:highlight w:val="yellow"/>
        </w:rPr>
        <w:t>Magestad</w:t>
      </w:r>
      <w:proofErr w:type="spellEnd"/>
      <w:r w:rsidRPr="00507B87">
        <w:rPr>
          <w:highlight w:val="yellow"/>
        </w:rPr>
        <w:t xml:space="preserve"> con su gran Ciencia, y Providencia ordena, y dispone.”</w:t>
      </w:r>
      <w:r w:rsidRPr="00507B87">
        <w:rPr>
          <w:rStyle w:val="Refdenotaalpie"/>
          <w:highlight w:val="yellow"/>
        </w:rPr>
        <w:footnoteReference w:id="22"/>
      </w:r>
      <w:r w:rsidR="00375EDA">
        <w:t xml:space="preserve"> </w:t>
      </w:r>
    </w:p>
    <w:p w14:paraId="4F31F4A9" w14:textId="77777777" w:rsidR="00B65C1E" w:rsidRDefault="00B65C1E" w:rsidP="00211A92">
      <w:pPr>
        <w:ind w:left="927" w:firstLine="0"/>
        <w:rPr>
          <w:rFonts w:eastAsiaTheme="majorEastAsia" w:cstheme="majorBidi"/>
        </w:rPr>
      </w:pPr>
    </w:p>
    <w:p w14:paraId="1DBF4E77" w14:textId="77777777" w:rsidR="00B65C1E" w:rsidRDefault="00B65C1E" w:rsidP="00211A92">
      <w:pPr>
        <w:ind w:left="927" w:firstLine="0"/>
        <w:rPr>
          <w:rFonts w:eastAsiaTheme="majorEastAsia" w:cstheme="majorBidi"/>
        </w:rPr>
      </w:pPr>
    </w:p>
    <w:p w14:paraId="4FC097A4" w14:textId="59DF56CF" w:rsidR="00211A92" w:rsidRDefault="00B65C1E" w:rsidP="00211A92">
      <w:pPr>
        <w:ind w:left="927" w:firstLine="0"/>
      </w:pPr>
      <w:r>
        <w:rPr>
          <w:rFonts w:eastAsiaTheme="majorEastAsia" w:cstheme="majorBidi"/>
        </w:rPr>
        <w:br/>
      </w:r>
      <w:r w:rsidR="00211A92">
        <w:t>Binomios pecado-delito, misericordia-crueldad, etc.</w:t>
      </w:r>
    </w:p>
    <w:p w14:paraId="53F1582D" w14:textId="1ADECB98" w:rsidR="00211A92" w:rsidRDefault="00211A92" w:rsidP="00211A92">
      <w:pPr>
        <w:ind w:left="927" w:firstLine="0"/>
      </w:pPr>
      <w:r>
        <w:t>Dualidad fuero interno y externo:</w:t>
      </w:r>
    </w:p>
    <w:p w14:paraId="6CD0A1DF" w14:textId="0DBCC2B2" w:rsidR="00211A92" w:rsidRDefault="00211A92" w:rsidP="00211A92">
      <w:pPr>
        <w:ind w:left="927" w:firstLine="0"/>
      </w:pPr>
      <w:r>
        <w:tab/>
        <w:t>El perdón manifestado como una constricción del fuero interno, la manifestación del deseo por liberarse del pecado o ganar indulgencias para la salvación. Desde el fuero externo, el liberarse de la pena, recuperar el favor real.</w:t>
      </w:r>
    </w:p>
    <w:p w14:paraId="05F73AEA" w14:textId="443CB756" w:rsidR="00211A92" w:rsidRDefault="00211A92" w:rsidP="006B6B52">
      <w:pPr>
        <w:pStyle w:val="Prrafodelista"/>
        <w:numPr>
          <w:ilvl w:val="0"/>
          <w:numId w:val="20"/>
        </w:numPr>
      </w:pPr>
      <w:r>
        <w:t>Orden jurídico tradicional</w:t>
      </w:r>
    </w:p>
    <w:p w14:paraId="34C07539" w14:textId="18A4991D" w:rsidR="00211A92" w:rsidRDefault="00211A92" w:rsidP="00211A92">
      <w:pPr>
        <w:ind w:left="927" w:firstLine="0"/>
      </w:pPr>
      <w:r>
        <w:t>Ordenes: derecho divino, natural y de gentes</w:t>
      </w:r>
    </w:p>
    <w:p w14:paraId="2466D921" w14:textId="35400096" w:rsidR="00211A92" w:rsidRDefault="00211A92" w:rsidP="00211A92">
      <w:pPr>
        <w:ind w:left="927" w:firstLine="0"/>
      </w:pPr>
      <w:r>
        <w:tab/>
        <w:t>El perdón ¿es derecho divino, natural, de gentes?</w:t>
      </w:r>
    </w:p>
    <w:p w14:paraId="685236BB" w14:textId="42E20742" w:rsidR="00211A92" w:rsidRDefault="00211A92" w:rsidP="006B6B52">
      <w:pPr>
        <w:pStyle w:val="Prrafodelista"/>
        <w:numPr>
          <w:ilvl w:val="0"/>
          <w:numId w:val="20"/>
        </w:numPr>
      </w:pPr>
      <w:r>
        <w:t>Orden jurídico pluralista</w:t>
      </w:r>
    </w:p>
    <w:p w14:paraId="2727F4AB" w14:textId="556CDCBF" w:rsidR="00211A92" w:rsidRDefault="00211A92" w:rsidP="00211A92">
      <w:pPr>
        <w:pStyle w:val="Prrafodelista"/>
        <w:ind w:left="927" w:firstLine="0"/>
      </w:pPr>
      <w:r>
        <w:t>Nobleza y perdón</w:t>
      </w:r>
    </w:p>
    <w:p w14:paraId="2663958C" w14:textId="6DCBC4F5" w:rsidR="00211A92" w:rsidRDefault="00211A92" w:rsidP="00211A92">
      <w:pPr>
        <w:pStyle w:val="Prrafodelista"/>
        <w:ind w:left="927" w:firstLine="0"/>
      </w:pPr>
      <w:r>
        <w:t>Condición miserable y perdón</w:t>
      </w:r>
    </w:p>
    <w:p w14:paraId="3D868C93" w14:textId="569E40CD" w:rsidR="00211A92" w:rsidRDefault="00211A92" w:rsidP="006B6B52">
      <w:pPr>
        <w:pStyle w:val="Prrafodelista"/>
        <w:numPr>
          <w:ilvl w:val="0"/>
          <w:numId w:val="20"/>
        </w:numPr>
      </w:pPr>
      <w:r>
        <w:t>Orden jurídico probabilista</w:t>
      </w:r>
    </w:p>
    <w:p w14:paraId="51EB9ACB" w14:textId="10FE0A79" w:rsidR="00211A92" w:rsidRDefault="00211A92" w:rsidP="00211A92">
      <w:pPr>
        <w:pStyle w:val="Prrafodelista"/>
        <w:ind w:left="927" w:firstLine="0"/>
      </w:pPr>
      <w:r>
        <w:t>Casuismo y clemencia.</w:t>
      </w:r>
    </w:p>
    <w:p w14:paraId="7CE4848B" w14:textId="77777777" w:rsidR="00211A92" w:rsidRDefault="00211A92" w:rsidP="00211A92"/>
    <w:p w14:paraId="29A8147C" w14:textId="0AEC0200" w:rsidR="00211A92" w:rsidRDefault="00211A92" w:rsidP="00211A92">
      <w:r>
        <w:t>PODER POLÍTICO</w:t>
      </w:r>
    </w:p>
    <w:p w14:paraId="57AC6002" w14:textId="55E093F3" w:rsidR="00211A92" w:rsidRDefault="00211A92" w:rsidP="00211A92">
      <w:proofErr w:type="spellStart"/>
      <w:r>
        <w:t>Iurisdictio</w:t>
      </w:r>
      <w:proofErr w:type="spellEnd"/>
      <w:r>
        <w:t>: Dios le entregó a la majestad real el brazo del rigor y el amor, la potestad de castigar para ser temido y la de perdonar para ser amado.</w:t>
      </w:r>
    </w:p>
    <w:p w14:paraId="1FF6B092" w14:textId="7B4B7BF2" w:rsidR="00211A92" w:rsidRDefault="00211A92" w:rsidP="00211A92">
      <w:r>
        <w:t>Con la primera gana el respeto, hace valer la potestad, con la segunda garantiza su autoridad, demuestra su magnificencia.</w:t>
      </w:r>
    </w:p>
    <w:p w14:paraId="2398B2FC" w14:textId="77777777" w:rsidR="00211A92" w:rsidRDefault="00211A92" w:rsidP="00211A92"/>
    <w:p w14:paraId="19DEE87B" w14:textId="4B10A97C" w:rsidR="00211A92" w:rsidRDefault="00211A92" w:rsidP="00211A92">
      <w:r>
        <w:t>La gracia: ejercicio del poder político: “había de servir para perfeccionar y no para destruir el orden constituido” -&gt; utilidad pública.</w:t>
      </w:r>
    </w:p>
    <w:p w14:paraId="1EC4D1E7" w14:textId="2CA58C0E" w:rsidR="00132E3A" w:rsidRDefault="00F24859" w:rsidP="00866385">
      <w:r>
        <w:t xml:space="preserve">Voluntad, controlada por la razón (sentido </w:t>
      </w:r>
      <w:r w:rsidR="006D589A">
        <w:t>permanente</w:t>
      </w:r>
      <w:r>
        <w:t xml:space="preserve"> del orden)</w:t>
      </w:r>
      <w:r w:rsidR="00866385">
        <w:t>.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rsidR="00B068AB">
        <w:t>”</w:t>
      </w:r>
      <w:r w:rsidR="00B068AB">
        <w:rPr>
          <w:rStyle w:val="Refdenotaalpie"/>
        </w:rPr>
        <w:footnoteReference w:id="23"/>
      </w:r>
    </w:p>
    <w:p w14:paraId="29CB3B5D" w14:textId="77777777" w:rsidR="00132E3A" w:rsidRDefault="00132E3A" w:rsidP="00211A92">
      <w:proofErr w:type="spellStart"/>
      <w:r>
        <w:t>Princeps</w:t>
      </w:r>
      <w:proofErr w:type="spellEnd"/>
      <w:r>
        <w:t xml:space="preserve"> diferente al tirano. El primero lo caracteriza la clemencia, al segundo la rigurosidad, el primero actúa según la prudencia (</w:t>
      </w:r>
      <w:proofErr w:type="spellStart"/>
      <w:r>
        <w:rPr>
          <w:i/>
        </w:rPr>
        <w:t>virtus</w:t>
      </w:r>
      <w:proofErr w:type="spellEnd"/>
      <w:r>
        <w:t xml:space="preserve">), el segundo según su interés, el vicio. </w:t>
      </w:r>
    </w:p>
    <w:p w14:paraId="4A91A96E" w14:textId="77777777" w:rsidR="00132E3A" w:rsidRDefault="00132E3A" w:rsidP="00211A92"/>
    <w:p w14:paraId="7EC4FB7A" w14:textId="1111962D" w:rsidR="000F5B21" w:rsidRDefault="000F5B21" w:rsidP="000F5B21">
      <w:pPr>
        <w:pStyle w:val="Ttulo3"/>
        <w:numPr>
          <w:ilvl w:val="2"/>
          <w:numId w:val="24"/>
        </w:numPr>
      </w:pPr>
      <w:r>
        <w:t>Clemencia y potestad regia</w:t>
      </w:r>
    </w:p>
    <w:p w14:paraId="748D4114" w14:textId="77777777" w:rsidR="000F5B21" w:rsidRDefault="000F5B21" w:rsidP="000F5B21">
      <w:pPr>
        <w:rPr>
          <w:lang w:val="es-ES_tradnl" w:eastAsia="es-ES"/>
        </w:rPr>
      </w:pPr>
    </w:p>
    <w:p w14:paraId="65F082AF" w14:textId="77777777" w:rsidR="000F5B21" w:rsidRDefault="000F5B21" w:rsidP="000F5B21">
      <w:pPr>
        <w:rPr>
          <w:lang w:val="es-ES_tradnl" w:eastAsia="es-ES"/>
        </w:rPr>
      </w:pPr>
      <w:r>
        <w:rPr>
          <w:lang w:val="es-ES_tradnl" w:eastAsia="es-ES"/>
        </w:rPr>
        <w:t xml:space="preserve">La clemencia era inherente al poder monárquico, caso contrario, el poder riguroso ejercido sobre los súbditos, era la tiranía. </w:t>
      </w:r>
    </w:p>
    <w:p w14:paraId="56D26E15" w14:textId="77777777" w:rsidR="000F5B21" w:rsidRPr="00832F46" w:rsidRDefault="000F5B21" w:rsidP="000F5B21">
      <w:pPr>
        <w:rPr>
          <w:lang w:val="es-ES_tradnl" w:eastAsia="es-ES"/>
        </w:rPr>
      </w:pPr>
    </w:p>
    <w:p w14:paraId="61D5F4CB" w14:textId="77777777" w:rsidR="000F5B21" w:rsidRDefault="000F5B21" w:rsidP="000F5B21">
      <w:r w:rsidRPr="00B9631D">
        <w:t xml:space="preserve">La lógica de la cultura jurisdiccional del </w:t>
      </w:r>
      <w:proofErr w:type="spellStart"/>
      <w:r w:rsidRPr="00B9631D">
        <w:rPr>
          <w:i/>
        </w:rPr>
        <w:t>ius</w:t>
      </w:r>
      <w:proofErr w:type="spellEnd"/>
      <w:r w:rsidRPr="00B9631D">
        <w:rPr>
          <w:i/>
        </w:rPr>
        <w:t xml:space="preserve"> </w:t>
      </w:r>
      <w:proofErr w:type="spellStart"/>
      <w:r w:rsidRPr="00B9631D">
        <w:rPr>
          <w:i/>
        </w:rPr>
        <w:t>commune</w:t>
      </w:r>
      <w:proofErr w:type="spellEnd"/>
      <w:r w:rsidRPr="00B9631D">
        <w:t xml:space="preserve"> indicaba que Dios era la fuente de toda </w:t>
      </w:r>
      <w:r>
        <w:t>potestad</w:t>
      </w:r>
      <w:r w:rsidRPr="002B6C75">
        <w:rPr>
          <w:rStyle w:val="Refdenotaalpie"/>
        </w:rPr>
        <w:footnoteReference w:id="24"/>
      </w:r>
      <w:r w:rsidRPr="00B9631D">
        <w:t>, por la cual se les había dado autoridad a los pontífices y príncipes para juzgar y gobernar</w:t>
      </w:r>
      <w:r w:rsidRPr="002B6C75">
        <w:rPr>
          <w:rStyle w:val="Refdenotaalpie"/>
        </w:rPr>
        <w:footnoteReference w:id="25"/>
      </w:r>
      <w:r w:rsidRPr="00B9631D">
        <w:t xml:space="preserve">. En el caso del monarca se denominaba majestad, sinónimo de </w:t>
      </w:r>
      <w:proofErr w:type="spellStart"/>
      <w:r w:rsidRPr="00B9631D">
        <w:rPr>
          <w:i/>
        </w:rPr>
        <w:t>potestas</w:t>
      </w:r>
      <w:proofErr w:type="spellEnd"/>
      <w:r w:rsidRPr="00B9631D">
        <w:t>, con la cual podía hacer uso del castigo</w:t>
      </w:r>
      <w:r w:rsidRPr="002B6C75">
        <w:rPr>
          <w:rStyle w:val="Refdenotaalpie"/>
        </w:rPr>
        <w:footnoteReference w:id="26"/>
      </w:r>
      <w:r w:rsidRPr="00B9631D">
        <w:t>, para ser temido, y de la misericordia, para ser amado</w:t>
      </w:r>
      <w:r w:rsidRPr="002B6C75">
        <w:rPr>
          <w:rStyle w:val="Refdenotaalpie"/>
        </w:rPr>
        <w:footnoteReference w:id="27"/>
      </w:r>
      <w:r w:rsidRPr="00B9631D">
        <w:t>.</w:t>
      </w:r>
      <w:r w:rsidRPr="00D976B0">
        <w:t xml:space="preserve"> </w:t>
      </w:r>
      <w:r>
        <w:t>En esta lógica, era el temor a la espada lo que hacía agradecer la clemencia, cuando el rey o sus delegados pudiendo castigar justificadamente no lo hacía estaban demostrando la grandeza del príncipe</w:t>
      </w:r>
      <w:r>
        <w:rPr>
          <w:rStyle w:val="Refdenotaalpie"/>
        </w:rPr>
        <w:footnoteReference w:id="28"/>
      </w:r>
      <w:r>
        <w:t>.</w:t>
      </w:r>
    </w:p>
    <w:p w14:paraId="681CEF6D" w14:textId="77777777" w:rsidR="000F5B21" w:rsidRPr="0083523B" w:rsidRDefault="000F5B21" w:rsidP="000F5B21"/>
    <w:p w14:paraId="391A2714" w14:textId="77777777" w:rsidR="000F5B21" w:rsidRDefault="000F5B21" w:rsidP="000F5B21">
      <w:r>
        <w:t>Por otra parte, el poder del rey no se vería disminuido por ejecutar actos de clemencia, al contrario, representaba la posibilidad de demostrar la magnificencia de la potestad regia, incomparable con ningún agente de la monarquía. Como lo señaló Michel Foucault: “El poder soberano que le ordenaba matar y mataba por medio de él no estaba presente en el verdugo ni se identificaba con su encarnizamiento. Y precisamente jamás aparecía tal poder con más esplendor que cuando interrumpía el gesto del verdugo con un mensaje de indulto.”</w:t>
      </w:r>
      <w:r>
        <w:rPr>
          <w:rStyle w:val="Refdenotaalpie"/>
        </w:rPr>
        <w:footnoteReference w:id="29"/>
      </w:r>
      <w:r>
        <w:t xml:space="preserve"> De allí la idea, tomada de Séneca y difundida vía Tomás de Aquino, según la cual perdonar consistía</w:t>
      </w:r>
      <w:r w:rsidRPr="00B9631D">
        <w:t xml:space="preserve"> en no castigar a quien merecía serlo, es decir, </w:t>
      </w:r>
      <w:r>
        <w:t>en</w:t>
      </w:r>
      <w:r w:rsidRPr="00B9631D">
        <w:t xml:space="preserve"> la remisión de un castigo que debía ser</w:t>
      </w:r>
      <w:r>
        <w:t>, en justicia,</w:t>
      </w:r>
      <w:r w:rsidRPr="00B9631D">
        <w:t xml:space="preserve"> infligido</w:t>
      </w:r>
      <w:r>
        <w:t>.</w:t>
      </w:r>
      <w:r w:rsidRPr="002B6C75">
        <w:rPr>
          <w:rStyle w:val="Refdenotaalpie"/>
        </w:rPr>
        <w:footnoteReference w:id="30"/>
      </w:r>
    </w:p>
    <w:p w14:paraId="3B59F51F" w14:textId="77777777" w:rsidR="000F5B21" w:rsidRDefault="000F5B21" w:rsidP="000F5B21"/>
    <w:p w14:paraId="051D6B59" w14:textId="77777777" w:rsidR="000F5B21" w:rsidRPr="00466C1B" w:rsidRDefault="000F5B21" w:rsidP="000F5B21"/>
    <w:p w14:paraId="54ABFAF1" w14:textId="77777777" w:rsidR="000F5B21" w:rsidRDefault="000F5B21" w:rsidP="000F5B21">
      <w:r>
        <w:t>La justicia y la misericordia se consideraba debían ir juntas en los procedimientos judiciales, como alegorizó Calderón de la Barca:</w:t>
      </w:r>
    </w:p>
    <w:p w14:paraId="64C6BF93" w14:textId="77777777" w:rsidR="000F5B21" w:rsidRDefault="000F5B21" w:rsidP="000F5B21">
      <w:pPr>
        <w:pStyle w:val="Cita"/>
      </w:pPr>
      <w:r>
        <w:t>Id, pues, con la circunstancia</w:t>
      </w:r>
    </w:p>
    <w:p w14:paraId="37B043F1" w14:textId="77777777" w:rsidR="000F5B21" w:rsidRDefault="000F5B21" w:rsidP="000F5B21">
      <w:pPr>
        <w:pStyle w:val="Cita"/>
      </w:pPr>
      <w:proofErr w:type="gramStart"/>
      <w:r>
        <w:t>de</w:t>
      </w:r>
      <w:proofErr w:type="gramEnd"/>
      <w:r>
        <w:t xml:space="preserve"> que vas, Misericordia,</w:t>
      </w:r>
    </w:p>
    <w:p w14:paraId="002B50B8" w14:textId="77777777" w:rsidR="000F5B21" w:rsidRDefault="000F5B21" w:rsidP="000F5B21">
      <w:pPr>
        <w:pStyle w:val="Cita"/>
      </w:pPr>
      <w:proofErr w:type="gramStart"/>
      <w:r>
        <w:t>de</w:t>
      </w:r>
      <w:proofErr w:type="gramEnd"/>
      <w:r>
        <w:t xml:space="preserve"> Justicia acompañada,</w:t>
      </w:r>
    </w:p>
    <w:p w14:paraId="18C43FFE" w14:textId="77777777" w:rsidR="000F5B21" w:rsidRDefault="000F5B21" w:rsidP="000F5B21">
      <w:pPr>
        <w:pStyle w:val="Cita"/>
      </w:pPr>
      <w:proofErr w:type="gramStart"/>
      <w:r>
        <w:t>para</w:t>
      </w:r>
      <w:proofErr w:type="gramEnd"/>
      <w:r>
        <w:t xml:space="preserve"> que guardes justicia; </w:t>
      </w:r>
    </w:p>
    <w:p w14:paraId="3BD7C001" w14:textId="77777777" w:rsidR="000F5B21" w:rsidRDefault="000F5B21" w:rsidP="000F5B21">
      <w:pPr>
        <w:pStyle w:val="Cita"/>
      </w:pPr>
      <w:proofErr w:type="gramStart"/>
      <w:r>
        <w:t>y</w:t>
      </w:r>
      <w:proofErr w:type="gramEnd"/>
      <w:r>
        <w:t xml:space="preserve"> tú, Justicia, repara</w:t>
      </w:r>
    </w:p>
    <w:p w14:paraId="5EEDA834" w14:textId="77777777" w:rsidR="000F5B21" w:rsidRDefault="000F5B21" w:rsidP="000F5B21">
      <w:pPr>
        <w:pStyle w:val="Cita"/>
      </w:pPr>
      <w:proofErr w:type="gramStart"/>
      <w:r>
        <w:t>en</w:t>
      </w:r>
      <w:proofErr w:type="gramEnd"/>
      <w:r>
        <w:t xml:space="preserve"> que con Misericordia</w:t>
      </w:r>
    </w:p>
    <w:p w14:paraId="5E5ACDFF" w14:textId="77777777" w:rsidR="000F5B21" w:rsidRDefault="000F5B21" w:rsidP="000F5B21">
      <w:pPr>
        <w:pStyle w:val="Cita"/>
      </w:pPr>
      <w:proofErr w:type="gramStart"/>
      <w:r>
        <w:t>vas</w:t>
      </w:r>
      <w:proofErr w:type="gramEnd"/>
      <w:r>
        <w:t xml:space="preserve"> también para guardarla;</w:t>
      </w:r>
    </w:p>
    <w:p w14:paraId="5C9D9A2F" w14:textId="77777777" w:rsidR="000F5B21" w:rsidRDefault="000F5B21" w:rsidP="000F5B21">
      <w:pPr>
        <w:pStyle w:val="Cita"/>
      </w:pPr>
      <w:proofErr w:type="gramStart"/>
      <w:r>
        <w:t>que</w:t>
      </w:r>
      <w:proofErr w:type="gramEnd"/>
      <w:r>
        <w:t xml:space="preserve"> no será acierto en una</w:t>
      </w:r>
    </w:p>
    <w:p w14:paraId="2530E228" w14:textId="77777777" w:rsidR="000F5B21" w:rsidRDefault="000F5B21" w:rsidP="000F5B21">
      <w:pPr>
        <w:pStyle w:val="Cita"/>
      </w:pPr>
      <w:proofErr w:type="gramStart"/>
      <w:r>
        <w:t>si</w:t>
      </w:r>
      <w:proofErr w:type="gramEnd"/>
      <w:r>
        <w:t xml:space="preserve"> no se da unión en ambas.</w:t>
      </w:r>
      <w:r>
        <w:rPr>
          <w:rStyle w:val="Refdenotaalpie"/>
        </w:rPr>
        <w:footnoteReference w:id="31"/>
      </w:r>
      <w:r>
        <w:t xml:space="preserve"> </w:t>
      </w:r>
    </w:p>
    <w:p w14:paraId="5F60CD47" w14:textId="77777777" w:rsidR="000F5B21" w:rsidRPr="00CE1F32" w:rsidRDefault="000F5B21" w:rsidP="000F5B21"/>
    <w:p w14:paraId="1FB01834" w14:textId="77777777" w:rsidR="000F5B21" w:rsidRDefault="000F5B21" w:rsidP="000F5B21"/>
    <w:p w14:paraId="419D3C96" w14:textId="77777777" w:rsidR="000F5B21" w:rsidRPr="00E857BD" w:rsidRDefault="000F5B21" w:rsidP="000F5B21">
      <w:pPr>
        <w:ind w:firstLine="0"/>
      </w:pPr>
    </w:p>
    <w:p w14:paraId="58B6C5D3" w14:textId="304DEE75" w:rsidR="00132E3A" w:rsidRDefault="00A80EDA" w:rsidP="00132E3A">
      <w:pPr>
        <w:pStyle w:val="Ttulo2"/>
      </w:pPr>
      <w:r>
        <w:t>1</w:t>
      </w:r>
      <w:r w:rsidR="00132E3A">
        <w:t>.2. Por una tipología de la clemencia y el perdón real</w:t>
      </w:r>
    </w:p>
    <w:p w14:paraId="47360E88" w14:textId="77777777" w:rsidR="00E37837" w:rsidRDefault="00E37837" w:rsidP="00E37837"/>
    <w:p w14:paraId="2921CA84" w14:textId="2B63C884" w:rsidR="00E37837" w:rsidRDefault="00E37837" w:rsidP="00E37837">
      <w:r>
        <w:t xml:space="preserve">¿Son indulto y perdón simples sinónimos? ¿Son gracia e indulto lo mismo? ¿Es la clemencia indulto? ¿Es la misericordia lo mismo que clemencia? ¿Qué es la prudencia? &gt;&gt; </w:t>
      </w:r>
      <w:proofErr w:type="spellStart"/>
      <w:proofErr w:type="gramStart"/>
      <w:r w:rsidRPr="00E37837">
        <w:rPr>
          <w:i/>
        </w:rPr>
        <w:t>virtus</w:t>
      </w:r>
      <w:proofErr w:type="spellEnd"/>
      <w:proofErr w:type="gramEnd"/>
      <w:r>
        <w:t xml:space="preserve"> según el derecho romano (introducción a Mariana). Liberalidad ¿es lo mismo que gracia?</w:t>
      </w:r>
    </w:p>
    <w:p w14:paraId="26CDA0FE" w14:textId="2088DB68" w:rsidR="00EF6AF6" w:rsidRDefault="00EF6AF6" w:rsidP="00E37837">
      <w:r>
        <w:t>Los grados de perdón: perdón,</w:t>
      </w:r>
      <w:r w:rsidR="00647AB3">
        <w:t xml:space="preserve"> disimulo, apartamiento, olvido.</w:t>
      </w:r>
    </w:p>
    <w:p w14:paraId="7FD8542A" w14:textId="77777777" w:rsidR="00E37837" w:rsidRPr="00E37837" w:rsidRDefault="00E37837" w:rsidP="00E37837"/>
    <w:p w14:paraId="10F069FF" w14:textId="7C092281" w:rsidR="00E37837" w:rsidRDefault="00A80EDA" w:rsidP="00132E3A">
      <w:pPr>
        <w:pStyle w:val="Ttulo2"/>
      </w:pPr>
      <w:r>
        <w:t>1</w:t>
      </w:r>
      <w:r w:rsidR="00E37837">
        <w:t>.3. Generalidades en el uso del perdón</w:t>
      </w:r>
    </w:p>
    <w:p w14:paraId="62D4B296" w14:textId="77777777" w:rsidR="00E37837" w:rsidRDefault="00E37837" w:rsidP="00E37837">
      <w:r>
        <w:t>Lo que se podía considerar como costumbre y buen actuar en el perdón. Una buena política de clemencia debería seguir los siguientes preceptos:</w:t>
      </w:r>
    </w:p>
    <w:p w14:paraId="45417B8B" w14:textId="77777777" w:rsidR="00E37837" w:rsidRDefault="00E37837" w:rsidP="00E37837">
      <w:r>
        <w:t xml:space="preserve">Promulgación: parte de la voluntad de hacer el bien, liberar de las cadenas a aquellos que sufren y no representan una amenaza para las repúblicas. </w:t>
      </w:r>
    </w:p>
    <w:p w14:paraId="19BA32CD" w14:textId="77777777" w:rsidR="00E37837" w:rsidRDefault="00E37837" w:rsidP="00E37837">
      <w:r>
        <w:t>Delitos exceptuados: ciertos delitos son exceptuados, basándose en el sentido de ser tan aberrantes que no podrían estar incluidos en la clemencia sin representar un daño al orden de la república.</w:t>
      </w:r>
    </w:p>
    <w:p w14:paraId="72CA7A23" w14:textId="77777777" w:rsidR="00E37837" w:rsidRDefault="00E37837" w:rsidP="00E37837">
      <w:r>
        <w:t>Clasificación de los indultos: generales, particulares, etc.</w:t>
      </w:r>
    </w:p>
    <w:p w14:paraId="457C60A4" w14:textId="5CBC848D" w:rsidR="00F24859" w:rsidRDefault="00F24859" w:rsidP="00E37837">
      <w:r>
        <w:t xml:space="preserve"> </w:t>
      </w:r>
    </w:p>
    <w:p w14:paraId="61D0BC0B" w14:textId="3D61F42B" w:rsidR="00F22980" w:rsidRDefault="00F22980" w:rsidP="00F22980">
      <w:pPr>
        <w:pStyle w:val="Ttulo2"/>
      </w:pPr>
      <w:r>
        <w:t>1.5. Particularidades desde la doctrina puramente indiana</w:t>
      </w:r>
    </w:p>
    <w:p w14:paraId="5FEDB5BD" w14:textId="77777777" w:rsidR="00F22980" w:rsidRDefault="00F22980" w:rsidP="00F22980"/>
    <w:p w14:paraId="203A950F" w14:textId="3A2DA53B" w:rsidR="009904B1" w:rsidRDefault="009904B1" w:rsidP="00F22980">
      <w:r>
        <w:t xml:space="preserve">Si bien la separación entre doctrina castellana e indiana es en cierta medida imperfecta, toda vez que hay una transmisión de doble vía que hace borrosas las fronteras entre una y otra; desde el punto de vista americano, implica comprender cómo se abordó doctrinalmente el uso de la clemencia para la justicia y gobierno de las indias, partiendo del sentido que la corte real representaba el paradigma que se pretendía aplicar </w:t>
      </w:r>
      <w:r w:rsidR="001478CB">
        <w:t xml:space="preserve">en los territorios de ultramar. En la justicia y gobierno de la república de españoles, es claro que la dinámica de virreinatos, audiencias, gobernaciones y alcaldías, aunque replicaba el orden castellano, configuró con el tiempo un ámbito particular de jurisprudencia, reflejado en buena medida en la </w:t>
      </w:r>
      <w:r w:rsidR="001478CB" w:rsidRPr="001478CB">
        <w:rPr>
          <w:i/>
        </w:rPr>
        <w:t>Recopilación de leyes de los reinos de las indias</w:t>
      </w:r>
      <w:r w:rsidR="001478CB">
        <w:t xml:space="preserve"> de 1680 y posteriormente en la reforma de intendentes de la segunda mitad del siglo XVIII. Del mismo modo que se habla de un derecho puramente indiano (</w:t>
      </w:r>
      <w:proofErr w:type="spellStart"/>
      <w:r w:rsidR="001478CB">
        <w:t>Ots</w:t>
      </w:r>
      <w:proofErr w:type="spellEnd"/>
      <w:r w:rsidR="001478CB">
        <w:t xml:space="preserve"> </w:t>
      </w:r>
      <w:proofErr w:type="spellStart"/>
      <w:r w:rsidR="001478CB">
        <w:t>Capdequí</w:t>
      </w:r>
      <w:proofErr w:type="spellEnd"/>
      <w:r w:rsidR="001478CB">
        <w:t>), también es posible comprender una doctrina meramente indiana, no necesariamente producida en el continente, pero nutrida ciertamente por las informaciones que sobre este contexto llegaban a la península.</w:t>
      </w:r>
    </w:p>
    <w:p w14:paraId="7E771A01" w14:textId="77777777" w:rsidR="001478CB" w:rsidRPr="00F22980" w:rsidRDefault="001478CB" w:rsidP="00F22980"/>
    <w:p w14:paraId="1FCAE191" w14:textId="089E5E17" w:rsidR="00F22980" w:rsidRDefault="00411451" w:rsidP="00F22980">
      <w:r>
        <w:t>Zorita:</w:t>
      </w:r>
    </w:p>
    <w:p w14:paraId="0BEFC67D" w14:textId="2550D9E0" w:rsidR="00411451" w:rsidRDefault="00411451" w:rsidP="00411451">
      <w:pPr>
        <w:pStyle w:val="Cita"/>
      </w:pPr>
      <w:r>
        <w:t xml:space="preserve">Cualquiera que entraba donde se criaban recogidas y encerradas las doncellas, tenía pena de muerte, y lo mismo si alguna de ellas lo metía: un hijo de un señor muy principal saltó las paredes del aposento donde se criaban las hijas del señor de Texcoco, y habló con una de ellas un poco y en pie, y no hubo más; y como el señor lo supo, fue avisado [p. 57] el mancebo y </w:t>
      </w:r>
      <w:proofErr w:type="spellStart"/>
      <w:r>
        <w:t>púsose</w:t>
      </w:r>
      <w:proofErr w:type="spellEnd"/>
      <w:r>
        <w:t xml:space="preserve"> en cobro, de manera que no pudo ser habido; y a la doncella, hija suya muy querida e hija de señor principal, la mandó luego ahogar; y aunque mucho le rogaron no se pudo acabar con él que la perdonase, porque decía que no se había de quebrantar la ley con nadie, y que daría mal ejemplo a los otros señores y quedaría muy deshonrado, y lo tendrían por injusto si con sus vasallos se </w:t>
      </w:r>
      <w:proofErr w:type="spellStart"/>
      <w:r>
        <w:t>ejcutase</w:t>
      </w:r>
      <w:proofErr w:type="spellEnd"/>
      <w:r>
        <w:t xml:space="preserve"> la ley y no con sus hijos, y que convenía que un hecho tan malo no quedase sin castigo. Ese mismo señor, llamado </w:t>
      </w:r>
      <w:proofErr w:type="spellStart"/>
      <w:r>
        <w:t>Nezahualpitzintli</w:t>
      </w:r>
      <w:proofErr w:type="spellEnd"/>
      <w:r>
        <w:t>, mandó matar por justicia una hija suya casada, porque cometió adulterio, y al adúltero con ella, y se ejecutó la pena de ley, aunque el marido la perdonó, porque decía que se diría que por su respeto la perdonaba y no de su voluntad. A estos castigos mandaban juntar las doncellas y mujeres de palacio y les mandaba juntar las doncellas y mujeres de palacio y les mandaba decir por qué se hacían, para que se guardasen ellas de cometer semejantes delitos; y no estaban presentes las niñas que estaban en su inocencia, por no darles ocasión de pensar en aquel vicio. A los que eran causa de algún escándalo, en especial en los mercados y lugares públicos, mandaban que muriesen por ello. Las alcahuetas tenían pena de muerte, y se ejecutaba con gran rigor.</w:t>
      </w:r>
      <w:r w:rsidR="00755E15">
        <w:rPr>
          <w:rStyle w:val="Refdenotaalpie"/>
        </w:rPr>
        <w:footnoteReference w:id="32"/>
      </w:r>
    </w:p>
    <w:p w14:paraId="16F68F9A" w14:textId="77777777" w:rsidR="00411451" w:rsidRDefault="00411451" w:rsidP="00F22980"/>
    <w:p w14:paraId="5FC7347E" w14:textId="5593D0DA" w:rsidR="00C13903" w:rsidRDefault="00C13903" w:rsidP="00F22980">
      <w:r>
        <w:t>Según Zorita, los indios se entregaban al vicio en buena medida porque los religiosos eran blandos con ellos, negando con ello el rigor con el cual se les trataba por costumbre por sus autoridades indígenas:</w:t>
      </w:r>
    </w:p>
    <w:p w14:paraId="00FF19F7" w14:textId="42E98F29" w:rsidR="00C13903" w:rsidRDefault="00C13903" w:rsidP="00C13903">
      <w:pPr>
        <w:pStyle w:val="Cita"/>
      </w:pPr>
      <w:r>
        <w:t>Se han puesto [indicado] estas penas en particular, porque ha habido algunos religiosos doctos que han tenido escrúpulo sobre el castigo que ahora se hace a los que se emborrachan y consultaron sobre ello a otros religiosos de España, y respondieron que si los españoles no eran castigados por embeodarse, que no había razón por que se disimulase con ellos y se castigasen los indios, en especial si en su gentilidad no tenían pena por ello; y por lo dicho consta con cuánto rigor se castigaba.</w:t>
      </w:r>
    </w:p>
    <w:p w14:paraId="02D1BA6D" w14:textId="37E035E6" w:rsidR="00C13903" w:rsidRPr="00C13903" w:rsidRDefault="00C13903" w:rsidP="00C13903">
      <w:pPr>
        <w:pStyle w:val="Cita"/>
      </w:pPr>
      <w:r>
        <w:t>En esto están muy engañados los españoles y aun algunos religiosos, si no son los antiguos que han procurado averiguar de raíz las costumbres de aquellas gentes, en decir que en tiempo de su infidelidad había gran desorden en el beber y en embriagarse, y tomaron ocasión para decirlo y creer, porque luego como se ganó la tierra se daban al vino desenfrenadamente [p. 59], y tomaron esta licencia cuando comenzó a cesar la autoridad y poder de sus jueces naturales para castigarlos con la libertad que solían; y dicen los indios viejos que ésta fue la causa por que en esto y en los otros vicios y delitos tomó cada uno licencia para hacer lo que quería, porque no se dan las justicias de los españoles tan buena maña como sus jueces en averiguarlos y castigarlos, y poco a poco se fue disminuyendo la autoridad y modo de justicia, hasta que del todo se vino a consumir y acabar, y con ellos se acabó el buen orden que en todo tenían, y su policía.</w:t>
      </w:r>
      <w:r>
        <w:rPr>
          <w:rStyle w:val="Refdenotaalpie"/>
        </w:rPr>
        <w:footnoteReference w:id="33"/>
      </w:r>
      <w:r>
        <w:t xml:space="preserve"> </w:t>
      </w:r>
    </w:p>
    <w:p w14:paraId="78359CC3" w14:textId="77777777" w:rsidR="00C13903" w:rsidRDefault="00C13903" w:rsidP="00F22980"/>
    <w:p w14:paraId="4E314BF3" w14:textId="2DCE04C9" w:rsidR="00123CC7" w:rsidRDefault="00123CC7" w:rsidP="00F22980">
      <w:r>
        <w:t>También:</w:t>
      </w:r>
    </w:p>
    <w:p w14:paraId="0D1305B1" w14:textId="083CD9E4" w:rsidR="00123CC7" w:rsidRDefault="00123CC7" w:rsidP="00123CC7">
      <w:pPr>
        <w:pStyle w:val="Cita"/>
      </w:pPr>
      <w:proofErr w:type="spellStart"/>
      <w:r>
        <w:t>Amonestábanles</w:t>
      </w:r>
      <w:proofErr w:type="spellEnd"/>
      <w:r>
        <w:t xml:space="preserve"> mucho que no mintiesen, y si eran viciosos en ello </w:t>
      </w:r>
      <w:proofErr w:type="spellStart"/>
      <w:r>
        <w:t>hendíales</w:t>
      </w:r>
      <w:proofErr w:type="spellEnd"/>
      <w:r>
        <w:t xml:space="preserve"> un poco el labio, y así usaban mucho decir y tratar verdad. Y preguntados algunos viejos por qué ahora mientes tanto, dicen que porque no hay castigo.</w:t>
      </w:r>
      <w:r>
        <w:rPr>
          <w:rStyle w:val="Refdenotaalpie"/>
        </w:rPr>
        <w:footnoteReference w:id="34"/>
      </w:r>
    </w:p>
    <w:p w14:paraId="453C3CE9" w14:textId="77777777" w:rsidR="00F22980" w:rsidRDefault="00F22980" w:rsidP="00F22980">
      <w:r>
        <w:t>Palafox…</w:t>
      </w:r>
    </w:p>
    <w:p w14:paraId="32F98A31" w14:textId="77777777" w:rsidR="00F22980" w:rsidRPr="003D4F03" w:rsidRDefault="00F22980" w:rsidP="00F22980">
      <w:r>
        <w:t xml:space="preserve">Echarnos una revisadita de Cañizares </w:t>
      </w:r>
      <w:proofErr w:type="spellStart"/>
      <w:r>
        <w:t>Esguerra</w:t>
      </w:r>
      <w:proofErr w:type="spellEnd"/>
      <w:r>
        <w:t>…</w:t>
      </w:r>
    </w:p>
    <w:p w14:paraId="2A374195" w14:textId="77777777" w:rsidR="00F22980" w:rsidRPr="003D4F03" w:rsidRDefault="00F22980" w:rsidP="00F22980"/>
    <w:p w14:paraId="24DBCB6B" w14:textId="77777777" w:rsidR="00F22980" w:rsidRPr="003D4F03" w:rsidRDefault="00F22980" w:rsidP="00F22980"/>
    <w:p w14:paraId="1F179CFE" w14:textId="77777777" w:rsidR="00F22980" w:rsidRPr="003D4F03" w:rsidRDefault="00F22980" w:rsidP="00F22980"/>
    <w:p w14:paraId="67EE7CEF" w14:textId="77777777" w:rsidR="00F22980" w:rsidRPr="00386C4C" w:rsidRDefault="00F22980" w:rsidP="00F22980">
      <w:r>
        <w:t xml:space="preserve">Decía Saavedra Fajardo en su </w:t>
      </w:r>
      <w:r>
        <w:rPr>
          <w:i/>
        </w:rPr>
        <w:t>Idea de un príncipe político cristiano</w:t>
      </w:r>
      <w:r>
        <w:t xml:space="preserve"> que “si a todos los que excediesen se </w:t>
      </w:r>
      <w:proofErr w:type="spellStart"/>
      <w:r>
        <w:t>uviese</w:t>
      </w:r>
      <w:proofErr w:type="spellEnd"/>
      <w:r>
        <w:t xml:space="preserve"> de castigar, no </w:t>
      </w:r>
      <w:proofErr w:type="spellStart"/>
      <w:r>
        <w:t>auria</w:t>
      </w:r>
      <w:proofErr w:type="spellEnd"/>
      <w:r>
        <w:t xml:space="preserve"> </w:t>
      </w:r>
      <w:proofErr w:type="spellStart"/>
      <w:r>
        <w:t>aquien</w:t>
      </w:r>
      <w:proofErr w:type="spellEnd"/>
      <w:r>
        <w:t xml:space="preserve"> mandar, porque apenas </w:t>
      </w:r>
      <w:proofErr w:type="spellStart"/>
      <w:r>
        <w:t>ai</w:t>
      </w:r>
      <w:proofErr w:type="spellEnd"/>
      <w:r>
        <w:t xml:space="preserve"> hombre tan justo, que no </w:t>
      </w:r>
      <w:proofErr w:type="spellStart"/>
      <w:r>
        <w:t>aya</w:t>
      </w:r>
      <w:proofErr w:type="spellEnd"/>
      <w:r>
        <w:t xml:space="preserve"> merecido la muerte.”</w:t>
      </w:r>
      <w:r>
        <w:rPr>
          <w:rStyle w:val="Refdenotaalpie"/>
        </w:rPr>
        <w:footnoteReference w:id="35"/>
      </w:r>
      <w:r>
        <w:t xml:space="preserve"> A diferencia del derecho 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condena a pena arbitraria.”</w:t>
      </w:r>
      <w:r>
        <w:rPr>
          <w:rStyle w:val="Refdenotaalpie"/>
        </w:rPr>
        <w:footnoteReference w:id="36"/>
      </w:r>
      <w:r>
        <w:t xml:space="preserve"> Se comprendía que la humanidad había sido condenada desde su origen por el pecado de Adán,</w:t>
      </w:r>
      <w:r>
        <w:rPr>
          <w:rStyle w:val="Refdenotaalpie"/>
        </w:rPr>
        <w:footnoteReference w:id="37"/>
      </w:r>
      <w:r>
        <w:t xml:space="preserve"> por lo cual era imposible encontrar un “hombre justo” de quien se pudiera presumir estaba libre de culpa. Los indicios eran suficientes para que el juez usara su arbitrio y estipulara una pena ordinaria aunque solo se hubiese demostrado la “</w:t>
      </w:r>
      <w:proofErr w:type="spellStart"/>
      <w:r>
        <w:t>semiculpabilidad</w:t>
      </w:r>
      <w:proofErr w:type="spellEnd"/>
      <w:r>
        <w:t>” del reo, es decir, cuando a pesar de haber seguido el proceso inquisitorial persistía la duda de su actuación delictiva.</w:t>
      </w:r>
      <w:r>
        <w:rPr>
          <w:rStyle w:val="Refdenotaalpie"/>
        </w:rPr>
        <w:footnoteReference w:id="38"/>
      </w:r>
    </w:p>
    <w:p w14:paraId="433BD3A9" w14:textId="77777777" w:rsidR="00F22980" w:rsidRDefault="00F22980" w:rsidP="00F22980">
      <w:r>
        <w:t>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Pr>
          <w:rStyle w:val="Refdenotaalpie"/>
        </w:rPr>
        <w:footnoteReference w:id="39"/>
      </w:r>
      <w:r>
        <w:t xml:space="preserve">. Se partía de la premisa de que la paz de las repúblicas se podría mantener mejor con actos de clemencia que de fuerza, así lo planteaba Guardiola y Sáez por ejemplo, quien en </w:t>
      </w:r>
      <w:r>
        <w:rPr>
          <w:i/>
        </w:rPr>
        <w:t>El corregidor perfecto</w:t>
      </w:r>
      <w:r>
        <w:t xml:space="preserve"> afirmó: “dice Dios por S. </w:t>
      </w:r>
      <w:proofErr w:type="spellStart"/>
      <w:r>
        <w:t>Matheo</w:t>
      </w:r>
      <w:proofErr w:type="spellEnd"/>
      <w:r>
        <w:rPr>
          <w:rStyle w:val="Refdenotaalpie"/>
        </w:rPr>
        <w:footnoteReference w:id="40"/>
      </w:r>
      <w:r>
        <w:t xml:space="preserve"> que quiere </w:t>
      </w:r>
      <w:proofErr w:type="spellStart"/>
      <w:r>
        <w:t>mas</w:t>
      </w:r>
      <w:proofErr w:type="spellEnd"/>
      <w:r>
        <w:t xml:space="preserve"> la misericordia, que el sacrificio. Y </w:t>
      </w:r>
      <w:proofErr w:type="spellStart"/>
      <w:r>
        <w:t>á</w:t>
      </w:r>
      <w:proofErr w:type="spellEnd"/>
      <w:r>
        <w:t xml:space="preserve"> la verdad, siempre ha sido necesario usar de ella en el gobierno de la República; porque el sumo rigor hace perder el sufrimiento; al contrario, la clemencia reduce los ánimos </w:t>
      </w:r>
      <w:proofErr w:type="spellStart"/>
      <w:r>
        <w:t>á</w:t>
      </w:r>
      <w:proofErr w:type="spellEnd"/>
      <w:r>
        <w:t xml:space="preserve"> buenos pensamientos.”</w:t>
      </w:r>
      <w:r>
        <w:rPr>
          <w:rStyle w:val="Refdenotaalpie"/>
        </w:rPr>
        <w:footnoteReference w:id="41"/>
      </w:r>
    </w:p>
    <w:p w14:paraId="6933D761" w14:textId="77777777" w:rsidR="00F22980" w:rsidRDefault="00F22980" w:rsidP="00F22980">
      <w:r>
        <w:t xml:space="preserve">Castillo de </w:t>
      </w:r>
      <w:proofErr w:type="spellStart"/>
      <w:r>
        <w:t>Bovadilla</w:t>
      </w:r>
      <w:proofErr w:type="spellEnd"/>
      <w:r>
        <w:t xml:space="preserve"> advertía que “por causa del mucho rigor pueden los Jueces ser privados de los Oficios;”</w:t>
      </w:r>
      <w:r>
        <w:rPr>
          <w:rStyle w:val="Refdenotaalpie"/>
        </w:rPr>
        <w:footnoteReference w:id="42"/>
      </w:r>
      <w:r>
        <w:t xml:space="preserve"> y lo complementó afirmando: “porque con violencia no puede ser estable el gobierno seglar; y la sujeción por fuerza suele acarrear libertad: porque, como </w:t>
      </w:r>
      <w:proofErr w:type="spellStart"/>
      <w:r>
        <w:t>dixo</w:t>
      </w:r>
      <w:proofErr w:type="spellEnd"/>
      <w:r>
        <w:t xml:space="preserve"> Cicerón, muy mal conserva la perpetuidad el miedo, para lo </w:t>
      </w:r>
      <w:proofErr w:type="spellStart"/>
      <w:r>
        <w:t>qual</w:t>
      </w:r>
      <w:proofErr w:type="spellEnd"/>
      <w:r>
        <w:t xml:space="preserve"> es fiel la benevolencia.”</w:t>
      </w:r>
      <w:r>
        <w:rPr>
          <w:rStyle w:val="Refdenotaalpie"/>
        </w:rPr>
        <w:footnoteReference w:id="43"/>
      </w:r>
      <w:r>
        <w:t xml:space="preserve"> Esto, según </w:t>
      </w:r>
      <w:proofErr w:type="spellStart"/>
      <w:r>
        <w:t>Bovadilla</w:t>
      </w:r>
      <w:proofErr w:type="spellEnd"/>
      <w:r>
        <w:t>, lo enseñaban “las historias”, la experiencia del imperio romano y en particular de los reyes de España, “que han tenido por costumbre gobernar antes con amor, que con miedo: á cuya imitación deben los Corregidores, nombrados por ellos, proceder de la misma manera.”</w:t>
      </w:r>
      <w:r>
        <w:rPr>
          <w:rStyle w:val="Refdenotaalpie"/>
        </w:rPr>
        <w:footnoteReference w:id="44"/>
      </w:r>
      <w:r>
        <w:t xml:space="preserve"> Esta idea podía manifestarse de manera concreta en la súplica de un pueblo para que los libertase del juez o autoridad que se consideraba actuaba con excesivo rigor, &gt;&gt; excesos, abusos… No sólo en el apresamiento o castigo físico, también en el cobro de tributos.</w:t>
      </w:r>
    </w:p>
    <w:p w14:paraId="04DA8E0A" w14:textId="77777777" w:rsidR="00F22980" w:rsidRPr="000F5B21" w:rsidRDefault="00F22980" w:rsidP="00F22980">
      <w:pPr>
        <w:rPr>
          <w:highlight w:val="yellow"/>
        </w:rPr>
      </w:pPr>
      <w:r w:rsidRPr="000F5B21">
        <w:rPr>
          <w:highlight w:val="yellow"/>
        </w:rPr>
        <w:t>La historiografía de los excesos de jueces y corregidores es abundante, en particular con relación al tratamiento de los indios.</w:t>
      </w:r>
    </w:p>
    <w:p w14:paraId="4F87DB64" w14:textId="77777777" w:rsidR="00F22980" w:rsidRDefault="00F22980" w:rsidP="00F22980">
      <w:r w:rsidRPr="000F5B21">
        <w:rPr>
          <w:highlight w:val="yellow"/>
        </w:rPr>
        <w:t xml:space="preserve">Pimienta, caso del gobernador que por riguroso fue </w:t>
      </w:r>
      <w:proofErr w:type="gramStart"/>
      <w:r w:rsidRPr="000F5B21">
        <w:rPr>
          <w:highlight w:val="yellow"/>
        </w:rPr>
        <w:t>tiránico</w:t>
      </w:r>
      <w:r>
        <w:t xml:space="preserve"> :\</w:t>
      </w:r>
      <w:proofErr w:type="gramEnd"/>
      <w:r>
        <w:t xml:space="preserve"> </w:t>
      </w:r>
    </w:p>
    <w:p w14:paraId="3D55F15C" w14:textId="2D532FC4" w:rsidR="00647AB3" w:rsidRDefault="00647AB3" w:rsidP="00647AB3">
      <w:pPr>
        <w:pStyle w:val="Ttulo2"/>
      </w:pPr>
      <w:r>
        <w:t>1.4. Cultura ilustrada y clemencia real</w:t>
      </w:r>
      <w:bookmarkStart w:id="2" w:name="_GoBack"/>
      <w:bookmarkEnd w:id="2"/>
    </w:p>
    <w:p w14:paraId="43263F32" w14:textId="74EF492F" w:rsidR="00647AB3" w:rsidRPr="006B6B52" w:rsidRDefault="00647AB3" w:rsidP="00647AB3">
      <w:r w:rsidRPr="006B6B52">
        <w:t xml:space="preserve">Vía de Nápoles – </w:t>
      </w:r>
      <w:proofErr w:type="spellStart"/>
      <w:r w:rsidRPr="006B6B52">
        <w:rPr>
          <w:i/>
        </w:rPr>
        <w:t>giuridizzionalismo</w:t>
      </w:r>
      <w:proofErr w:type="spellEnd"/>
      <w:r w:rsidRPr="006B6B52">
        <w:rPr>
          <w:i/>
        </w:rPr>
        <w:t xml:space="preserve"> </w:t>
      </w:r>
      <w:r w:rsidRPr="006B6B52">
        <w:t>(</w:t>
      </w:r>
      <w:proofErr w:type="spellStart"/>
      <w:r w:rsidRPr="006B6B52">
        <w:t>cfr</w:t>
      </w:r>
      <w:proofErr w:type="spellEnd"/>
      <w:r w:rsidRPr="006B6B52">
        <w:t xml:space="preserve">: </w:t>
      </w:r>
      <w:proofErr w:type="spellStart"/>
      <w:r w:rsidRPr="006B6B52">
        <w:t>Pietschmann</w:t>
      </w:r>
      <w:proofErr w:type="spellEnd"/>
      <w:r w:rsidRPr="006B6B52">
        <w:t xml:space="preserve">), </w:t>
      </w:r>
      <w:proofErr w:type="spellStart"/>
      <w:r w:rsidRPr="006B6B52">
        <w:t>Beccaria</w:t>
      </w:r>
      <w:proofErr w:type="spellEnd"/>
      <w:r w:rsidRPr="006B6B52">
        <w:t>.</w:t>
      </w:r>
    </w:p>
    <w:p w14:paraId="5277AC2C" w14:textId="061979DF" w:rsidR="00647AB3" w:rsidRPr="000F5B21" w:rsidRDefault="00647AB3" w:rsidP="00647AB3">
      <w:r w:rsidRPr="000F5B21">
        <w:t xml:space="preserve">Ilustración francesa – Rousseau, </w:t>
      </w:r>
      <w:r w:rsidR="003D4F03" w:rsidRPr="000F5B21">
        <w:t>Montes</w:t>
      </w:r>
      <w:r w:rsidRPr="000F5B21">
        <w:t xml:space="preserve">quieu, </w:t>
      </w:r>
      <w:proofErr w:type="spellStart"/>
      <w:r w:rsidRPr="000F5B21">
        <w:t>Bodin</w:t>
      </w:r>
      <w:proofErr w:type="spellEnd"/>
      <w:r w:rsidRPr="000F5B21">
        <w:t xml:space="preserve">, </w:t>
      </w:r>
      <w:proofErr w:type="spellStart"/>
      <w:r w:rsidRPr="000F5B21">
        <w:t>Caraccioli</w:t>
      </w:r>
      <w:proofErr w:type="spellEnd"/>
      <w:r w:rsidRPr="000F5B21">
        <w:t xml:space="preserve"> (trad. 1775)</w:t>
      </w:r>
    </w:p>
    <w:p w14:paraId="1A651F07" w14:textId="2BECF032" w:rsidR="003D4F03" w:rsidRDefault="003D4F03" w:rsidP="00647AB3">
      <w:r w:rsidRPr="003D4F03">
        <w:t xml:space="preserve">Ejemplos de </w:t>
      </w:r>
      <w:r w:rsidR="006D589A">
        <w:t>“</w:t>
      </w:r>
      <w:r w:rsidRPr="003D4F03">
        <w:t>ilustres</w:t>
      </w:r>
      <w:r w:rsidR="006D589A">
        <w:t>”</w:t>
      </w:r>
      <w:r w:rsidRPr="003D4F03">
        <w:t xml:space="preserve"> ilustrados – Jovellanos, </w:t>
      </w:r>
    </w:p>
    <w:p w14:paraId="54FBCAD3" w14:textId="77777777" w:rsidR="003D4F03" w:rsidRDefault="003D4F03" w:rsidP="00647AB3"/>
    <w:sectPr w:rsidR="003D4F03">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FB7B9" w14:textId="77777777" w:rsidR="00F54B95" w:rsidRDefault="00F54B95" w:rsidP="00B9631D">
      <w:pPr>
        <w:spacing w:line="240" w:lineRule="auto"/>
      </w:pPr>
      <w:r>
        <w:separator/>
      </w:r>
    </w:p>
  </w:endnote>
  <w:endnote w:type="continuationSeparator" w:id="0">
    <w:p w14:paraId="25361143" w14:textId="77777777" w:rsidR="00F54B95" w:rsidRDefault="00F54B95"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EndPr/>
    <w:sdtContent>
      <w:p w14:paraId="7AEB41D1" w14:textId="77777777" w:rsidR="0024234E" w:rsidRDefault="0024234E">
        <w:pPr>
          <w:pStyle w:val="Piedepgina"/>
          <w:jc w:val="right"/>
        </w:pPr>
        <w:r>
          <w:fldChar w:fldCharType="begin"/>
        </w:r>
        <w:r>
          <w:instrText>PAGE   \* MERGEFORMAT</w:instrText>
        </w:r>
        <w:r>
          <w:fldChar w:fldCharType="separate"/>
        </w:r>
        <w:r w:rsidR="000F5B21" w:rsidRPr="000F5B21">
          <w:rPr>
            <w:noProof/>
            <w:lang w:val="es-ES"/>
          </w:rPr>
          <w:t>14</w:t>
        </w:r>
        <w:r>
          <w:fldChar w:fldCharType="end"/>
        </w:r>
      </w:p>
    </w:sdtContent>
  </w:sdt>
  <w:p w14:paraId="2E48E8B0" w14:textId="77777777" w:rsidR="0024234E" w:rsidRDefault="002423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6BA7D" w14:textId="77777777" w:rsidR="00F54B95" w:rsidRDefault="00F54B95" w:rsidP="00B9631D">
      <w:pPr>
        <w:spacing w:line="240" w:lineRule="auto"/>
      </w:pPr>
      <w:r>
        <w:separator/>
      </w:r>
    </w:p>
  </w:footnote>
  <w:footnote w:type="continuationSeparator" w:id="0">
    <w:p w14:paraId="29318350" w14:textId="77777777" w:rsidR="00F54B95" w:rsidRDefault="00F54B95" w:rsidP="00B9631D">
      <w:pPr>
        <w:spacing w:line="240" w:lineRule="auto"/>
      </w:pPr>
      <w:r>
        <w:continuationSeparator/>
      </w:r>
    </w:p>
  </w:footnote>
  <w:footnote w:id="1">
    <w:p w14:paraId="5A49ACA1" w14:textId="38024009" w:rsidR="0024234E" w:rsidRDefault="0024234E"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1544D0">
        <w:rPr>
          <w:rFonts w:cs="Times New Roman"/>
          <w:szCs w:val="24"/>
        </w:rPr>
        <w:t xml:space="preserve">Juan Marchena Fernández, “Sin temor de rey ni de dios. Violencia, corrupción y crisis de autoridad en la Cartagena colonial”, en </w:t>
      </w:r>
      <w:r w:rsidRPr="001544D0">
        <w:rPr>
          <w:rFonts w:cs="Times New Roman"/>
          <w:i/>
          <w:iCs/>
          <w:szCs w:val="24"/>
        </w:rPr>
        <w:t>Soldados del Rey. El ejército borbónico en América colonial en vísperas de la independencia</w:t>
      </w:r>
      <w:r w:rsidRPr="001544D0">
        <w:rPr>
          <w:rFonts w:cs="Times New Roman"/>
          <w:szCs w:val="24"/>
        </w:rPr>
        <w:t xml:space="preserve">, ed. Allan J. Kuethe y Juan Marchena Fernández (Castelló de la Plana: Universitat Jaume I, 2015), 72 y ss; José Manuel Serrano Álvarez, </w:t>
      </w:r>
      <w:r w:rsidRPr="001544D0">
        <w:rPr>
          <w:rFonts w:cs="Times New Roman"/>
          <w:i/>
          <w:iCs/>
          <w:szCs w:val="24"/>
        </w:rPr>
        <w:t>Fortificaciones y tropas: el gasto militar en tierra firme, 1700-1788</w:t>
      </w:r>
      <w:r w:rsidRPr="001544D0">
        <w:rPr>
          <w:rFonts w:cs="Times New Roman"/>
          <w:szCs w:val="24"/>
        </w:rPr>
        <w:t xml:space="preserve"> (Sevilla: Universidad de Sevilla, 2004), 133.</w:t>
      </w:r>
      <w:r>
        <w:fldChar w:fldCharType="end"/>
      </w:r>
    </w:p>
  </w:footnote>
  <w:footnote w:id="2">
    <w:p w14:paraId="07548474" w14:textId="1BAA8F0C" w:rsidR="0024234E" w:rsidRDefault="0024234E"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w:t>
      </w:r>
      <w:proofErr w:type="spellStart"/>
      <w:r>
        <w:t>AGI</w:t>
      </w:r>
      <w:proofErr w:type="spellEnd"/>
      <w:r>
        <w:t xml:space="preserve">,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FA6731">
        <w:rPr>
          <w:rFonts w:cs="Times New Roman"/>
          <w:szCs w:val="24"/>
        </w:rPr>
        <w:t>Marchena Fernández, “Sin temor de rey ni de dios”, 83–93.</w:t>
      </w:r>
      <w:r>
        <w:fldChar w:fldCharType="end"/>
      </w:r>
    </w:p>
  </w:footnote>
  <w:footnote w:id="3">
    <w:p w14:paraId="1910BADC" w14:textId="17B7506A" w:rsidR="0024234E" w:rsidRDefault="0024234E">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24234E" w:rsidRDefault="0024234E"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proofErr w:type="spellStart"/>
      <w:r w:rsidRPr="007E0F71">
        <w:t>AGI</w:t>
      </w:r>
      <w:proofErr w:type="spellEnd"/>
      <w:r w:rsidRPr="007E0F71">
        <w:t>, Santa Fe, 940</w:t>
      </w:r>
      <w:r>
        <w:t>.</w:t>
      </w:r>
    </w:p>
  </w:footnote>
  <w:footnote w:id="5">
    <w:p w14:paraId="51F16ACA" w14:textId="64EB64B6" w:rsidR="0024234E" w:rsidRDefault="0024234E">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F77026">
        <w:rPr>
          <w:rFonts w:cs="Times New Roman"/>
          <w:szCs w:val="24"/>
        </w:rPr>
        <w:t>Marchena Fernández, “Sin temor de rey ni de dios”, 96.</w:t>
      </w:r>
      <w:r>
        <w:fldChar w:fldCharType="end"/>
      </w:r>
    </w:p>
  </w:footnote>
  <w:footnote w:id="6">
    <w:p w14:paraId="41EA07DD" w14:textId="54841C5F" w:rsidR="0024234E" w:rsidRDefault="0024234E">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proofErr w:type="spellStart"/>
      <w:r w:rsidRPr="009E4287">
        <w:t>AGI</w:t>
      </w:r>
      <w:proofErr w:type="spellEnd"/>
      <w:r w:rsidRPr="009E4287">
        <w:t>, Santa Fe, 940</w:t>
      </w:r>
      <w:r>
        <w:t xml:space="preserve">. </w:t>
      </w:r>
    </w:p>
  </w:footnote>
  <w:footnote w:id="7">
    <w:p w14:paraId="7C9ED0C4" w14:textId="5CDB3285" w:rsidR="0024234E" w:rsidRDefault="0024234E">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A8093A">
        <w:rPr>
          <w:rFonts w:cs="Times New Roman"/>
          <w:szCs w:val="24"/>
        </w:rPr>
        <w:t>Marchena Fernández, “Sin temor de rey ni de dios”, 99.</w:t>
      </w:r>
      <w:r>
        <w:fldChar w:fldCharType="end"/>
      </w:r>
    </w:p>
  </w:footnote>
  <w:footnote w:id="8">
    <w:p w14:paraId="5BE44F66" w14:textId="46D0EE1B" w:rsidR="0024234E" w:rsidRDefault="0024234E">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70628F">
        <w:rPr>
          <w:rFonts w:cs="Times New Roman"/>
          <w:szCs w:val="24"/>
        </w:rPr>
        <w:t xml:space="preserve">Fernando Martínez Gil y Alfredo Rodríguez González, “Del Barroco a la Ilustración en una fiesta del Antiguo Régimen: el Corpus Christi”, </w:t>
      </w:r>
      <w:r w:rsidRPr="0070628F">
        <w:rPr>
          <w:rFonts w:cs="Times New Roman"/>
          <w:i/>
          <w:iCs/>
          <w:szCs w:val="24"/>
        </w:rPr>
        <w:t>Cuadernos de Historia Moderna</w:t>
      </w:r>
      <w:r w:rsidRPr="0070628F">
        <w:rPr>
          <w:rFonts w:cs="Times New Roman"/>
          <w:szCs w:val="24"/>
        </w:rPr>
        <w:t xml:space="preserve"> Anejo I (2002): 151–75, https://doi.org/10.5209/CHMO.23806; Miguel Zugasti, </w:t>
      </w:r>
      <w:r w:rsidRPr="0070628F">
        <w:rPr>
          <w:rFonts w:cs="Times New Roman"/>
          <w:i/>
          <w:iCs/>
          <w:szCs w:val="24"/>
        </w:rPr>
        <w:t>La alegoría de América en el barroco hispánico: del arte efímero al teatro</w:t>
      </w:r>
      <w:r w:rsidRPr="0070628F">
        <w:rPr>
          <w:rFonts w:cs="Times New Roman"/>
          <w:szCs w:val="24"/>
        </w:rPr>
        <w:t xml:space="preserve"> (Valencia: Pre-Textos, 2005), 70 y ss.</w:t>
      </w:r>
      <w:r>
        <w:fldChar w:fldCharType="end"/>
      </w:r>
    </w:p>
  </w:footnote>
  <w:footnote w:id="9">
    <w:p w14:paraId="7DD04C24" w14:textId="4C9900CB" w:rsidR="0024234E" w:rsidRDefault="0024234E">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755E2">
        <w:rPr>
          <w:rFonts w:cs="Times New Roman"/>
          <w:szCs w:val="24"/>
        </w:rPr>
        <w:t xml:space="preserve">Pedro Calderón de la Barca, </w:t>
      </w:r>
      <w:r w:rsidRPr="004755E2">
        <w:rPr>
          <w:rFonts w:cs="Times New Roman"/>
          <w:i/>
          <w:iCs/>
          <w:szCs w:val="24"/>
        </w:rPr>
        <w:t>El indulto general. Edición crítica</w:t>
      </w:r>
      <w:r w:rsidRPr="004755E2">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6233D9EB" w:rsidR="0024234E" w:rsidRDefault="0024234E">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70628F">
        <w:rPr>
          <w:rFonts w:cs="Times New Roman"/>
          <w:szCs w:val="24"/>
        </w:rPr>
        <w:t>Calderón de la Barca, 107.</w:t>
      </w:r>
      <w:r>
        <w:fldChar w:fldCharType="end"/>
      </w:r>
    </w:p>
  </w:footnote>
  <w:footnote w:id="11">
    <w:p w14:paraId="29205008" w14:textId="5FEDF346" w:rsidR="0024234E" w:rsidRDefault="0024234E">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707D96">
        <w:rPr>
          <w:rFonts w:cs="Times New Roman"/>
          <w:szCs w:val="24"/>
        </w:rPr>
        <w:t xml:space="preserve">Julio Rodríguez-Puértolas, “La transposición de la realidad en los autos sacramentales de Lope de Vega”, </w:t>
      </w:r>
      <w:r w:rsidRPr="00707D96">
        <w:rPr>
          <w:rFonts w:cs="Times New Roman"/>
          <w:i/>
          <w:iCs/>
          <w:szCs w:val="24"/>
        </w:rPr>
        <w:t>Bulletin hispanique</w:t>
      </w:r>
      <w:r w:rsidRPr="00707D96">
        <w:rPr>
          <w:rFonts w:cs="Times New Roman"/>
          <w:szCs w:val="24"/>
        </w:rPr>
        <w:t xml:space="preserve"> 72, núm. 1 (1970): 96–97, https://doi.org/10.3406/hispa.1970.4008.</w:t>
      </w:r>
      <w:r>
        <w:fldChar w:fldCharType="end"/>
      </w:r>
    </w:p>
  </w:footnote>
  <w:footnote w:id="12">
    <w:p w14:paraId="5ADE7E3D" w14:textId="7F6FD453" w:rsidR="0024234E" w:rsidRDefault="0024234E">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42.","noteIndex":12},"citationItems":[{"id":3381,"uris":["http://zotero.org/users/163570/items/2B6CQHEJ"],"uri":["http://zotero.org/users/163570/items/2B6CQHEJ"],"itemData":{"id":3381,"type":"book","title":"Cultura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707D96">
        <w:rPr>
          <w:rFonts w:cs="Times New Roman"/>
          <w:szCs w:val="24"/>
        </w:rPr>
        <w:t xml:space="preserve">António Manuel Hespanha, </w:t>
      </w:r>
      <w:r w:rsidRPr="00707D96">
        <w:rPr>
          <w:rFonts w:cs="Times New Roman"/>
          <w:i/>
          <w:iCs/>
          <w:szCs w:val="24"/>
        </w:rPr>
        <w:t>Cultura jurídica europea: síntesis de un milenio</w:t>
      </w:r>
      <w:r w:rsidRPr="00707D96">
        <w:rPr>
          <w:rFonts w:cs="Times New Roman"/>
          <w:szCs w:val="24"/>
        </w:rPr>
        <w:t>, trad. Isabel Soler y Concepción Valera (Madrid: Tecnos, 2002), 42.</w:t>
      </w:r>
      <w:r>
        <w:fldChar w:fldCharType="end"/>
      </w:r>
    </w:p>
  </w:footnote>
  <w:footnote w:id="13">
    <w:p w14:paraId="4876BA75" w14:textId="1D773D0C" w:rsidR="0024234E" w:rsidRDefault="0024234E">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425.","noteIndex":13},"citationItems":[{"id":5734,"uris":["http://zotero.org/users/163570/items/3PPXIUUG"],"uri":["http://zotero.org/users/163570/items/3PPXIUUG"],"itemData":{"id":5734,"type":"book","title":"Reformismo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2974D2">
        <w:rPr>
          <w:rFonts w:cs="Times New Roman"/>
          <w:szCs w:val="24"/>
        </w:rPr>
        <w:t xml:space="preserve">Pedro Ruiz Torres, </w:t>
      </w:r>
      <w:r w:rsidRPr="002974D2">
        <w:rPr>
          <w:rFonts w:cs="Times New Roman"/>
          <w:i/>
          <w:iCs/>
          <w:szCs w:val="24"/>
        </w:rPr>
        <w:t>Reformismo e Ilustración</w:t>
      </w:r>
      <w:r w:rsidRPr="002974D2">
        <w:rPr>
          <w:rFonts w:cs="Times New Roman"/>
          <w:szCs w:val="24"/>
        </w:rPr>
        <w:t>, ed. Josep Fontana i Làzaro y Ramón Villares, Historia de España 5 (Barcelona, Madrid: Crítica, Marcial Pons, 2008), 425.</w:t>
      </w:r>
      <w:r>
        <w:fldChar w:fldCharType="end"/>
      </w:r>
    </w:p>
  </w:footnote>
  <w:footnote w:id="14">
    <w:p w14:paraId="334DC05A" w14:textId="28D9A9D3" w:rsidR="0024234E" w:rsidRDefault="0024234E">
      <w:pPr>
        <w:pStyle w:val="Textonotapie"/>
      </w:pPr>
      <w:r>
        <w:rPr>
          <w:rStyle w:val="Refdenotaalpie"/>
        </w:rPr>
        <w:footnoteRef/>
      </w:r>
      <w:r>
        <w:t xml:space="preserve"> “Autoridad” y “potestad”, en </w:t>
      </w:r>
      <w:r>
        <w:rPr>
          <w:i/>
        </w:rPr>
        <w:t xml:space="preserve">Diccionario de la lengua castellana, en que se explica el verdadero sentido de las </w:t>
      </w:r>
      <w:proofErr w:type="gramStart"/>
      <w:r>
        <w:rPr>
          <w:i/>
        </w:rPr>
        <w:t>voces[</w:t>
      </w:r>
      <w:proofErr w:type="gramEnd"/>
      <w:r>
        <w:rPr>
          <w:i/>
        </w:rPr>
        <w:t>…]</w:t>
      </w:r>
      <w:r>
        <w:t xml:space="preserve"> (Madrid: imprenta de Francisco del Hierro, 1726 y 1737).</w:t>
      </w:r>
    </w:p>
  </w:footnote>
  <w:footnote w:id="15">
    <w:p w14:paraId="698410F0" w14:textId="75D484D7" w:rsidR="0024234E" w:rsidRDefault="0024234E">
      <w:pPr>
        <w:pStyle w:val="Textonotapie"/>
      </w:pPr>
      <w:r>
        <w:rPr>
          <w:rStyle w:val="Refdenotaalpie"/>
        </w:rPr>
        <w:footnoteRef/>
      </w:r>
      <w:r>
        <w:t xml:space="preserve"> </w:t>
      </w:r>
      <w:r>
        <w:fldChar w:fldCharType="begin"/>
      </w:r>
      <w:r>
        <w:instrText xml:space="preserve"> ADDIN ZOTERO_ITEM CSL_CITATION {"citationID":"PKbhYxPo","properties":{"formattedCitation":"Pietro Costa, {\\i{}Iurisdictio. Semantica del potere politico nella pubblicistica medievale (1100-1433)} (Milano: Giuffr\\uc0\\u232{} Editore, 1969), 83; 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59\\uc0\\u8211{}60 y 65\\uc0\\u8211{}66; 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31\\uc0\\u8211{}32.","plainCitation":"Pietro Costa, Iurisdictio. Semantica del potere politico nella pubblicistica medievale (1100-1433) (Milano: Giuffrè Editore, 1969), 83; Carlos Garriga Acosta, “Orden jurídico y poder político en el antiguo régimen”, en Cádiz, 1812. La Constitución jurisdiccional, de Carlos Garriga Acosta y Marta Lorente Sariñena, Cuadernos y debates 174 (Madrid: Centro de Estudios Políticos y Constitucionales, 2007), 59–60 y 65–66; Alejandro Agüero Nazar, “Las categorías básicas de la cultura jurisdiccional”, en De justicia de jueces a justicia de leyes: hacia la España de 1870, ed. Marta Lorente Sariñena, Cuadernos de derecho judicial, VI–2006 (Madrid: Consejo General del Poder Judicial, 2007), 31–32.","noteIndex":15},"citationItems":[{"id":6117,"uris":["http://zotero.org/users/163570/items/42REKWJP"],"uri":["http://zotero.org/users/163570/items/42REKWJP"],"itemData":{"id":6117,"type":"book","title":"Iurisdictio. Semantica del potere politico nella pubblicistica medievale (1100-1433)","publisher":"Giuffrè Editore","publisher-place":"Milano","number-of-pages":"400","event-place":"Milano","shortTitle":"Iurisdictio","language":"it","author":[{"family":"Costa","given":"Pietro"}],"issued":{"date-parts":[["1969"]]}},"locator":"83","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Sariñena","given":"Marta"}],"issued":{"date-parts":[["2007"]]}},"locator":"59-60 y 65-66","label":"page"},{"id":5999,"uris":["http://zotero.org/users/163570/items/HQHICPD6"],"uri":["http://zotero.org/users/163570/items/HQHICPD6"],"itemData":{"id":5999,"type":"chapter","title":"Las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Nazar","given":"Alejandro"}],"issued":{"date-parts":[["2007"]]}},"locator":"31-32","label":"page"}],"schema":"https://github.com/citation-style-language/schema/raw/master/csl-citation.json"} </w:instrText>
      </w:r>
      <w:r>
        <w:fldChar w:fldCharType="separate"/>
      </w:r>
      <w:r w:rsidRPr="00CF5F2B">
        <w:rPr>
          <w:rFonts w:cs="Times New Roman"/>
          <w:szCs w:val="24"/>
        </w:rPr>
        <w:t xml:space="preserve">Pietro Costa, </w:t>
      </w:r>
      <w:r w:rsidRPr="00CF5F2B">
        <w:rPr>
          <w:rFonts w:cs="Times New Roman"/>
          <w:i/>
          <w:iCs/>
          <w:szCs w:val="24"/>
        </w:rPr>
        <w:t>Iurisdictio. Semantica del potere politico nella pubblicistica medievale (1100-1433)</w:t>
      </w:r>
      <w:r w:rsidRPr="00CF5F2B">
        <w:rPr>
          <w:rFonts w:cs="Times New Roman"/>
          <w:szCs w:val="24"/>
        </w:rPr>
        <w:t xml:space="preserve"> (Milano: Giuffrè Editore, 1969), 83; Carlos Garriga Acosta, “Orden jurídico y poder político en el antiguo régimen”, en </w:t>
      </w:r>
      <w:r w:rsidRPr="00CF5F2B">
        <w:rPr>
          <w:rFonts w:cs="Times New Roman"/>
          <w:i/>
          <w:iCs/>
          <w:szCs w:val="24"/>
        </w:rPr>
        <w:t>Cádiz, 1812. La Constitución jurisdiccional</w:t>
      </w:r>
      <w:r w:rsidRPr="00CF5F2B">
        <w:rPr>
          <w:rFonts w:cs="Times New Roman"/>
          <w:szCs w:val="24"/>
        </w:rPr>
        <w:t xml:space="preserve">, de Carlos Garriga Acosta y Marta Lorente Sariñena, Cuadernos y debates 174 (Madrid: Centro de Estudios Políticos y Constitucionales, 2007), 59–60 y 65–66; Alejandro Agüero Nazar, “Las categorías básicas de la cultura jurisdiccional”, en </w:t>
      </w:r>
      <w:r w:rsidRPr="00CF5F2B">
        <w:rPr>
          <w:rFonts w:cs="Times New Roman"/>
          <w:i/>
          <w:iCs/>
          <w:szCs w:val="24"/>
        </w:rPr>
        <w:t>De justicia de jueces a justicia de leyes: hacia la España de 1870</w:t>
      </w:r>
      <w:r w:rsidRPr="00CF5F2B">
        <w:rPr>
          <w:rFonts w:cs="Times New Roman"/>
          <w:szCs w:val="24"/>
        </w:rPr>
        <w:t>, ed. Marta Lorente Sariñena, Cuadernos de derecho judicial, VI–2006 (Madrid: Consejo General del Poder Judicial, 2007), 31–32.</w:t>
      </w:r>
      <w:r>
        <w:fldChar w:fldCharType="end"/>
      </w:r>
    </w:p>
  </w:footnote>
  <w:footnote w:id="16">
    <w:p w14:paraId="57088266" w14:textId="0A23082A" w:rsidR="0024234E" w:rsidRDefault="0024234E">
      <w:pPr>
        <w:pStyle w:val="Textonotapie"/>
      </w:pPr>
      <w:r>
        <w:rPr>
          <w:rStyle w:val="Refdenotaalpie"/>
        </w:rPr>
        <w:footnoteRef/>
      </w:r>
      <w:r>
        <w:t xml:space="preserve"> Además de los trabajos mencionados en la nota </w:t>
      </w:r>
      <w:r>
        <w:fldChar w:fldCharType="begin"/>
      </w:r>
      <w:r>
        <w:instrText xml:space="preserve"> NOTEREF _Ref514281780 \h </w:instrText>
      </w:r>
      <w:r>
        <w:fldChar w:fldCharType="separate"/>
      </w:r>
      <w:r>
        <w:t>15</w:t>
      </w:r>
      <w:r>
        <w:fldChar w:fldCharType="end"/>
      </w:r>
      <w:r>
        <w:t xml:space="preserve"> se destacan </w:t>
      </w:r>
      <w:r>
        <w:fldChar w:fldCharType="begin"/>
      </w:r>
      <w:r>
        <w:instrText xml:space="preserve"> ADDIN ZOTERO_ITEM CSL_CITATION {"citationID":"BQMqnIqo","properties":{"formattedCitation":"Alejandro Ag\\uc0\\u252{}ero Nazar, {\\i{}Castigar y perdonar cuando conviene a la Rep\\uc0\\u250{}blica: la justicia penal de C\\uc0\\u243{}rdoba del Tucum\\uc0\\u225{}n, siglos XVII y XVIII} (Madrid: Centro de Estudios Pol\\uc0\\u237{}ticos y Constitucionales, 2008), 133\\uc0\\u8211{}233; 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61\\uc0\\u8211{}104; Carlos Garriga Acosta, \\uc0\\u8220{}Sobre el gobierno de la justicia en Indias (Siglos XVI-XVII)\\uc0\\u8221{}, {\\i{}Revista de historia del derecho}, n\\uc0\\u250{}m. 34 (2006): 67\\uc0\\u8211{}160.","plainCitation":"Alejandro Agüero Nazar, Castigar y perdonar cuando conviene a la República: la justicia penal de Córdoba del Tucumán, siglos XVII y XVIII (Madrid: Centro de Estudios Políticos y Constitucionales, 2008), 133–233; Carlos Garriga Acosta, “Justicia animada: dispositivos de la justicia en la monarquía católica”, en De justicia de jueces a justicia de leyes: hacia la España de 1870, ed. Marta Lorente Sariñena, Cuadernos de derecho judicial, VI–2006 (Madrid: Consejo General del Poder Judicial, 2007), 61–104; Carlos Garriga Acosta, “Sobre el gobierno de la justicia en Indias (Siglos XVI-XVII)”, Revista de historia del derecho, núm. 34 (2006): 67–160.","noteIndex":16},"citationItems":[{"id":3368,"uris":["http://zotero.org/users/163570/items/MVMCG76V"],"uri":["http://zotero.org/users/163570/items/MVMCG76V"],"itemData":{"id":3368,"type":"book","title":"Castigar y perdonar cuando conviene a la República: la justicia penal de Córdoba del Tucumán, siglos XVII y XVIII","publisher":"Centro de Estudios Políticos y Constitucionales","publisher-place":"Madrid","number-of-pages":"488","source":"Open WorldCat","event-place":"Madrid","ISBN":"978-84-259-1439-3","shortTitle":"Castigar y perdonar","language":"Spanish","author":[{"family":"Agüero Nazar","given":"Alejandro"}],"issued":{"date-parts":[["2008"]]}},"locator":"133-233","label":"page"},{"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Acosta","given":"Carlos"}],"issued":{"date-parts":[["2007"]]}},"label":"page"},{"id":5809,"uris":["http://zotero.org/users/163570/items/P3TIKMVJ"],"uri":["http://zotero.org/users/163570/items/P3TIKMVJ"],"itemData":{"id":5809,"type":"article-journal","title":"Sobre el gobierno de la justicia en Indias (Siglos XVI-XVII)","container-title":"Revista de historia del derecho","page":"67-160","issue":"34","source":"dialnet.unirioja.es","abstract":"Se repasan en este artículo argumentos, discursos y perspectivas historiograficas relativas al gobierno de la justicia en Indias, las que otorgan escasa importancia al Derecho real del Antiguo Régimen por la imposibilidad del mismo de metabolizar reglas de comportamiento, a lo que se agrega el aporte del Ius Commune que provee recursos que aternperan el rigor del Derecho positivo. El Derecho en verdad, estaría en las transacciones, pactos y vínculos clientelares. El discurso jurídico se reconstruye para descubrir los criterios que animan el gobierno de la justicia en las\njurisdicciones supremas: Audiencias y Chancillerías y, a través de ellas, la política judicial de la monarquía que se traslada a las Indias. La misma excede la aplicación mecánica de la ley y potencia el resultado de la labor de los jueces, por lo que es necesario controlar y garantizar el comportamiento justo de los mismos.","ISSN":"0325-1918","language":"spa","author":[{"family":"Garriga Acosta","given":"Carlos"}],"issued":{"date-parts":[["2006"]]}},"label":"page"}],"schema":"https://github.com/citation-style-language/schema/raw/master/csl-citation.json"} </w:instrText>
      </w:r>
      <w:r>
        <w:fldChar w:fldCharType="separate"/>
      </w:r>
      <w:r w:rsidRPr="00EE5DEF">
        <w:rPr>
          <w:rFonts w:cs="Times New Roman"/>
          <w:szCs w:val="24"/>
        </w:rPr>
        <w:t xml:space="preserve">Alejandro Agüero Nazar, </w:t>
      </w:r>
      <w:r w:rsidRPr="00EE5DEF">
        <w:rPr>
          <w:rFonts w:cs="Times New Roman"/>
          <w:i/>
          <w:iCs/>
          <w:szCs w:val="24"/>
        </w:rPr>
        <w:t>Castigar y perdonar cuando conviene a la República: la justicia penal de Córdoba del Tucumán, siglos XVII y XVIII</w:t>
      </w:r>
      <w:r w:rsidRPr="00EE5DEF">
        <w:rPr>
          <w:rFonts w:cs="Times New Roman"/>
          <w:szCs w:val="24"/>
        </w:rPr>
        <w:t xml:space="preserve"> (Madrid: Centro de Estudios Políticos y Constitucionales, 2008), 133–233; Carlos Garriga Acosta, “Justicia animada: dispositivos de la justicia en la monarquía católica”, en </w:t>
      </w:r>
      <w:r w:rsidRPr="00EE5DEF">
        <w:rPr>
          <w:rFonts w:cs="Times New Roman"/>
          <w:i/>
          <w:iCs/>
          <w:szCs w:val="24"/>
        </w:rPr>
        <w:t>De justicia de jueces a justicia de leyes: hacia la España de 1870</w:t>
      </w:r>
      <w:r w:rsidRPr="00EE5DEF">
        <w:rPr>
          <w:rFonts w:cs="Times New Roman"/>
          <w:szCs w:val="24"/>
        </w:rPr>
        <w:t xml:space="preserve">, ed. Marta Lorente Sariñena, Cuadernos de derecho judicial, VI–2006 (Madrid: Consejo General del Poder Judicial, 2007), 61–104; Carlos Garriga Acosta, “Sobre el gobierno de la justicia en Indias (Siglos XVI-XVII)”, </w:t>
      </w:r>
      <w:r w:rsidRPr="00EE5DEF">
        <w:rPr>
          <w:rFonts w:cs="Times New Roman"/>
          <w:i/>
          <w:iCs/>
          <w:szCs w:val="24"/>
        </w:rPr>
        <w:t>Revista de historia del derecho</w:t>
      </w:r>
      <w:r w:rsidRPr="00EE5DEF">
        <w:rPr>
          <w:rFonts w:cs="Times New Roman"/>
          <w:szCs w:val="24"/>
        </w:rPr>
        <w:t>, núm. 34 (2006): 67–160.</w:t>
      </w:r>
      <w:r>
        <w:fldChar w:fldCharType="end"/>
      </w:r>
    </w:p>
  </w:footnote>
  <w:footnote w:id="17">
    <w:p w14:paraId="161AC6C4" w14:textId="37E2CC4C" w:rsidR="0024234E" w:rsidRDefault="0024234E">
      <w:pPr>
        <w:pStyle w:val="Textonotapie"/>
      </w:pPr>
      <w:r>
        <w:rPr>
          <w:rStyle w:val="Refdenotaalpie"/>
        </w:rPr>
        <w:footnoteRef/>
      </w:r>
      <w:r>
        <w:t xml:space="preserve">  “Fuero, es el lugar del juicio, donde se trata de lo que pertenece al derecho y justicia.” </w:t>
      </w:r>
      <w:r w:rsidRPr="006211F4">
        <w:rPr>
          <w:highlight w:val="yellow"/>
        </w:rPr>
        <w:t xml:space="preserve">Juan de Hevia Bolaños, </w:t>
      </w:r>
      <w:r w:rsidRPr="006211F4">
        <w:rPr>
          <w:i/>
          <w:highlight w:val="yellow"/>
        </w:rPr>
        <w:t xml:space="preserve">Curia </w:t>
      </w:r>
      <w:proofErr w:type="spellStart"/>
      <w:r w:rsidRPr="006211F4">
        <w:rPr>
          <w:i/>
          <w:highlight w:val="yellow"/>
        </w:rPr>
        <w:t>Philipica</w:t>
      </w:r>
      <w:proofErr w:type="spellEnd"/>
      <w:r w:rsidRPr="006211F4">
        <w:rPr>
          <w:highlight w:val="yellow"/>
        </w:rPr>
        <w:t>, nueva impresión (Madrid: oficina de Ram</w:t>
      </w:r>
      <w:r>
        <w:rPr>
          <w:highlight w:val="yellow"/>
        </w:rPr>
        <w:t>ón Ruiz, 1797), t</w:t>
      </w:r>
      <w:r w:rsidRPr="006211F4">
        <w:rPr>
          <w:highlight w:val="yellow"/>
        </w:rPr>
        <w:t xml:space="preserve">. </w:t>
      </w:r>
      <w:r w:rsidRPr="00453281">
        <w:rPr>
          <w:highlight w:val="yellow"/>
        </w:rPr>
        <w:t>I, p. I, §5, núm. 1.</w:t>
      </w:r>
      <w:r>
        <w:t xml:space="preserve"> </w:t>
      </w:r>
      <w:r>
        <w:fldChar w:fldCharType="begin"/>
      </w:r>
      <w:r>
        <w:instrText xml:space="preserve"> ADDIN ZOTERO_ITEM CSL_CITATION {"citationID":"ilgtznzv","properties":{"formattedCitation":"Paolo Prodi, {\\i{}Una historia de la justicia: de la pluralidad de fueros al dualismo moderno entre conciencia y derecho}, trad. Luciano Padilla L\\uc0\\u243{}pez (Madrid: Katz Editores, 2008), 16.","plainCitation":"Paolo Prodi, Una historia de la justicia: de la pluralidad de fueros al dualismo moderno entre conciencia y derecho, trad. Luciano Padilla López (Madrid: Katz Editores, 2008), 16.","noteIndex":18},"citationItems":[{"id":3390,"uris":["http://zotero.org/users/163570/items/C54QSDGR"],"uri":["http://zotero.org/users/163570/items/C54QSDGR"],"itemData":{"id":3390,"type":"book","title":"Una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López","given":"Luciano"}],"issued":{"date-parts":[["2008"]]}},"locator":"16","label":"page"}],"schema":"https://github.com/citation-style-language/schema/raw/master/csl-citation.json"} </w:instrText>
      </w:r>
      <w:r>
        <w:fldChar w:fldCharType="separate"/>
      </w:r>
      <w:r w:rsidRPr="00304BCC">
        <w:rPr>
          <w:rFonts w:cs="Times New Roman"/>
          <w:szCs w:val="24"/>
        </w:rPr>
        <w:t xml:space="preserve">Paolo Prodi, </w:t>
      </w:r>
      <w:r w:rsidRPr="00304BCC">
        <w:rPr>
          <w:rFonts w:cs="Times New Roman"/>
          <w:i/>
          <w:iCs/>
          <w:szCs w:val="24"/>
        </w:rPr>
        <w:t>Una historia de la justicia: de la pluralidad de fueros al dualismo moderno entre conciencia y derecho</w:t>
      </w:r>
      <w:r w:rsidRPr="00304BCC">
        <w:rPr>
          <w:rFonts w:cs="Times New Roman"/>
          <w:szCs w:val="24"/>
        </w:rPr>
        <w:t>, trad. Luciano Padilla López (Madrid: Katz Editores, 2008), 16.</w:t>
      </w:r>
      <w:r>
        <w:fldChar w:fldCharType="end"/>
      </w:r>
    </w:p>
  </w:footnote>
  <w:footnote w:id="18">
    <w:p w14:paraId="23D053B7" w14:textId="68640BBA" w:rsidR="0024234E" w:rsidRPr="00EE7820" w:rsidRDefault="0024234E">
      <w:pPr>
        <w:pStyle w:val="Textonotapie"/>
      </w:pPr>
      <w:r>
        <w:rPr>
          <w:rStyle w:val="Refdenotaalpie"/>
        </w:rPr>
        <w:footnoteRef/>
      </w:r>
      <w:r>
        <w:t xml:space="preserve"> “Toda la ley, aun la civil, afirma Tiberio </w:t>
      </w:r>
      <w:proofErr w:type="spellStart"/>
      <w:r>
        <w:t>Deciano</w:t>
      </w:r>
      <w:proofErr w:type="spellEnd"/>
      <w:r>
        <w:t>, puede ser considerada divina en cuanto ‘</w:t>
      </w:r>
      <w:r>
        <w:rPr>
          <w:i/>
        </w:rPr>
        <w:t xml:space="preserve">per ora </w:t>
      </w:r>
      <w:proofErr w:type="spellStart"/>
      <w:r>
        <w:rPr>
          <w:i/>
        </w:rPr>
        <w:t>Principium</w:t>
      </w:r>
      <w:proofErr w:type="spellEnd"/>
      <w:r>
        <w:rPr>
          <w:i/>
        </w:rPr>
        <w:t xml:space="preserve"> </w:t>
      </w:r>
      <w:proofErr w:type="spellStart"/>
      <w:r>
        <w:rPr>
          <w:i/>
        </w:rPr>
        <w:t>promulgata</w:t>
      </w:r>
      <w:proofErr w:type="spellEnd"/>
      <w:r>
        <w:t xml:space="preserve">’ y, por tanto, la causa formal del derecho es la ley.” </w:t>
      </w:r>
      <w:r>
        <w:fldChar w:fldCharType="begin"/>
      </w:r>
      <w:r>
        <w:instrText xml:space="preserve"> ADDIN ZOTERO_ITEM CSL_CITATION {"citationID":"XGA0dLl4","properties":{"formattedCitation":"Prodi, 378.","plainCitation":"Prodi, 378.","noteIndex":19},"citationItems":[{"id":3390,"uris":["http://zotero.org/users/163570/items/C54QSDGR"],"uri":["http://zotero.org/users/163570/items/C54QSDGR"],"itemData":{"id":3390,"type":"book","title":"Una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López","given":"Luciano"}],"issued":{"date-parts":[["2008"]]}},"locator":"378","label":"page"}],"schema":"https://github.com/citation-style-language/schema/raw/master/csl-citation.json"} </w:instrText>
      </w:r>
      <w:r>
        <w:fldChar w:fldCharType="separate"/>
      </w:r>
      <w:r w:rsidRPr="00F1286E">
        <w:rPr>
          <w:rFonts w:cs="Times New Roman"/>
          <w:szCs w:val="24"/>
        </w:rPr>
        <w:t>Prodi, 378.</w:t>
      </w:r>
      <w:r>
        <w:fldChar w:fldCharType="end"/>
      </w:r>
      <w:r>
        <w:t xml:space="preserve"> </w:t>
      </w:r>
    </w:p>
  </w:footnote>
  <w:footnote w:id="19">
    <w:p w14:paraId="59933058" w14:textId="059A08CA" w:rsidR="0024234E" w:rsidRPr="009577FC" w:rsidRDefault="0024234E" w:rsidP="009577FC">
      <w:pPr>
        <w:pStyle w:val="Textonotapie"/>
      </w:pPr>
      <w:r>
        <w:rPr>
          <w:rStyle w:val="Refdenotaalpie"/>
        </w:rPr>
        <w:footnoteRef/>
      </w:r>
      <w:r w:rsidRPr="009577FC">
        <w:t xml:space="preserve"> </w:t>
      </w:r>
      <w:r>
        <w:fldChar w:fldCharType="begin"/>
      </w:r>
      <w:r>
        <w:instrText xml:space="preserve"> ADDIN ZOTERO_ITEM CSL_CITATION {"citationID":"15cvlaIv","properties":{"formattedCitation":"Paolo Grossi, {\\i{}Mitolog\\uc0\\u237{}a jur\\uc0\\u237{}dica de la modernidad}, trad. Manuel Mart\\uc0\\u237{}nez Neira (Madrid: Trotta, 2003), 27; Jes\\uc0\\u250{}s Vallejo, {\\i{}Ruda equidad, ley consumada: concepci\\uc0\\u243{}n de la potestad normativa, 1250-1350}, Historia de la sociedad pol\\uc0\\u237{}tica (Madrid: Centro de Estudios Constitucionales, 1992).","plainCitation":"Paolo Grossi, Mitología jurídica de la modernidad, trad. Manuel Martínez Neira (Madrid: Trotta, 2003), 27; Jesús Vallejo, Ruda equidad, ley consumada: concepción de la potestad normativa, 1250-1350, Historia de la sociedad política (Madrid: Centro de Estudios Constitucionales, 1992).","noteIndex":20},"citationItems":[{"id":6118,"uris":["http://zotero.org/users/163570/items/W58CJST8"],"uri":["http://zotero.org/users/163570/items/W58CJST8"],"itemData":{"id":6118,"type":"book","title":"Mitología jurídica de la modernidad","publisher":"Trotta","publisher-place":"Madrid","number-of-pages":"93","event-place":"Madrid","ISBN":"84-8164-599-0","language":"es","author":[{"family":"Grossi","given":"Paolo"}],"translator":[{"family":"Martínez Neira","given":"Manuel"}],"issued":{"date-parts":[["2003"]]}},"locator":"27","label":"page"},{"id":6120,"uris":["http://zotero.org/users/163570/items/GN6C6UGH"],"uri":["http://zotero.org/users/163570/items/GN6C6UGH"],"itemData":{"id":6120,"type":"book","title":"Ruda equidad, ley consumada: concepción de la potestad normativa, 1250-1350","collection-title":"Historia de la sociedad política","publisher":"Centro de Estudios Constitucionales","publisher-place":"Madrid","number-of-pages":"476","source":"Library of Congress ISBN","event-place":"Madrid","ISBN":"978-84-259-0924-5","call-number":"KJC390 .V35 1992","shortTitle":"Ruda equidad, ley consumada","language":"es","author":[{"family":"Vallejo","given":"Jesús"}],"issued":{"date-parts":[["1992"]]}},"label":"page"}],"schema":"https://github.com/citation-style-language/schema/raw/master/csl-citation.json"} </w:instrText>
      </w:r>
      <w:r>
        <w:fldChar w:fldCharType="separate"/>
      </w:r>
      <w:r w:rsidRPr="00EE7820">
        <w:rPr>
          <w:rFonts w:cs="Times New Roman"/>
          <w:szCs w:val="24"/>
        </w:rPr>
        <w:t xml:space="preserve">Paolo Grossi, </w:t>
      </w:r>
      <w:r w:rsidRPr="00EE7820">
        <w:rPr>
          <w:rFonts w:cs="Times New Roman"/>
          <w:i/>
          <w:iCs/>
          <w:szCs w:val="24"/>
        </w:rPr>
        <w:t>Mitología jurídica de la modernidad</w:t>
      </w:r>
      <w:r w:rsidRPr="00EE7820">
        <w:rPr>
          <w:rFonts w:cs="Times New Roman"/>
          <w:szCs w:val="24"/>
        </w:rPr>
        <w:t xml:space="preserve">, trad. Manuel Martínez Neira (Madrid: Trotta, 2003), 27; Jesús Vallejo, </w:t>
      </w:r>
      <w:r w:rsidRPr="00EE7820">
        <w:rPr>
          <w:rFonts w:cs="Times New Roman"/>
          <w:i/>
          <w:iCs/>
          <w:szCs w:val="24"/>
        </w:rPr>
        <w:t>Ruda equidad, ley consumada: concepción de la potestad normativa, 1250-1350</w:t>
      </w:r>
      <w:r w:rsidRPr="00EE7820">
        <w:rPr>
          <w:rFonts w:cs="Times New Roman"/>
          <w:szCs w:val="24"/>
        </w:rPr>
        <w:t>, Historia de la sociedad política (Madrid: Centro de Estudios Constitucionales, 1992).</w:t>
      </w:r>
      <w:r>
        <w:fldChar w:fldCharType="end"/>
      </w:r>
    </w:p>
  </w:footnote>
  <w:footnote w:id="20">
    <w:p w14:paraId="788EE939" w14:textId="4223DE85" w:rsidR="0024234E" w:rsidRDefault="0024234E">
      <w:pPr>
        <w:pStyle w:val="Textonotapie"/>
      </w:pPr>
      <w:r>
        <w:rPr>
          <w:rStyle w:val="Refdenotaalpie"/>
        </w:rPr>
        <w:footnoteRef/>
      </w:r>
      <w:r>
        <w:t xml:space="preserve"> </w:t>
      </w:r>
      <w:r>
        <w:fldChar w:fldCharType="begin"/>
      </w:r>
      <w:r>
        <w:instrText xml:space="preserve"> ADDIN ZOTERO_ITEM CSL_CITATION {"citationID":"o3vaFw1E","properties":{"formattedCitation":"Santos Manuel Coronas Gonz\\uc0\\u225{}lez, \\uc0\\u8220{}Hevia Bola\\uc0\\u241{}os y la Curia Philipica\\uc0\\u8221{}, {\\i{}Anuario de historia del derecho espa\\uc0\\u241{}ol}, n\\uc0\\u250{}m. 77 (2007): 77.","plainCitation":"Santos Manuel Coronas González, “Hevia Bolaños y la Curia Philipica”, Anuario de historia del derecho español, núm. 77 (2007): 77.","noteIndex":21},"citationItems":[{"id":8237,"uris":["http://zotero.org/users/163570/items/IAE9CDQX"],"uri":["http://zotero.org/users/163570/items/IAE9CDQX"],"itemData":{"id":8237,"type":"article-journal","title":"Hevia Bolaños y la Curia Philipica","container-title":"Anuario de historia del derecho español","page":"77-93","issue":"77","author":[{"family":"Coronas González","given":"Santos Manuel"}],"issued":{"date-parts":[["2007"]]}},"locator":"77","label":"page"}],"schema":"https://github.com/citation-style-language/schema/raw/master/csl-citation.json"} </w:instrText>
      </w:r>
      <w:r>
        <w:fldChar w:fldCharType="separate"/>
      </w:r>
      <w:r w:rsidRPr="00912BF7">
        <w:rPr>
          <w:rFonts w:cs="Times New Roman"/>
          <w:szCs w:val="24"/>
        </w:rPr>
        <w:t xml:space="preserve">Santos Manuel Coronas González, “Hevia Bolaños y la Curia Philipica”, </w:t>
      </w:r>
      <w:r w:rsidRPr="00912BF7">
        <w:rPr>
          <w:rFonts w:cs="Times New Roman"/>
          <w:i/>
          <w:iCs/>
          <w:szCs w:val="24"/>
        </w:rPr>
        <w:t>Anuario de historia del derecho español</w:t>
      </w:r>
      <w:r w:rsidRPr="00912BF7">
        <w:rPr>
          <w:rFonts w:cs="Times New Roman"/>
          <w:szCs w:val="24"/>
        </w:rPr>
        <w:t>, núm. 77 (2007): 77.</w:t>
      </w:r>
      <w:r>
        <w:fldChar w:fldCharType="end"/>
      </w:r>
    </w:p>
  </w:footnote>
  <w:footnote w:id="21">
    <w:p w14:paraId="7DBA8250" w14:textId="7BDA3DE8" w:rsidR="0024234E" w:rsidRPr="00453281" w:rsidRDefault="0024234E">
      <w:pPr>
        <w:pStyle w:val="Textonotapie"/>
        <w:rPr>
          <w:lang w:val="it-IT"/>
        </w:rPr>
      </w:pPr>
      <w:r>
        <w:rPr>
          <w:rStyle w:val="Refdenotaalpie"/>
        </w:rPr>
        <w:footnoteRef/>
      </w:r>
      <w:r w:rsidRPr="00453281">
        <w:rPr>
          <w:lang w:val="it-IT"/>
        </w:rPr>
        <w:t xml:space="preserve"> </w:t>
      </w:r>
      <w:r w:rsidRPr="00453281">
        <w:rPr>
          <w:highlight w:val="yellow"/>
          <w:lang w:val="it-IT"/>
        </w:rPr>
        <w:t xml:space="preserve">Hevia Bolaños, </w:t>
      </w:r>
      <w:r w:rsidRPr="00453281">
        <w:rPr>
          <w:i/>
          <w:highlight w:val="yellow"/>
          <w:lang w:val="it-IT"/>
        </w:rPr>
        <w:t>Curia Philipica</w:t>
      </w:r>
      <w:r w:rsidRPr="00453281">
        <w:rPr>
          <w:highlight w:val="yellow"/>
          <w:lang w:val="it-IT"/>
        </w:rPr>
        <w:t>, t. I, p. I, §1, núm. 1.</w:t>
      </w:r>
    </w:p>
  </w:footnote>
  <w:footnote w:id="22">
    <w:p w14:paraId="562A1A2B" w14:textId="059EAA0E" w:rsidR="0024234E" w:rsidRPr="00D27351" w:rsidRDefault="0024234E">
      <w:pPr>
        <w:pStyle w:val="Textonotapie"/>
        <w:rPr>
          <w:lang w:val="it-IT"/>
        </w:rPr>
      </w:pPr>
      <w:r>
        <w:rPr>
          <w:rStyle w:val="Refdenotaalpie"/>
        </w:rPr>
        <w:footnoteRef/>
      </w:r>
      <w:r w:rsidRPr="006409A3">
        <w:rPr>
          <w:lang w:val="it-IT"/>
        </w:rPr>
        <w:t xml:space="preserve"> </w:t>
      </w:r>
      <w:r w:rsidRPr="006409A3">
        <w:rPr>
          <w:lang w:val="it-IT"/>
        </w:rPr>
        <w:t xml:space="preserve">Solórzano </w:t>
      </w:r>
      <w:r w:rsidRPr="006409A3">
        <w:rPr>
          <w:lang w:val="it-IT"/>
        </w:rPr>
        <w:t xml:space="preserve">Pereira, Política indiana, lib. </w:t>
      </w:r>
      <w:r w:rsidRPr="00D27351">
        <w:rPr>
          <w:lang w:val="it-IT"/>
        </w:rPr>
        <w:t>I, cap. ix, núm. 8.</w:t>
      </w:r>
    </w:p>
  </w:footnote>
  <w:footnote w:id="23">
    <w:p w14:paraId="38459F24" w14:textId="45A2C5B1" w:rsidR="0024234E" w:rsidRDefault="0024234E">
      <w:pPr>
        <w:pStyle w:val="Textonotapie"/>
      </w:pPr>
      <w:r>
        <w:rPr>
          <w:rStyle w:val="Refdenotaalpie"/>
        </w:rPr>
        <w:footnoteRef/>
      </w:r>
      <w:r w:rsidRPr="00912BF7">
        <w:t xml:space="preserve"> </w:t>
      </w:r>
      <w:r>
        <w:fldChar w:fldCharType="begin"/>
      </w:r>
      <w:r>
        <w:instrText xml:space="preserve"> ADDIN ZOTERO_ITEM CSL_CITATION {"citationID":"fI73Vgkx","properties":{"formattedCitation":"Prodi, {\\i{}Una historia de la justicia}, 42.","plainCitation":"Prodi, Una historia de la justicia, 42.","noteIndex":24},"citationItems":[{"id":3390,"uris":["http://zotero.org/users/163570/items/C54QSDGR"],"uri":["http://zotero.org/users/163570/items/C54QSDGR"],"itemData":{"id":3390,"type":"book","title":"Una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Pr="00B068AB">
        <w:rPr>
          <w:rFonts w:cs="Times New Roman"/>
          <w:szCs w:val="24"/>
        </w:rPr>
        <w:t xml:space="preserve">Prodi, </w:t>
      </w:r>
      <w:r w:rsidRPr="00B068AB">
        <w:rPr>
          <w:rFonts w:cs="Times New Roman"/>
          <w:i/>
          <w:iCs/>
          <w:szCs w:val="24"/>
        </w:rPr>
        <w:t>Una historia de la justicia</w:t>
      </w:r>
      <w:r w:rsidRPr="00B068AB">
        <w:rPr>
          <w:rFonts w:cs="Times New Roman"/>
          <w:szCs w:val="24"/>
        </w:rPr>
        <w:t>, 42.</w:t>
      </w:r>
      <w:r>
        <w:fldChar w:fldCharType="end"/>
      </w:r>
    </w:p>
  </w:footnote>
  <w:footnote w:id="24">
    <w:p w14:paraId="482A1B16" w14:textId="77777777" w:rsidR="000F5B21" w:rsidRPr="00573862" w:rsidRDefault="000F5B21" w:rsidP="000F5B21">
      <w:pPr>
        <w:pStyle w:val="Textonotapie"/>
      </w:pPr>
      <w:r w:rsidRPr="002B6C75">
        <w:rPr>
          <w:rStyle w:val="Refdenotaalpie"/>
        </w:rPr>
        <w:footnoteRef/>
      </w:r>
      <w:r>
        <w:t xml:space="preserve">  Se cita allí la máxima evangélica que rezaba “Ninguna autoridad tendrías contra mí si no se te hubiera dado desde arriba”</w:t>
      </w:r>
      <w:r w:rsidRPr="00AE5979">
        <w:t xml:space="preserve">. </w:t>
      </w:r>
      <w:proofErr w:type="spellStart"/>
      <w:r>
        <w:t>Jn</w:t>
      </w:r>
      <w:proofErr w:type="spellEnd"/>
      <w:r>
        <w:t xml:space="preserve"> 19:11</w:t>
      </w:r>
      <w:r w:rsidRPr="00AE5979">
        <w:t>.</w:t>
      </w:r>
    </w:p>
  </w:footnote>
  <w:footnote w:id="25">
    <w:p w14:paraId="125DF79B" w14:textId="77777777" w:rsidR="000F5B21" w:rsidRPr="00573862" w:rsidRDefault="000F5B21" w:rsidP="000F5B21">
      <w:pPr>
        <w:pStyle w:val="Textonotapie"/>
      </w:pPr>
      <w:r w:rsidRPr="002B6C75">
        <w:rPr>
          <w:rStyle w:val="Refdenotaalpie"/>
        </w:rPr>
        <w:footnoteRef/>
      </w:r>
      <w:r w:rsidRPr="00573862">
        <w:t xml:space="preserve"> “</w:t>
      </w:r>
      <w:r w:rsidRPr="0080525F">
        <w:t>Sométase toda persona a las autoridades superiores porque no hay autoridad que no provenga de Dios; y las que hay, por Dios han sido constituidas.</w:t>
      </w:r>
      <w:r>
        <w:t>”</w:t>
      </w:r>
      <w:r w:rsidRPr="0080525F">
        <w:t xml:space="preserve"> </w:t>
      </w:r>
      <w:proofErr w:type="spellStart"/>
      <w:r w:rsidRPr="0080525F">
        <w:t>Rom</w:t>
      </w:r>
      <w:proofErr w:type="spellEnd"/>
      <w:r w:rsidRPr="0080525F">
        <w:t xml:space="preserve"> 13:1. Murillo Velarde, </w:t>
      </w:r>
      <w:proofErr w:type="spellStart"/>
      <w:r w:rsidRPr="0080525F">
        <w:rPr>
          <w:i/>
        </w:rPr>
        <w:t>Cursus</w:t>
      </w:r>
      <w:proofErr w:type="spellEnd"/>
      <w:r w:rsidRPr="0080525F">
        <w:rPr>
          <w:i/>
        </w:rPr>
        <w:t xml:space="preserve"> iuris </w:t>
      </w:r>
      <w:proofErr w:type="spellStart"/>
      <w:r w:rsidRPr="0080525F">
        <w:rPr>
          <w:i/>
        </w:rPr>
        <w:t>canonici</w:t>
      </w:r>
      <w:proofErr w:type="spellEnd"/>
      <w:r w:rsidRPr="0080525F">
        <w:t xml:space="preserve">, </w:t>
      </w:r>
      <w:r>
        <w:t>“</w:t>
      </w:r>
      <w:r w:rsidRPr="0080525F">
        <w:t xml:space="preserve">Dios eterno, sin principio ni fin, es </w:t>
      </w:r>
      <w:r>
        <w:t>el principio y fin de todas las cosas</w:t>
      </w:r>
      <w:r w:rsidRPr="0080525F">
        <w:t>.</w:t>
      </w:r>
      <w:r>
        <w:t xml:space="preserve"> </w:t>
      </w:r>
      <w:r w:rsidRPr="0080525F">
        <w:t xml:space="preserve">[…] Él </w:t>
      </w:r>
      <w:r>
        <w:t>es el legislador supremo</w:t>
      </w:r>
      <w:r w:rsidRPr="0080525F">
        <w:t xml:space="preserve"> por el cual los reyes reinan </w:t>
      </w:r>
      <w:r>
        <w:t>y los príncipes decretan los que es justo”</w:t>
      </w:r>
      <w:r w:rsidRPr="0080525F">
        <w:t xml:space="preserve"> </w:t>
      </w:r>
      <w:r w:rsidRPr="00CF6A24">
        <w:rPr>
          <w:lang w:val="la-Latn"/>
        </w:rPr>
        <w:t xml:space="preserve">L. I, tit. </w:t>
      </w:r>
      <w:r w:rsidRPr="00CF6A24">
        <w:rPr>
          <w:lang w:val="la-Latn"/>
        </w:rPr>
        <w:t>I, “De summa trinitate et fide catholica”, n. 1; “</w:t>
      </w:r>
      <w:r w:rsidRPr="0080525F">
        <w:rPr>
          <w:lang w:val="la-Latn"/>
        </w:rPr>
        <w:t>El Pontífice [</w:t>
      </w:r>
      <w:r>
        <w:rPr>
          <w:lang w:val="la-Latn"/>
        </w:rPr>
        <w:t>…</w:t>
      </w:r>
      <w:r w:rsidRPr="0080525F">
        <w:rPr>
          <w:lang w:val="la-Latn"/>
        </w:rPr>
        <w:t xml:space="preserve">] </w:t>
      </w:r>
      <w:r>
        <w:t>Su</w:t>
      </w:r>
      <w:r w:rsidRPr="002D344A">
        <w:rPr>
          <w:lang w:val="la-Latn"/>
        </w:rPr>
        <w:t xml:space="preserve"> potesta</w:t>
      </w:r>
      <w:r>
        <w:t>d, concedida inmediatamente por Cristo, se extiende a fieles cristianos de todo el orbe, es decir a los bautizados”</w:t>
      </w:r>
      <w:r w:rsidRPr="00CF6A24">
        <w:rPr>
          <w:lang w:val="la-Latn"/>
        </w:rPr>
        <w:t>. L. I, tit.  XXXI, “De officio judicias ordinarii”, n. 326.</w:t>
      </w:r>
    </w:p>
  </w:footnote>
  <w:footnote w:id="26">
    <w:p w14:paraId="39F0BC44" w14:textId="77777777" w:rsidR="000F5B21" w:rsidRPr="002A7410" w:rsidRDefault="000F5B21" w:rsidP="000F5B21">
      <w:pPr>
        <w:pStyle w:val="Textonotapie"/>
      </w:pPr>
      <w:r w:rsidRPr="002B6C75">
        <w:rPr>
          <w:rStyle w:val="Refdenotaalpie"/>
        </w:rPr>
        <w:footnoteRef/>
      </w:r>
      <w:r>
        <w:t xml:space="preserve"> “Aquella potestad que residía en todos, la transfirieron en uno solo, y la llamaron </w:t>
      </w:r>
      <w:proofErr w:type="spellStart"/>
      <w:r>
        <w:t>Magestad</w:t>
      </w:r>
      <w:proofErr w:type="spellEnd"/>
      <w:r>
        <w:t xml:space="preserve">, que es lo mismo que potestad eminente, </w:t>
      </w:r>
      <w:proofErr w:type="spellStart"/>
      <w:r>
        <w:t>ó</w:t>
      </w:r>
      <w:proofErr w:type="spellEnd"/>
      <w:r>
        <w:t xml:space="preserve"> sumo imperio, y perpetua autoridad sobre toda la República, y con ella la absoluta facultad o regalía de castigar los delitos, perdonarlos indultando la pena </w:t>
      </w:r>
      <w:proofErr w:type="spellStart"/>
      <w:r>
        <w:t>á</w:t>
      </w:r>
      <w:proofErr w:type="spellEnd"/>
      <w:r>
        <w:t xml:space="preserve"> los reos, </w:t>
      </w:r>
      <w:proofErr w:type="spellStart"/>
      <w:r>
        <w:t>ó</w:t>
      </w:r>
      <w:proofErr w:type="spellEnd"/>
      <w:r>
        <w:t xml:space="preserve"> conmutar la señalada por la Ley en otra </w:t>
      </w:r>
      <w:proofErr w:type="spellStart"/>
      <w:r>
        <w:t>mas</w:t>
      </w:r>
      <w:proofErr w:type="spellEnd"/>
      <w:r>
        <w:t xml:space="preserve"> leve según su Voluntad”. Vizcaíno Pérez, </w:t>
      </w:r>
      <w:r>
        <w:rPr>
          <w:i/>
        </w:rPr>
        <w:t>Código y práctica criminal</w:t>
      </w:r>
      <w:r>
        <w:t>, tomo III, n. 422.</w:t>
      </w:r>
    </w:p>
  </w:footnote>
  <w:footnote w:id="27">
    <w:p w14:paraId="63735711" w14:textId="77777777" w:rsidR="000F5B21" w:rsidRPr="00C34A5D" w:rsidRDefault="000F5B21" w:rsidP="000F5B21">
      <w:pPr>
        <w:pStyle w:val="Textonotapie"/>
      </w:pPr>
      <w:r w:rsidRPr="002B6C75">
        <w:rPr>
          <w:rStyle w:val="Refdenotaalpie"/>
        </w:rPr>
        <w:footnoteRef/>
      </w:r>
      <w:r w:rsidRPr="002B5F6C">
        <w:t xml:space="preserve"> López de Cuéllar, </w:t>
      </w:r>
      <w:r w:rsidRPr="002B5F6C">
        <w:rPr>
          <w:i/>
        </w:rPr>
        <w:t xml:space="preserve">Tratado </w:t>
      </w:r>
      <w:proofErr w:type="spellStart"/>
      <w:r w:rsidRPr="002B5F6C">
        <w:rPr>
          <w:i/>
        </w:rPr>
        <w:t>iuridico-politico</w:t>
      </w:r>
      <w:proofErr w:type="spellEnd"/>
      <w:r>
        <w:t xml:space="preserve">, n. 9. “porque siendo la potestad Real una imagen de la Divina </w:t>
      </w:r>
      <w:proofErr w:type="spellStart"/>
      <w:r>
        <w:t>Magestad</w:t>
      </w:r>
      <w:proofErr w:type="spellEnd"/>
      <w:r>
        <w:t xml:space="preserve">, quisieron que también se pareciese </w:t>
      </w:r>
      <w:proofErr w:type="spellStart"/>
      <w:r>
        <w:t>á</w:t>
      </w:r>
      <w:proofErr w:type="spellEnd"/>
      <w:r>
        <w:t xml:space="preserve"> </w:t>
      </w:r>
      <w:proofErr w:type="spellStart"/>
      <w:r>
        <w:t>esta</w:t>
      </w:r>
      <w:proofErr w:type="spellEnd"/>
      <w:r>
        <w:t xml:space="preserve"> en poder </w:t>
      </w:r>
      <w:proofErr w:type="spellStart"/>
      <w:r>
        <w:t>exercitar</w:t>
      </w:r>
      <w:proofErr w:type="spellEnd"/>
      <w:r>
        <w:t xml:space="preserve"> la justicia y la misericordia en los casos que considerase oportunos, para que por aquella fuese temido, y por esta venerado”. Vizcaíno Pérez, </w:t>
      </w:r>
      <w:r>
        <w:rPr>
          <w:i/>
        </w:rPr>
        <w:t>Código y práctica criminal</w:t>
      </w:r>
      <w:r>
        <w:t>, tomo III, n. 422.</w:t>
      </w:r>
    </w:p>
  </w:footnote>
  <w:footnote w:id="28">
    <w:p w14:paraId="5AE00343" w14:textId="77777777" w:rsidR="000F5B21" w:rsidRPr="00653A46" w:rsidRDefault="000F5B21" w:rsidP="000F5B21">
      <w:pPr>
        <w:pStyle w:val="Textonotapie"/>
      </w:pPr>
      <w:r>
        <w:rPr>
          <w:rStyle w:val="Refdenotaalpie"/>
        </w:rPr>
        <w:footnoteRef/>
      </w:r>
      <w:r>
        <w:t xml:space="preserve"> Temor y amor estarían naturalmente vinculados, Alfonso X lo plasmó así: “Natural </w:t>
      </w:r>
      <w:proofErr w:type="spellStart"/>
      <w:r>
        <w:t>razon</w:t>
      </w:r>
      <w:proofErr w:type="spellEnd"/>
      <w:r>
        <w:t xml:space="preserve"> es, que el </w:t>
      </w:r>
      <w:proofErr w:type="spellStart"/>
      <w:r>
        <w:t>ome</w:t>
      </w:r>
      <w:proofErr w:type="spellEnd"/>
      <w:r>
        <w:t xml:space="preserve"> non puede amar ninguna cosa </w:t>
      </w:r>
      <w:proofErr w:type="spellStart"/>
      <w:r>
        <w:t>conplidamente</w:t>
      </w:r>
      <w:proofErr w:type="spellEnd"/>
      <w:r>
        <w:t xml:space="preserve"> si la non teme” </w:t>
      </w:r>
      <w:r w:rsidRPr="004413A4">
        <w:rPr>
          <w:i/>
        </w:rPr>
        <w:t>Las Siete Partidas</w:t>
      </w:r>
      <w:r>
        <w:t xml:space="preserve">, P. II, tít. II, l. III. </w:t>
      </w:r>
      <w:proofErr w:type="spellStart"/>
      <w:r>
        <w:t>Bovadilla</w:t>
      </w:r>
      <w:proofErr w:type="spellEnd"/>
      <w:r>
        <w:t xml:space="preserve"> comentó al respecto que “si el juez no es amado y temido, nunca será obedecido”. Castillo de </w:t>
      </w:r>
      <w:proofErr w:type="spellStart"/>
      <w:r>
        <w:t>Bovadilla</w:t>
      </w:r>
      <w:proofErr w:type="spellEnd"/>
      <w:r>
        <w:t xml:space="preserve">, </w:t>
      </w:r>
      <w:proofErr w:type="spellStart"/>
      <w:r>
        <w:rPr>
          <w:i/>
        </w:rPr>
        <w:t>Politica</w:t>
      </w:r>
      <w:proofErr w:type="spellEnd"/>
      <w:r>
        <w:rPr>
          <w:i/>
        </w:rPr>
        <w:t xml:space="preserve"> para corregidores</w:t>
      </w:r>
      <w:r>
        <w:t>, lib. III, cap. XII, núm. 11.</w:t>
      </w:r>
    </w:p>
  </w:footnote>
  <w:footnote w:id="29">
    <w:p w14:paraId="5EEA043E" w14:textId="77777777" w:rsidR="000F5B21" w:rsidRDefault="000F5B21" w:rsidP="000F5B21">
      <w:pPr>
        <w:pStyle w:val="Textonotapie"/>
      </w:pPr>
      <w:r>
        <w:rPr>
          <w:rStyle w:val="Refdenotaalpie"/>
        </w:rPr>
        <w:footnoteRef/>
      </w:r>
      <w:r>
        <w:t xml:space="preserve"> </w:t>
      </w:r>
      <w:r>
        <w:fldChar w:fldCharType="begin"/>
      </w:r>
      <w:r>
        <w:instrText xml:space="preserve"> ADDIN ZOTERO_ITEM CSL_CITATION {"citationID":"LIOVVFrs","properties":{"formattedCitation":"Michel Foucault, {\\i{}Vigilar y castigar: nacimiento de la prisi\\uc0\\u243{}n}, trad. Aurelio Garz\\uc0\\u243{}n del Camino, 2a edici\\uc0\\u243{}n revisada (M\\uc0\\u233{}xico: Siglo Veintiuno, 2015), 64.","plainCitation":"Michel Foucault, Vigilar y castigar: nacimiento de la prisión, trad. Aurelio Garzón del Camino, 2a edición revisada (México: Siglo Veintiuno, 2015), 64.","noteIndex":43},"citationItems":[{"id":8219,"uris":["http://zotero.org/users/163570/items/FSB4WV2J"],"uri":["http://zotero.org/users/163570/items/FSB4WV2J"],"itemData":{"id":8219,"type":"book","title":"Vigilar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Camino","given":"Aurelio"}],"issued":{"date-parts":[["2015"]]}},"locator":"64","label":"page"}],"schema":"https://github.com/citation-style-language/schema/raw/master/csl-citation.json"} </w:instrText>
      </w:r>
      <w:r>
        <w:fldChar w:fldCharType="separate"/>
      </w:r>
      <w:r w:rsidRPr="00F14FA0">
        <w:rPr>
          <w:rFonts w:cs="Times New Roman"/>
          <w:szCs w:val="24"/>
        </w:rPr>
        <w:t xml:space="preserve">Michel Foucault, </w:t>
      </w:r>
      <w:r w:rsidRPr="00F14FA0">
        <w:rPr>
          <w:rFonts w:cs="Times New Roman"/>
          <w:i/>
          <w:iCs/>
          <w:szCs w:val="24"/>
        </w:rPr>
        <w:t>Vigilar y castigar: nacimiento de la prisión</w:t>
      </w:r>
      <w:r w:rsidRPr="00F14FA0">
        <w:rPr>
          <w:rFonts w:cs="Times New Roman"/>
          <w:szCs w:val="24"/>
        </w:rPr>
        <w:t>, trad. Aurelio Garzón del Camino, 2a edición revisada (México: Siglo Veintiuno, 2015), 64.</w:t>
      </w:r>
      <w:r>
        <w:fldChar w:fldCharType="end"/>
      </w:r>
    </w:p>
  </w:footnote>
  <w:footnote w:id="30">
    <w:p w14:paraId="52B1B5BC" w14:textId="77777777" w:rsidR="000F5B21" w:rsidRPr="005A04A0" w:rsidRDefault="000F5B21" w:rsidP="000F5B21">
      <w:pPr>
        <w:pStyle w:val="Textonotapie"/>
      </w:pPr>
      <w:r w:rsidRPr="002B6C75">
        <w:rPr>
          <w:rStyle w:val="Refdenotaalpie"/>
        </w:rPr>
        <w:footnoteRef/>
      </w:r>
      <w:r w:rsidRPr="00395402">
        <w:t xml:space="preserve"> “Perdonar es no castigar a quien consideras digno de castigo; el perdón es la absolución de un castigo merecido.” </w:t>
      </w:r>
      <w:r>
        <w:rPr>
          <w:lang w:val="it-IT"/>
        </w:rPr>
        <w:t>(</w:t>
      </w:r>
      <w:r w:rsidRPr="00B91863">
        <w:rPr>
          <w:i/>
          <w:lang w:val="it-IT"/>
        </w:rPr>
        <w:t>Ignoscere autem est, quem iudices puniendum, non punire; venia debitae poenae remissio est.</w:t>
      </w:r>
      <w:r>
        <w:rPr>
          <w:lang w:val="it-IT"/>
        </w:rPr>
        <w:t>)</w:t>
      </w:r>
      <w:r w:rsidRPr="005A04A0">
        <w:rPr>
          <w:lang w:val="it-IT"/>
        </w:rPr>
        <w:t xml:space="preserve"> </w:t>
      </w:r>
      <w:r>
        <w:t xml:space="preserve">Seneca, </w:t>
      </w:r>
      <w:r w:rsidRPr="008E372D">
        <w:rPr>
          <w:lang w:eastAsia="es-MX"/>
        </w:rPr>
        <w:t xml:space="preserve">“De </w:t>
      </w:r>
      <w:proofErr w:type="spellStart"/>
      <w:r w:rsidRPr="008E372D">
        <w:rPr>
          <w:lang w:eastAsia="es-MX"/>
        </w:rPr>
        <w:t>Clementia</w:t>
      </w:r>
      <w:proofErr w:type="spellEnd"/>
      <w:r w:rsidRPr="008E372D">
        <w:rPr>
          <w:lang w:eastAsia="es-MX"/>
        </w:rPr>
        <w:t>”</w:t>
      </w:r>
      <w:r>
        <w:t xml:space="preserve">, </w:t>
      </w:r>
      <w:proofErr w:type="spellStart"/>
      <w:r>
        <w:t>Liber</w:t>
      </w:r>
      <w:proofErr w:type="spellEnd"/>
      <w:r>
        <w:t xml:space="preserve"> II, párr. 7. Tomás de Aquino, </w:t>
      </w:r>
      <w:r w:rsidRPr="0015193A">
        <w:rPr>
          <w:lang w:eastAsia="es-MX"/>
        </w:rPr>
        <w:t>“</w:t>
      </w:r>
      <w:proofErr w:type="spellStart"/>
      <w:r w:rsidRPr="0015193A">
        <w:rPr>
          <w:lang w:eastAsia="es-MX"/>
        </w:rPr>
        <w:t>Summa</w:t>
      </w:r>
      <w:proofErr w:type="spellEnd"/>
      <w:r w:rsidRPr="0015193A">
        <w:rPr>
          <w:lang w:eastAsia="es-MX"/>
        </w:rPr>
        <w:t xml:space="preserve"> </w:t>
      </w:r>
      <w:proofErr w:type="spellStart"/>
      <w:r w:rsidRPr="0015193A">
        <w:rPr>
          <w:lang w:eastAsia="es-MX"/>
        </w:rPr>
        <w:t>Theologiae</w:t>
      </w:r>
      <w:proofErr w:type="spellEnd"/>
      <w:r w:rsidRPr="0015193A">
        <w:rPr>
          <w:lang w:eastAsia="es-MX"/>
        </w:rPr>
        <w:t>”</w:t>
      </w:r>
      <w:r>
        <w:rPr>
          <w:lang w:eastAsia="es-MX"/>
        </w:rPr>
        <w:t>,</w:t>
      </w:r>
      <w:r>
        <w:t xml:space="preserve"> </w:t>
      </w:r>
      <w:proofErr w:type="spellStart"/>
      <w:r w:rsidRPr="005A04A0">
        <w:t>IIª-IIae</w:t>
      </w:r>
      <w:proofErr w:type="spellEnd"/>
      <w:r w:rsidRPr="005A04A0">
        <w:t>, q. 157 a. 2 ad 2</w:t>
      </w:r>
      <w:r>
        <w:t>.</w:t>
      </w:r>
    </w:p>
  </w:footnote>
  <w:footnote w:id="31">
    <w:p w14:paraId="0695C6C4" w14:textId="77777777" w:rsidR="000F5B21" w:rsidRDefault="000F5B21" w:rsidP="000F5B21">
      <w:pPr>
        <w:pStyle w:val="Textonotapie"/>
      </w:pPr>
      <w:r>
        <w:rPr>
          <w:rStyle w:val="Refdenotaalpie"/>
        </w:rPr>
        <w:footnoteRef/>
      </w:r>
      <w:r>
        <w:t xml:space="preserve"> </w:t>
      </w:r>
      <w:r>
        <w:fldChar w:fldCharType="begin"/>
      </w:r>
      <w:r>
        <w:instrText xml:space="preserve"> ADDIN ZOTERO_ITEM CSL_CITATION {"citationID":"BJMXXsYz","properties":{"formattedCitation":"Calder\\uc0\\u243{}n de la Barca, {\\i{}El indulto general}, vv. 1257\\uc0\\u8211{}1265.","plainCitation":"Calderón de la Barca, El indulto general, vv. 1257–1265.","noteIndex":45},"citationItems":[{"id":8192,"uris":["http://zotero.org/users/163570/items/AY4587QQ"],"uri":["http://zotero.org/users/163570/items/AY4587QQ"],"itemData":{"id":8192,"type":"book","title":"El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Manuel"}],"issued":{"date-parts":[["1996"]]}},"locator":"1257-1265","label":"verse"}],"schema":"https://github.com/citation-style-language/schema/raw/master/csl-citation.json"}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vv. 1257–1265.</w:t>
      </w:r>
      <w:r>
        <w:fldChar w:fldCharType="end"/>
      </w:r>
    </w:p>
  </w:footnote>
  <w:footnote w:id="32">
    <w:p w14:paraId="29C328FD" w14:textId="1A5E1F8B" w:rsidR="0024234E" w:rsidRPr="00755E15" w:rsidRDefault="0024234E">
      <w:pPr>
        <w:pStyle w:val="Textonotapie"/>
      </w:pPr>
      <w:r>
        <w:rPr>
          <w:rStyle w:val="Refdenotaalpie"/>
        </w:rPr>
        <w:footnoteRef/>
      </w:r>
      <w:r>
        <w:t xml:space="preserve"> </w:t>
      </w:r>
      <w:r w:rsidRPr="006211F4">
        <w:rPr>
          <w:highlight w:val="yellow"/>
        </w:rPr>
        <w:t xml:space="preserve">Alonso de Zorita, </w:t>
      </w:r>
      <w:r w:rsidRPr="006211F4">
        <w:rPr>
          <w:i/>
          <w:iCs/>
          <w:highlight w:val="yellow"/>
        </w:rPr>
        <w:t>Breve y sumaria relación de los señores de la Nueva España</w:t>
      </w:r>
      <w:r w:rsidRPr="006211F4">
        <w:rPr>
          <w:highlight w:val="yellow"/>
        </w:rPr>
        <w:t>, ed. Joaquín Ramírez Cabañas, Segunda edición (México: Universidad Nacional Autónoma de México, 1963), 56-57</w:t>
      </w:r>
    </w:p>
  </w:footnote>
  <w:footnote w:id="33">
    <w:p w14:paraId="2F808296" w14:textId="6367E4F0" w:rsidR="0024234E" w:rsidRDefault="0024234E">
      <w:pPr>
        <w:pStyle w:val="Textonotapie"/>
      </w:pPr>
      <w:r>
        <w:rPr>
          <w:rStyle w:val="Refdenotaalpie"/>
        </w:rPr>
        <w:footnoteRef/>
      </w:r>
      <w:r>
        <w:t xml:space="preserve"> Zorita, 59.</w:t>
      </w:r>
    </w:p>
  </w:footnote>
  <w:footnote w:id="34">
    <w:p w14:paraId="217FAAD7" w14:textId="3E5B4536" w:rsidR="0024234E" w:rsidRDefault="0024234E">
      <w:pPr>
        <w:pStyle w:val="Textonotapie"/>
      </w:pPr>
      <w:r>
        <w:rPr>
          <w:rStyle w:val="Refdenotaalpie"/>
        </w:rPr>
        <w:footnoteRef/>
      </w:r>
      <w:r>
        <w:t xml:space="preserve"> Zorita, 65.</w:t>
      </w:r>
    </w:p>
  </w:footnote>
  <w:footnote w:id="35">
    <w:p w14:paraId="6815931B" w14:textId="77777777" w:rsidR="0024234E" w:rsidRPr="00137320" w:rsidRDefault="0024234E" w:rsidP="00F22980">
      <w:pPr>
        <w:pStyle w:val="Textonotapie"/>
      </w:pPr>
      <w:r>
        <w:rPr>
          <w:rStyle w:val="Refdenotaalpie"/>
        </w:rPr>
        <w:footnoteRef/>
      </w:r>
      <w:r>
        <w:t xml:space="preserve"> Saavedra Fajardo, </w:t>
      </w:r>
      <w:r w:rsidRPr="00700CBA">
        <w:rPr>
          <w:i/>
        </w:rPr>
        <w:t xml:space="preserve">Idea de un príncipe político </w:t>
      </w:r>
      <w:proofErr w:type="spellStart"/>
      <w:r w:rsidRPr="00700CBA">
        <w:rPr>
          <w:i/>
        </w:rPr>
        <w:t>christiano</w:t>
      </w:r>
      <w:proofErr w:type="spellEnd"/>
      <w:r w:rsidRPr="00700CBA">
        <w:rPr>
          <w:i/>
        </w:rPr>
        <w:t xml:space="preserve"> representada en cien empresas</w:t>
      </w:r>
      <w:r>
        <w:t xml:space="preserve"> (Mónaco, s.n., 1640, Milán, s.n., 1642) lema “</w:t>
      </w:r>
      <w:proofErr w:type="spellStart"/>
      <w:r>
        <w:t>præsidia</w:t>
      </w:r>
      <w:proofErr w:type="spellEnd"/>
      <w:r>
        <w:t xml:space="preserve"> </w:t>
      </w:r>
      <w:proofErr w:type="spellStart"/>
      <w:r>
        <w:t>maiestatis</w:t>
      </w:r>
      <w:proofErr w:type="spellEnd"/>
      <w:r>
        <w:t>”. Juan de Mariana también cita a un autor anónimo para decir que “si se hubiesen castigado todas las faltas cometidas, ya hace tiempo que la humanidad no existiría” (</w:t>
      </w:r>
      <w:r w:rsidRPr="00137320">
        <w:rPr>
          <w:i/>
        </w:rPr>
        <w:t xml:space="preserve">Si </w:t>
      </w:r>
      <w:proofErr w:type="spellStart"/>
      <w:r w:rsidRPr="00137320">
        <w:rPr>
          <w:i/>
        </w:rPr>
        <w:t>peccatis</w:t>
      </w:r>
      <w:proofErr w:type="spellEnd"/>
      <w:r w:rsidRPr="00137320">
        <w:rPr>
          <w:i/>
        </w:rPr>
        <w:t xml:space="preserve"> </w:t>
      </w:r>
      <w:proofErr w:type="spellStart"/>
      <w:r w:rsidRPr="00137320">
        <w:rPr>
          <w:i/>
        </w:rPr>
        <w:t>supplicia</w:t>
      </w:r>
      <w:proofErr w:type="spellEnd"/>
      <w:r w:rsidRPr="00137320">
        <w:rPr>
          <w:i/>
        </w:rPr>
        <w:t xml:space="preserve"> </w:t>
      </w:r>
      <w:proofErr w:type="spellStart"/>
      <w:r w:rsidRPr="00137320">
        <w:rPr>
          <w:i/>
        </w:rPr>
        <w:t>metiatur</w:t>
      </w:r>
      <w:proofErr w:type="spellEnd"/>
      <w:r w:rsidRPr="00137320">
        <w:rPr>
          <w:i/>
        </w:rPr>
        <w:t xml:space="preserve">, </w:t>
      </w:r>
      <w:proofErr w:type="spellStart"/>
      <w:r w:rsidRPr="00137320">
        <w:rPr>
          <w:i/>
        </w:rPr>
        <w:t>iam</w:t>
      </w:r>
      <w:proofErr w:type="spellEnd"/>
      <w:r w:rsidRPr="00137320">
        <w:rPr>
          <w:i/>
        </w:rPr>
        <w:t xml:space="preserve"> </w:t>
      </w:r>
      <w:proofErr w:type="spellStart"/>
      <w:r w:rsidRPr="00137320">
        <w:rPr>
          <w:i/>
        </w:rPr>
        <w:t>pridem</w:t>
      </w:r>
      <w:proofErr w:type="spellEnd"/>
      <w:r w:rsidRPr="00137320">
        <w:rPr>
          <w:i/>
        </w:rPr>
        <w:t xml:space="preserve"> </w:t>
      </w:r>
      <w:proofErr w:type="spellStart"/>
      <w:r w:rsidRPr="00137320">
        <w:rPr>
          <w:i/>
        </w:rPr>
        <w:t>genus</w:t>
      </w:r>
      <w:proofErr w:type="spellEnd"/>
      <w:r w:rsidRPr="00137320">
        <w:rPr>
          <w:i/>
        </w:rPr>
        <w:t xml:space="preserve"> </w:t>
      </w:r>
      <w:proofErr w:type="spellStart"/>
      <w:r w:rsidRPr="00137320">
        <w:rPr>
          <w:i/>
        </w:rPr>
        <w:t>humanum</w:t>
      </w:r>
      <w:proofErr w:type="spellEnd"/>
      <w:r w:rsidRPr="00137320">
        <w:rPr>
          <w:i/>
        </w:rPr>
        <w:t xml:space="preserve"> </w:t>
      </w:r>
      <w:proofErr w:type="spellStart"/>
      <w:r w:rsidRPr="00137320">
        <w:rPr>
          <w:i/>
        </w:rPr>
        <w:t>extinxerit</w:t>
      </w:r>
      <w:proofErr w:type="spellEnd"/>
      <w:r>
        <w:t xml:space="preserve">) trad. </w:t>
      </w:r>
      <w:r w:rsidRPr="00D31176">
        <w:t xml:space="preserve">Luis Sánchez Agesta de Juan de Mariana, </w:t>
      </w:r>
      <w:r w:rsidRPr="00D31176">
        <w:rPr>
          <w:i/>
        </w:rPr>
        <w:t xml:space="preserve">De </w:t>
      </w:r>
      <w:proofErr w:type="spellStart"/>
      <w:r w:rsidRPr="00D31176">
        <w:rPr>
          <w:i/>
        </w:rPr>
        <w:t>rege</w:t>
      </w:r>
      <w:proofErr w:type="spellEnd"/>
      <w:r w:rsidRPr="00D31176">
        <w:rPr>
          <w:i/>
        </w:rPr>
        <w:t xml:space="preserve"> et </w:t>
      </w:r>
      <w:proofErr w:type="spellStart"/>
      <w:r w:rsidRPr="00D31176">
        <w:rPr>
          <w:i/>
        </w:rPr>
        <w:t>regis</w:t>
      </w:r>
      <w:proofErr w:type="spellEnd"/>
      <w:r w:rsidRPr="00D31176">
        <w:rPr>
          <w:i/>
        </w:rPr>
        <w:t xml:space="preserve"> </w:t>
      </w:r>
      <w:proofErr w:type="spellStart"/>
      <w:r w:rsidRPr="00D31176">
        <w:rPr>
          <w:i/>
        </w:rPr>
        <w:t>institutione</w:t>
      </w:r>
      <w:proofErr w:type="spellEnd"/>
      <w:r w:rsidRPr="00D31176">
        <w:t xml:space="preserve"> (Toledo: tipografía de Pedro Rodr</w:t>
      </w:r>
      <w:r>
        <w:t>íguez, 1599)</w:t>
      </w:r>
      <w:r w:rsidRPr="00D31176">
        <w:t xml:space="preserve"> lib. </w:t>
      </w:r>
      <w:r>
        <w:t>II, cap. XII.</w:t>
      </w:r>
    </w:p>
  </w:footnote>
  <w:footnote w:id="36">
    <w:p w14:paraId="1EB953B1" w14:textId="05BB4A71" w:rsidR="0024234E" w:rsidRDefault="0024234E" w:rsidP="00F22980">
      <w:pPr>
        <w:pStyle w:val="Textonotapie"/>
      </w:pPr>
      <w:r>
        <w:rPr>
          <w:rStyle w:val="Refdenotaalpie"/>
        </w:rPr>
        <w:footnoteRef/>
      </w:r>
      <w:r>
        <w:t xml:space="preserve"> </w:t>
      </w:r>
      <w:r>
        <w:fldChar w:fldCharType="begin"/>
      </w:r>
      <w:r>
        <w:instrText xml:space="preserve"> ADDIN ZOTERO_ITEM CSL_CITATION {"citationID":"yYCHYdV9","properties":{"formattedCitation":"Francisco Tom\\uc0\\u225{}s y Valiente, \\uc0\\u8220{}\\uc0\\u171{}In dubio pro reo\\uc0\\u187{}, libre apreciaci\\uc0\\u243{}n de la prueba y presunci\\uc0\\u243{}n de inocencia\\uc0\\u8221{}, {\\i{}Revista Espa\\uc0\\u241{}ola de Derecho Constitucional}, n\\uc0\\u250{}m. 20 (1987): 14.","plainCitation":"Francisco Tomás y Valiente, “«In dubio pro reo», libre apreciación de la prueba y presunción de inocencia”, Revista Española de Derecho Constitucional, núm. 20 (1987): 14.","noteIndex":29},"citationItems":[{"id":8214,"uris":["http://zotero.org/users/163570/items/6KAVYLUY"],"uri":["http://zotero.org/users/163570/items/6KAVYLUY"],"itemData":{"id":8214,"type":"article-journal","title":"«In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AE3978">
        <w:rPr>
          <w:rFonts w:cs="Times New Roman"/>
          <w:szCs w:val="24"/>
        </w:rPr>
        <w:t xml:space="preserve">Francisco Tomás y Valiente, “«In dubio pro reo», libre apreciación de la prueba y presunción de inocencia”, </w:t>
      </w:r>
      <w:r w:rsidRPr="00AE3978">
        <w:rPr>
          <w:rFonts w:cs="Times New Roman"/>
          <w:i/>
          <w:iCs/>
          <w:szCs w:val="24"/>
        </w:rPr>
        <w:t>Revista Española de Derecho Constitucional</w:t>
      </w:r>
      <w:r w:rsidRPr="00AE3978">
        <w:rPr>
          <w:rFonts w:cs="Times New Roman"/>
          <w:szCs w:val="24"/>
        </w:rPr>
        <w:t>, núm. 20 (1987): 14.</w:t>
      </w:r>
      <w:r>
        <w:fldChar w:fldCharType="end"/>
      </w:r>
      <w:r>
        <w:t xml:space="preserve"> Paz Alonso diría que “El proceso era la aventura de la caza del reo, la búsqueda del trofeo de su condena”. </w:t>
      </w:r>
      <w:r>
        <w:fldChar w:fldCharType="begin"/>
      </w:r>
      <w:r>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201.","noteIndex":29},"citationItems":[{"id":8216,"uris":["http://zotero.org/users/163570/items/UAKUXGM3"],"uri":["http://zotero.org/users/163570/items/UAKUXGM3"],"itemData":{"id":8216,"type":"article-journal","title":"El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FF087F">
        <w:rPr>
          <w:rFonts w:cs="Times New Roman"/>
          <w:szCs w:val="24"/>
        </w:rPr>
        <w:t xml:space="preserve">María Paz Alonso Romero, “El proceso penal en la Castilla Moderna”, </w:t>
      </w:r>
      <w:r w:rsidRPr="00FF087F">
        <w:rPr>
          <w:rFonts w:cs="Times New Roman"/>
          <w:i/>
          <w:iCs/>
          <w:szCs w:val="24"/>
        </w:rPr>
        <w:t>Estudis: Revista de historia moderna</w:t>
      </w:r>
      <w:r w:rsidRPr="00FF087F">
        <w:rPr>
          <w:rFonts w:cs="Times New Roman"/>
          <w:szCs w:val="24"/>
        </w:rPr>
        <w:t>, núm. 22 (1996): 201.</w:t>
      </w:r>
      <w:r>
        <w:fldChar w:fldCharType="end"/>
      </w:r>
    </w:p>
  </w:footnote>
  <w:footnote w:id="37">
    <w:p w14:paraId="46CC81D2" w14:textId="53542CFF" w:rsidR="0024234E" w:rsidRDefault="0024234E" w:rsidP="00F22980">
      <w:pPr>
        <w:pStyle w:val="Textonotapie"/>
      </w:pPr>
      <w:r>
        <w:rPr>
          <w:rStyle w:val="Refdenotaalpie"/>
        </w:rPr>
        <w:footnoteRef/>
      </w:r>
      <w:r>
        <w:t xml:space="preserve"> </w:t>
      </w:r>
      <w:r>
        <w:fldChar w:fldCharType="begin"/>
      </w:r>
      <w:r>
        <w:instrText xml:space="preserve"> ADDIN ZOTERO_ITEM CSL_CITATION {"citationID":"al28obnw","properties":{"formattedCitation":"Calder\\uc0\\u243{}n de la Barca, {\\i{}El indulto general}, 9\\uc0\\u8211{}10.","plainCitation":"Calderón de la Barca, El indulto general, 9–10.","noteIndex":30},"citationItems":[{"id":8192,"uris":["http://zotero.org/users/163570/items/AY4587QQ"],"uri":["http://zotero.org/users/163570/items/AY4587QQ"],"itemData":{"id":8192,"type":"book","title":"El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9–10.</w:t>
      </w:r>
      <w:r>
        <w:fldChar w:fldCharType="end"/>
      </w:r>
    </w:p>
  </w:footnote>
  <w:footnote w:id="38">
    <w:p w14:paraId="2E9D2AEF" w14:textId="589353CB" w:rsidR="0024234E" w:rsidRDefault="0024234E" w:rsidP="00F22980">
      <w:pPr>
        <w:pStyle w:val="Textonotapie"/>
      </w:pPr>
      <w:r>
        <w:rPr>
          <w:rStyle w:val="Refdenotaalpie"/>
        </w:rPr>
        <w:footnoteRef/>
      </w:r>
      <w:r>
        <w:t xml:space="preserve"> </w:t>
      </w:r>
      <w:r>
        <w:fldChar w:fldCharType="begin"/>
      </w:r>
      <w:r>
        <w:instrText xml:space="preserve"> ADDIN ZOTERO_ITEM CSL_CITATION {"citationID":"m0owZl73","properties":{"formattedCitation":"Tom\\uc0\\u225{}s y Valiente, \\uc0\\u8220{}\\uc0\\u171{}In dubio pro reo\\uc0\\u187{}\\uc0\\u8221{}, 12\\uc0\\u8211{}13.","plainCitation":"Tomás y Valiente, “«In dubio pro reo»”, 12–13.","noteIndex":31},"citationItems":[{"id":8214,"uris":["http://zotero.org/users/163570/items/6KAVYLUY"],"uri":["http://zotero.org/users/163570/items/6KAVYLUY"],"itemData":{"id":8214,"type":"article-journal","title":"«In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EF718A">
        <w:rPr>
          <w:rFonts w:cs="Times New Roman"/>
          <w:szCs w:val="24"/>
        </w:rPr>
        <w:t>Tomás y Valiente, “«In dubio pro reo»”, 12–13.</w:t>
      </w:r>
      <w:r>
        <w:fldChar w:fldCharType="end"/>
      </w:r>
    </w:p>
  </w:footnote>
  <w:footnote w:id="39">
    <w:p w14:paraId="5E84DDE7" w14:textId="58F00AC1" w:rsidR="0024234E" w:rsidRDefault="0024234E" w:rsidP="00F22980">
      <w:pPr>
        <w:pStyle w:val="Textonotapie"/>
      </w:pPr>
      <w:r>
        <w:rPr>
          <w:rStyle w:val="Refdenotaalpie"/>
        </w:rPr>
        <w:footnoteRef/>
      </w:r>
      <w:r>
        <w:t xml:space="preserve"> </w:t>
      </w:r>
      <w:r>
        <w:fldChar w:fldCharType="begin"/>
      </w:r>
      <w:r>
        <w:instrText xml:space="preserve"> ADDIN ZOTERO_ITEM CSL_CITATION {"citationID":"pNUEkrH4","properties":{"formattedCitation":"Tom\\uc0\\u225{}s y Valiente, 12.","plainCitation":"Tomás y Valiente, 12.","noteIndex":32},"citationItems":[{"id":8214,"uris":["http://zotero.org/users/163570/items/6KAVYLUY"],"uri":["http://zotero.org/users/163570/items/6KAVYLUY"],"itemData":{"id":8214,"type":"article-journal","title":"«In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736260">
        <w:rPr>
          <w:rFonts w:cs="Times New Roman"/>
          <w:szCs w:val="24"/>
        </w:rPr>
        <w:t>Tomás y Valiente, 12.</w:t>
      </w:r>
      <w:r>
        <w:fldChar w:fldCharType="end"/>
      </w:r>
    </w:p>
  </w:footnote>
  <w:footnote w:id="40">
    <w:p w14:paraId="2A41C0E9" w14:textId="77777777" w:rsidR="0024234E" w:rsidRDefault="0024234E" w:rsidP="00F22980">
      <w:pPr>
        <w:pStyle w:val="Textonotapie"/>
      </w:pPr>
      <w:r>
        <w:rPr>
          <w:rStyle w:val="Refdenotaalpie"/>
        </w:rPr>
        <w:footnoteRef/>
      </w:r>
      <w:r>
        <w:t xml:space="preserve"> Referencia en el original a tres citas bíblicas: Mt 12:7, Sal 106, Pr 3:3.</w:t>
      </w:r>
    </w:p>
  </w:footnote>
  <w:footnote w:id="41">
    <w:p w14:paraId="379263E4" w14:textId="77777777" w:rsidR="0024234E" w:rsidRPr="0020271B" w:rsidRDefault="0024234E" w:rsidP="00F22980">
      <w:pPr>
        <w:pStyle w:val="Textonotapie"/>
      </w:pPr>
      <w:r>
        <w:rPr>
          <w:rStyle w:val="Refdenotaalpie"/>
        </w:rPr>
        <w:footnoteRef/>
      </w:r>
      <w:r>
        <w:t xml:space="preserve"> Guardiola y Sáez, </w:t>
      </w:r>
      <w:r>
        <w:rPr>
          <w:i/>
        </w:rPr>
        <w:t>El corregidor perfecto</w:t>
      </w:r>
      <w:r>
        <w:t xml:space="preserve">, parte II, </w:t>
      </w:r>
      <w:r w:rsidRPr="0020271B">
        <w:t>§</w:t>
      </w:r>
      <w:r>
        <w:t xml:space="preserve"> IV, núm. 33.</w:t>
      </w:r>
    </w:p>
  </w:footnote>
  <w:footnote w:id="42">
    <w:p w14:paraId="060EF2FB" w14:textId="77777777" w:rsidR="0024234E" w:rsidRPr="00C054C4" w:rsidRDefault="0024234E" w:rsidP="00F22980">
      <w:pPr>
        <w:pStyle w:val="Textonotapie"/>
      </w:pPr>
      <w:r>
        <w:rPr>
          <w:rStyle w:val="Refdenotaalpie"/>
        </w:rPr>
        <w:footnoteRef/>
      </w:r>
      <w:r>
        <w:t xml:space="preserve"> Jerónimo Castillo de </w:t>
      </w:r>
      <w:proofErr w:type="spellStart"/>
      <w:r>
        <w:t>Bovadilla</w:t>
      </w:r>
      <w:proofErr w:type="spellEnd"/>
      <w:r>
        <w:t xml:space="preserve">, </w:t>
      </w:r>
      <w:proofErr w:type="spellStart"/>
      <w:r>
        <w:rPr>
          <w:i/>
        </w:rPr>
        <w:t>Politica</w:t>
      </w:r>
      <w:proofErr w:type="spellEnd"/>
      <w:r>
        <w:rPr>
          <w:i/>
        </w:rPr>
        <w:t xml:space="preserve"> para corregidores y señores de vasallos</w:t>
      </w:r>
      <w:r>
        <w:t xml:space="preserve">, reimpresión de la edición de 1690 (Madrid: imprenta real de la Gaceta, 1775) lib. II, cap. III, núm. 32. La misma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43">
    <w:p w14:paraId="068C2FCC" w14:textId="77777777" w:rsidR="0024234E" w:rsidRDefault="0024234E" w:rsidP="00F22980">
      <w:pPr>
        <w:pStyle w:val="Textonotapie"/>
      </w:pPr>
      <w:r>
        <w:rPr>
          <w:rStyle w:val="Refdenotaalpie"/>
        </w:rPr>
        <w:footnoteRef/>
      </w:r>
      <w:r>
        <w:t xml:space="preserve"> Castillo de </w:t>
      </w:r>
      <w:proofErr w:type="spellStart"/>
      <w:r>
        <w:t>Bovadilla</w:t>
      </w:r>
      <w:proofErr w:type="spellEnd"/>
      <w:r>
        <w:t>, lib. III, cap. XII, núm. 7.</w:t>
      </w:r>
    </w:p>
  </w:footnote>
  <w:footnote w:id="44">
    <w:p w14:paraId="4B1269D1" w14:textId="77777777" w:rsidR="0024234E" w:rsidRPr="00364BD5" w:rsidRDefault="0024234E" w:rsidP="00F22980">
      <w:pPr>
        <w:pStyle w:val="Textonotapie"/>
        <w:rPr>
          <w:lang w:val="fr-FR"/>
        </w:rPr>
      </w:pPr>
      <w:r>
        <w:rPr>
          <w:rStyle w:val="Refdenotaalpie"/>
        </w:rPr>
        <w:footnoteRef/>
      </w:r>
      <w:r>
        <w:t xml:space="preserve"> Castillo de </w:t>
      </w:r>
      <w:proofErr w:type="spellStart"/>
      <w:r>
        <w:t>Bovadilla</w:t>
      </w:r>
      <w:proofErr w:type="spellEnd"/>
      <w:r>
        <w:t xml:space="preserve">, lib. </w:t>
      </w:r>
      <w:r w:rsidRPr="00F05BA7">
        <w:t xml:space="preserve">III, cap. </w:t>
      </w:r>
      <w:r w:rsidRPr="00364BD5">
        <w:rPr>
          <w:lang w:val="fr-FR"/>
        </w:rPr>
        <w:t xml:space="preserve">XII, </w:t>
      </w:r>
      <w:proofErr w:type="spellStart"/>
      <w:r w:rsidRPr="00364BD5">
        <w:rPr>
          <w:lang w:val="fr-FR"/>
        </w:rPr>
        <w:t>núm</w:t>
      </w:r>
      <w:proofErr w:type="spellEnd"/>
      <w:r w:rsidRPr="00364BD5">
        <w:rPr>
          <w:lang w:val="fr-FR"/>
        </w:rPr>
        <w:t>. 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6010C0E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9"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3F52825"/>
    <w:multiLevelType w:val="multilevel"/>
    <w:tmpl w:val="9F92396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ABA2382"/>
    <w:multiLevelType w:val="multilevel"/>
    <w:tmpl w:val="FAD8D2F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21"/>
  </w:num>
  <w:num w:numId="2">
    <w:abstractNumId w:val="5"/>
  </w:num>
  <w:num w:numId="3">
    <w:abstractNumId w:val="17"/>
  </w:num>
  <w:num w:numId="4">
    <w:abstractNumId w:val="11"/>
  </w:num>
  <w:num w:numId="5">
    <w:abstractNumId w:val="0"/>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3"/>
  </w:num>
  <w:num w:numId="9">
    <w:abstractNumId w:val="10"/>
  </w:num>
  <w:num w:numId="10">
    <w:abstractNumId w:val="9"/>
  </w:num>
  <w:num w:numId="11">
    <w:abstractNumId w:val="1"/>
  </w:num>
  <w:num w:numId="12">
    <w:abstractNumId w:val="18"/>
  </w:num>
  <w:num w:numId="13">
    <w:abstractNumId w:val="6"/>
  </w:num>
  <w:num w:numId="14">
    <w:abstractNumId w:val="14"/>
  </w:num>
  <w:num w:numId="15">
    <w:abstractNumId w:val="8"/>
  </w:num>
  <w:num w:numId="16">
    <w:abstractNumId w:val="12"/>
  </w:num>
  <w:num w:numId="17">
    <w:abstractNumId w:val="13"/>
  </w:num>
  <w:num w:numId="18">
    <w:abstractNumId w:val="2"/>
  </w:num>
  <w:num w:numId="19">
    <w:abstractNumId w:val="7"/>
  </w:num>
  <w:num w:numId="20">
    <w:abstractNumId w:val="4"/>
  </w:num>
  <w:num w:numId="21">
    <w:abstractNumId w:val="22"/>
  </w:num>
  <w:num w:numId="22">
    <w:abstractNumId w:val="20"/>
  </w:num>
  <w:num w:numId="23">
    <w:abstractNumId w:val="1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EAA"/>
    <w:rsid w:val="00004051"/>
    <w:rsid w:val="00005E55"/>
    <w:rsid w:val="000068F8"/>
    <w:rsid w:val="000100A2"/>
    <w:rsid w:val="00010BC5"/>
    <w:rsid w:val="00014468"/>
    <w:rsid w:val="00014B86"/>
    <w:rsid w:val="00025326"/>
    <w:rsid w:val="000343F7"/>
    <w:rsid w:val="000372BE"/>
    <w:rsid w:val="000407D1"/>
    <w:rsid w:val="000407D4"/>
    <w:rsid w:val="00041380"/>
    <w:rsid w:val="000424A6"/>
    <w:rsid w:val="000426EF"/>
    <w:rsid w:val="000505B2"/>
    <w:rsid w:val="00054D95"/>
    <w:rsid w:val="000602A4"/>
    <w:rsid w:val="00067D02"/>
    <w:rsid w:val="000778C1"/>
    <w:rsid w:val="0008025F"/>
    <w:rsid w:val="00087B96"/>
    <w:rsid w:val="00087BC1"/>
    <w:rsid w:val="000A1CF6"/>
    <w:rsid w:val="000A2FB1"/>
    <w:rsid w:val="000A6590"/>
    <w:rsid w:val="000A7C05"/>
    <w:rsid w:val="000A7CAE"/>
    <w:rsid w:val="000B13F6"/>
    <w:rsid w:val="000B1ACC"/>
    <w:rsid w:val="000B2B81"/>
    <w:rsid w:val="000B4007"/>
    <w:rsid w:val="000C1053"/>
    <w:rsid w:val="000C3630"/>
    <w:rsid w:val="000C3722"/>
    <w:rsid w:val="000C3B4D"/>
    <w:rsid w:val="000C5699"/>
    <w:rsid w:val="000C59B5"/>
    <w:rsid w:val="000D0722"/>
    <w:rsid w:val="000D289E"/>
    <w:rsid w:val="000D3181"/>
    <w:rsid w:val="000D77E0"/>
    <w:rsid w:val="000D7C7C"/>
    <w:rsid w:val="000E2090"/>
    <w:rsid w:val="000E4B53"/>
    <w:rsid w:val="000E7114"/>
    <w:rsid w:val="000F3839"/>
    <w:rsid w:val="000F415D"/>
    <w:rsid w:val="000F59E1"/>
    <w:rsid w:val="000F5B21"/>
    <w:rsid w:val="0010513E"/>
    <w:rsid w:val="00111F38"/>
    <w:rsid w:val="00112B69"/>
    <w:rsid w:val="00113798"/>
    <w:rsid w:val="00116273"/>
    <w:rsid w:val="00117822"/>
    <w:rsid w:val="00117A9C"/>
    <w:rsid w:val="00122329"/>
    <w:rsid w:val="00123CC7"/>
    <w:rsid w:val="00127A9C"/>
    <w:rsid w:val="001309A5"/>
    <w:rsid w:val="00131A0A"/>
    <w:rsid w:val="00132E3A"/>
    <w:rsid w:val="00134E68"/>
    <w:rsid w:val="00137320"/>
    <w:rsid w:val="00142E02"/>
    <w:rsid w:val="001478CB"/>
    <w:rsid w:val="001530D7"/>
    <w:rsid w:val="001544D0"/>
    <w:rsid w:val="001573BA"/>
    <w:rsid w:val="0016649F"/>
    <w:rsid w:val="001754C2"/>
    <w:rsid w:val="00191C85"/>
    <w:rsid w:val="00191E14"/>
    <w:rsid w:val="001B2249"/>
    <w:rsid w:val="001B4764"/>
    <w:rsid w:val="001B79A8"/>
    <w:rsid w:val="001D58D7"/>
    <w:rsid w:val="001E15B1"/>
    <w:rsid w:val="001E16B2"/>
    <w:rsid w:val="001E1BEF"/>
    <w:rsid w:val="001E394C"/>
    <w:rsid w:val="001F7A79"/>
    <w:rsid w:val="0020271B"/>
    <w:rsid w:val="002056AD"/>
    <w:rsid w:val="00211A92"/>
    <w:rsid w:val="00220385"/>
    <w:rsid w:val="0023420D"/>
    <w:rsid w:val="002344C8"/>
    <w:rsid w:val="002402EF"/>
    <w:rsid w:val="0024234E"/>
    <w:rsid w:val="0024383C"/>
    <w:rsid w:val="002451A7"/>
    <w:rsid w:val="002452C2"/>
    <w:rsid w:val="002478DB"/>
    <w:rsid w:val="00250C03"/>
    <w:rsid w:val="00253C78"/>
    <w:rsid w:val="002567E3"/>
    <w:rsid w:val="0026130B"/>
    <w:rsid w:val="0026239A"/>
    <w:rsid w:val="0026423E"/>
    <w:rsid w:val="002724A4"/>
    <w:rsid w:val="00273647"/>
    <w:rsid w:val="00285218"/>
    <w:rsid w:val="002858B2"/>
    <w:rsid w:val="00285AB4"/>
    <w:rsid w:val="002974D2"/>
    <w:rsid w:val="002A1714"/>
    <w:rsid w:val="002A4B7D"/>
    <w:rsid w:val="002A6BED"/>
    <w:rsid w:val="002A6D37"/>
    <w:rsid w:val="002A6F16"/>
    <w:rsid w:val="002A7C29"/>
    <w:rsid w:val="002B4F9E"/>
    <w:rsid w:val="002B6C75"/>
    <w:rsid w:val="002B71A0"/>
    <w:rsid w:val="002C0CF3"/>
    <w:rsid w:val="002C31D4"/>
    <w:rsid w:val="002C36EE"/>
    <w:rsid w:val="002C53AF"/>
    <w:rsid w:val="002D17B5"/>
    <w:rsid w:val="002D344A"/>
    <w:rsid w:val="002D535C"/>
    <w:rsid w:val="002E1398"/>
    <w:rsid w:val="002F071D"/>
    <w:rsid w:val="002F1F37"/>
    <w:rsid w:val="002F2950"/>
    <w:rsid w:val="00301BE4"/>
    <w:rsid w:val="0030389A"/>
    <w:rsid w:val="00304BCC"/>
    <w:rsid w:val="00311A3C"/>
    <w:rsid w:val="00312258"/>
    <w:rsid w:val="00312A9B"/>
    <w:rsid w:val="00312EF0"/>
    <w:rsid w:val="003142C3"/>
    <w:rsid w:val="00325A34"/>
    <w:rsid w:val="003268DD"/>
    <w:rsid w:val="003307D4"/>
    <w:rsid w:val="00330F81"/>
    <w:rsid w:val="00331B59"/>
    <w:rsid w:val="00336BAF"/>
    <w:rsid w:val="00341DA2"/>
    <w:rsid w:val="0034339A"/>
    <w:rsid w:val="0034609E"/>
    <w:rsid w:val="00353440"/>
    <w:rsid w:val="0036187F"/>
    <w:rsid w:val="00363556"/>
    <w:rsid w:val="00364BD5"/>
    <w:rsid w:val="00364D51"/>
    <w:rsid w:val="00375EDA"/>
    <w:rsid w:val="00375F6B"/>
    <w:rsid w:val="003767F0"/>
    <w:rsid w:val="00376AB6"/>
    <w:rsid w:val="0038402C"/>
    <w:rsid w:val="00386C4C"/>
    <w:rsid w:val="00394194"/>
    <w:rsid w:val="00395402"/>
    <w:rsid w:val="00397844"/>
    <w:rsid w:val="003A1A84"/>
    <w:rsid w:val="003A2A8E"/>
    <w:rsid w:val="003A3E26"/>
    <w:rsid w:val="003A4475"/>
    <w:rsid w:val="003A6E80"/>
    <w:rsid w:val="003A739E"/>
    <w:rsid w:val="003B564E"/>
    <w:rsid w:val="003B607F"/>
    <w:rsid w:val="003C401E"/>
    <w:rsid w:val="003D4F03"/>
    <w:rsid w:val="003D6EAE"/>
    <w:rsid w:val="003E1218"/>
    <w:rsid w:val="003E21B3"/>
    <w:rsid w:val="003E3A62"/>
    <w:rsid w:val="003E52CC"/>
    <w:rsid w:val="003E5E29"/>
    <w:rsid w:val="003E7F64"/>
    <w:rsid w:val="003F0504"/>
    <w:rsid w:val="003F4E71"/>
    <w:rsid w:val="003F7359"/>
    <w:rsid w:val="00403B8A"/>
    <w:rsid w:val="004047C1"/>
    <w:rsid w:val="00407BD8"/>
    <w:rsid w:val="00411451"/>
    <w:rsid w:val="004135B7"/>
    <w:rsid w:val="00413C14"/>
    <w:rsid w:val="004142D1"/>
    <w:rsid w:val="00414710"/>
    <w:rsid w:val="00414A82"/>
    <w:rsid w:val="00420BB0"/>
    <w:rsid w:val="0042459E"/>
    <w:rsid w:val="004308E1"/>
    <w:rsid w:val="00432FBA"/>
    <w:rsid w:val="00444FE7"/>
    <w:rsid w:val="0045090F"/>
    <w:rsid w:val="00450953"/>
    <w:rsid w:val="00453281"/>
    <w:rsid w:val="00461A7A"/>
    <w:rsid w:val="004628C3"/>
    <w:rsid w:val="00464785"/>
    <w:rsid w:val="00464AD6"/>
    <w:rsid w:val="00466519"/>
    <w:rsid w:val="00466C1B"/>
    <w:rsid w:val="00472190"/>
    <w:rsid w:val="004726B7"/>
    <w:rsid w:val="004735B6"/>
    <w:rsid w:val="0047512A"/>
    <w:rsid w:val="004755E2"/>
    <w:rsid w:val="00484FB4"/>
    <w:rsid w:val="00491039"/>
    <w:rsid w:val="00494234"/>
    <w:rsid w:val="00497A7D"/>
    <w:rsid w:val="004A1A9C"/>
    <w:rsid w:val="004A1C86"/>
    <w:rsid w:val="004B11E4"/>
    <w:rsid w:val="004B3411"/>
    <w:rsid w:val="004B3B57"/>
    <w:rsid w:val="004B419A"/>
    <w:rsid w:val="004B5675"/>
    <w:rsid w:val="004C2B66"/>
    <w:rsid w:val="004C2E13"/>
    <w:rsid w:val="004C5C01"/>
    <w:rsid w:val="004D3D2D"/>
    <w:rsid w:val="004D6C81"/>
    <w:rsid w:val="004E0EEF"/>
    <w:rsid w:val="004E398A"/>
    <w:rsid w:val="004E6A40"/>
    <w:rsid w:val="004E6D14"/>
    <w:rsid w:val="004F2730"/>
    <w:rsid w:val="00500348"/>
    <w:rsid w:val="0050477D"/>
    <w:rsid w:val="00507B87"/>
    <w:rsid w:val="005166E9"/>
    <w:rsid w:val="00516F63"/>
    <w:rsid w:val="00520895"/>
    <w:rsid w:val="00525F67"/>
    <w:rsid w:val="005306EA"/>
    <w:rsid w:val="00537AE8"/>
    <w:rsid w:val="005433D6"/>
    <w:rsid w:val="00545629"/>
    <w:rsid w:val="00565B64"/>
    <w:rsid w:val="005666D8"/>
    <w:rsid w:val="00567C76"/>
    <w:rsid w:val="00570D59"/>
    <w:rsid w:val="00572F2C"/>
    <w:rsid w:val="00580E83"/>
    <w:rsid w:val="005844AE"/>
    <w:rsid w:val="00590FCC"/>
    <w:rsid w:val="00592AD1"/>
    <w:rsid w:val="005935C1"/>
    <w:rsid w:val="00594ACD"/>
    <w:rsid w:val="00595B83"/>
    <w:rsid w:val="005A12A8"/>
    <w:rsid w:val="005A4693"/>
    <w:rsid w:val="005A53FF"/>
    <w:rsid w:val="005B055C"/>
    <w:rsid w:val="005B2C6F"/>
    <w:rsid w:val="005D3FA1"/>
    <w:rsid w:val="005D46DD"/>
    <w:rsid w:val="005E4727"/>
    <w:rsid w:val="005E6CE4"/>
    <w:rsid w:val="005F1025"/>
    <w:rsid w:val="005F746C"/>
    <w:rsid w:val="0060289C"/>
    <w:rsid w:val="00602CC3"/>
    <w:rsid w:val="00604C80"/>
    <w:rsid w:val="006126EC"/>
    <w:rsid w:val="006128BA"/>
    <w:rsid w:val="00613890"/>
    <w:rsid w:val="006211F4"/>
    <w:rsid w:val="00627034"/>
    <w:rsid w:val="00632255"/>
    <w:rsid w:val="00632A67"/>
    <w:rsid w:val="00636256"/>
    <w:rsid w:val="00637FA8"/>
    <w:rsid w:val="006409A3"/>
    <w:rsid w:val="00645E07"/>
    <w:rsid w:val="00647AB3"/>
    <w:rsid w:val="00650140"/>
    <w:rsid w:val="00653A46"/>
    <w:rsid w:val="0066090D"/>
    <w:rsid w:val="00662708"/>
    <w:rsid w:val="00662C12"/>
    <w:rsid w:val="00663420"/>
    <w:rsid w:val="006661B1"/>
    <w:rsid w:val="00671DDC"/>
    <w:rsid w:val="00672F1B"/>
    <w:rsid w:val="006736ED"/>
    <w:rsid w:val="006738AD"/>
    <w:rsid w:val="00677069"/>
    <w:rsid w:val="00683C91"/>
    <w:rsid w:val="00685D0C"/>
    <w:rsid w:val="0069009E"/>
    <w:rsid w:val="00693857"/>
    <w:rsid w:val="006A0C4B"/>
    <w:rsid w:val="006A5213"/>
    <w:rsid w:val="006A672D"/>
    <w:rsid w:val="006A70E5"/>
    <w:rsid w:val="006A7CFF"/>
    <w:rsid w:val="006B1DAE"/>
    <w:rsid w:val="006B20EE"/>
    <w:rsid w:val="006B6B52"/>
    <w:rsid w:val="006B6E95"/>
    <w:rsid w:val="006D096D"/>
    <w:rsid w:val="006D2579"/>
    <w:rsid w:val="006D589A"/>
    <w:rsid w:val="006E11ED"/>
    <w:rsid w:val="006E24E4"/>
    <w:rsid w:val="006E2B23"/>
    <w:rsid w:val="006E2B46"/>
    <w:rsid w:val="006E3973"/>
    <w:rsid w:val="006E4054"/>
    <w:rsid w:val="006E7B3C"/>
    <w:rsid w:val="006E7C4B"/>
    <w:rsid w:val="006F0199"/>
    <w:rsid w:val="006F0C1E"/>
    <w:rsid w:val="006F5E81"/>
    <w:rsid w:val="006F7E08"/>
    <w:rsid w:val="0070048C"/>
    <w:rsid w:val="00700CBA"/>
    <w:rsid w:val="00701E31"/>
    <w:rsid w:val="00703095"/>
    <w:rsid w:val="0070628F"/>
    <w:rsid w:val="00707D96"/>
    <w:rsid w:val="007126D3"/>
    <w:rsid w:val="00714366"/>
    <w:rsid w:val="00720197"/>
    <w:rsid w:val="00724125"/>
    <w:rsid w:val="00724F89"/>
    <w:rsid w:val="00725B91"/>
    <w:rsid w:val="007319E7"/>
    <w:rsid w:val="00734344"/>
    <w:rsid w:val="00734A1B"/>
    <w:rsid w:val="00736260"/>
    <w:rsid w:val="00736368"/>
    <w:rsid w:val="00743A8C"/>
    <w:rsid w:val="007441DB"/>
    <w:rsid w:val="0075433A"/>
    <w:rsid w:val="00755E15"/>
    <w:rsid w:val="00762FE7"/>
    <w:rsid w:val="0076306D"/>
    <w:rsid w:val="00767801"/>
    <w:rsid w:val="00773955"/>
    <w:rsid w:val="007812D1"/>
    <w:rsid w:val="0078191E"/>
    <w:rsid w:val="007827E4"/>
    <w:rsid w:val="00784CA8"/>
    <w:rsid w:val="0078764D"/>
    <w:rsid w:val="0079524B"/>
    <w:rsid w:val="007A11BA"/>
    <w:rsid w:val="007B67FC"/>
    <w:rsid w:val="007C0571"/>
    <w:rsid w:val="007C09F3"/>
    <w:rsid w:val="007C516D"/>
    <w:rsid w:val="007C618D"/>
    <w:rsid w:val="007C6342"/>
    <w:rsid w:val="007D1F5B"/>
    <w:rsid w:val="007D4515"/>
    <w:rsid w:val="007D7629"/>
    <w:rsid w:val="007D7D42"/>
    <w:rsid w:val="007D7E74"/>
    <w:rsid w:val="007E5CB7"/>
    <w:rsid w:val="007E7B8A"/>
    <w:rsid w:val="007F1766"/>
    <w:rsid w:val="007F24F4"/>
    <w:rsid w:val="00800EE5"/>
    <w:rsid w:val="0080525F"/>
    <w:rsid w:val="00812D7B"/>
    <w:rsid w:val="00816429"/>
    <w:rsid w:val="008210C8"/>
    <w:rsid w:val="008278F3"/>
    <w:rsid w:val="00827997"/>
    <w:rsid w:val="0083002A"/>
    <w:rsid w:val="008303C6"/>
    <w:rsid w:val="00832F46"/>
    <w:rsid w:val="00833341"/>
    <w:rsid w:val="00834591"/>
    <w:rsid w:val="0083523B"/>
    <w:rsid w:val="00836348"/>
    <w:rsid w:val="00840013"/>
    <w:rsid w:val="00840267"/>
    <w:rsid w:val="00840B09"/>
    <w:rsid w:val="00841292"/>
    <w:rsid w:val="00843A2F"/>
    <w:rsid w:val="0084734D"/>
    <w:rsid w:val="008500D8"/>
    <w:rsid w:val="00856AF5"/>
    <w:rsid w:val="00860041"/>
    <w:rsid w:val="00860C68"/>
    <w:rsid w:val="00860ED3"/>
    <w:rsid w:val="0086150A"/>
    <w:rsid w:val="00861C4D"/>
    <w:rsid w:val="00862D6F"/>
    <w:rsid w:val="00866385"/>
    <w:rsid w:val="00866F29"/>
    <w:rsid w:val="00867493"/>
    <w:rsid w:val="0086793B"/>
    <w:rsid w:val="008704CE"/>
    <w:rsid w:val="008709A7"/>
    <w:rsid w:val="00873BED"/>
    <w:rsid w:val="008758BA"/>
    <w:rsid w:val="00887352"/>
    <w:rsid w:val="00891315"/>
    <w:rsid w:val="00892BDA"/>
    <w:rsid w:val="00892D06"/>
    <w:rsid w:val="00893F33"/>
    <w:rsid w:val="008958FE"/>
    <w:rsid w:val="00897132"/>
    <w:rsid w:val="008979B9"/>
    <w:rsid w:val="008A21B7"/>
    <w:rsid w:val="008A2727"/>
    <w:rsid w:val="008B1E67"/>
    <w:rsid w:val="008B7B56"/>
    <w:rsid w:val="008C09F0"/>
    <w:rsid w:val="008C2CAC"/>
    <w:rsid w:val="008D23B4"/>
    <w:rsid w:val="008D5F8A"/>
    <w:rsid w:val="008D71A0"/>
    <w:rsid w:val="008D7B48"/>
    <w:rsid w:val="008E1FFC"/>
    <w:rsid w:val="008E55EA"/>
    <w:rsid w:val="008F1007"/>
    <w:rsid w:val="008F377B"/>
    <w:rsid w:val="009002A6"/>
    <w:rsid w:val="009045B6"/>
    <w:rsid w:val="00912BF7"/>
    <w:rsid w:val="009144F1"/>
    <w:rsid w:val="00922CC8"/>
    <w:rsid w:val="00922D6F"/>
    <w:rsid w:val="00923C33"/>
    <w:rsid w:val="00925A8D"/>
    <w:rsid w:val="00925F98"/>
    <w:rsid w:val="00932469"/>
    <w:rsid w:val="009355E1"/>
    <w:rsid w:val="009426D7"/>
    <w:rsid w:val="00950B3C"/>
    <w:rsid w:val="009512D5"/>
    <w:rsid w:val="009577FC"/>
    <w:rsid w:val="009600DC"/>
    <w:rsid w:val="00960C69"/>
    <w:rsid w:val="00963F3A"/>
    <w:rsid w:val="00967F83"/>
    <w:rsid w:val="009759D1"/>
    <w:rsid w:val="009904B1"/>
    <w:rsid w:val="00994EC9"/>
    <w:rsid w:val="00996F83"/>
    <w:rsid w:val="009A5A86"/>
    <w:rsid w:val="009A707D"/>
    <w:rsid w:val="009B147C"/>
    <w:rsid w:val="009B3BC4"/>
    <w:rsid w:val="009C502A"/>
    <w:rsid w:val="009C68C7"/>
    <w:rsid w:val="009C75E0"/>
    <w:rsid w:val="009D1930"/>
    <w:rsid w:val="009D1FB7"/>
    <w:rsid w:val="009D49BD"/>
    <w:rsid w:val="009E4287"/>
    <w:rsid w:val="009E48AE"/>
    <w:rsid w:val="009E76D2"/>
    <w:rsid w:val="009E7C29"/>
    <w:rsid w:val="00A00775"/>
    <w:rsid w:val="00A06B11"/>
    <w:rsid w:val="00A07920"/>
    <w:rsid w:val="00A11957"/>
    <w:rsid w:val="00A277B2"/>
    <w:rsid w:val="00A3241E"/>
    <w:rsid w:val="00A37ED6"/>
    <w:rsid w:val="00A44824"/>
    <w:rsid w:val="00A51D3A"/>
    <w:rsid w:val="00A528CE"/>
    <w:rsid w:val="00A56C33"/>
    <w:rsid w:val="00A60385"/>
    <w:rsid w:val="00A6066F"/>
    <w:rsid w:val="00A65238"/>
    <w:rsid w:val="00A65548"/>
    <w:rsid w:val="00A76EFA"/>
    <w:rsid w:val="00A77E24"/>
    <w:rsid w:val="00A8093A"/>
    <w:rsid w:val="00A80EDA"/>
    <w:rsid w:val="00A90C68"/>
    <w:rsid w:val="00A916BC"/>
    <w:rsid w:val="00A92165"/>
    <w:rsid w:val="00A94EC6"/>
    <w:rsid w:val="00A96226"/>
    <w:rsid w:val="00A97FB0"/>
    <w:rsid w:val="00AA511A"/>
    <w:rsid w:val="00AA7B98"/>
    <w:rsid w:val="00AB12F3"/>
    <w:rsid w:val="00AB186B"/>
    <w:rsid w:val="00AB236F"/>
    <w:rsid w:val="00AB263E"/>
    <w:rsid w:val="00AB3F05"/>
    <w:rsid w:val="00AB4D57"/>
    <w:rsid w:val="00AB5A40"/>
    <w:rsid w:val="00AD04AD"/>
    <w:rsid w:val="00AD7100"/>
    <w:rsid w:val="00AE3608"/>
    <w:rsid w:val="00AE3978"/>
    <w:rsid w:val="00AE48AE"/>
    <w:rsid w:val="00AF057A"/>
    <w:rsid w:val="00AF29A2"/>
    <w:rsid w:val="00B011C4"/>
    <w:rsid w:val="00B0400F"/>
    <w:rsid w:val="00B068AB"/>
    <w:rsid w:val="00B169BD"/>
    <w:rsid w:val="00B20DA2"/>
    <w:rsid w:val="00B2236D"/>
    <w:rsid w:val="00B247B2"/>
    <w:rsid w:val="00B27F31"/>
    <w:rsid w:val="00B30064"/>
    <w:rsid w:val="00B3156A"/>
    <w:rsid w:val="00B32981"/>
    <w:rsid w:val="00B354EA"/>
    <w:rsid w:val="00B402E3"/>
    <w:rsid w:val="00B45562"/>
    <w:rsid w:val="00B5325E"/>
    <w:rsid w:val="00B5399E"/>
    <w:rsid w:val="00B54A63"/>
    <w:rsid w:val="00B6238F"/>
    <w:rsid w:val="00B636AC"/>
    <w:rsid w:val="00B639B7"/>
    <w:rsid w:val="00B63CB5"/>
    <w:rsid w:val="00B64E56"/>
    <w:rsid w:val="00B6589A"/>
    <w:rsid w:val="00B65C1E"/>
    <w:rsid w:val="00B66D94"/>
    <w:rsid w:val="00B674E5"/>
    <w:rsid w:val="00B67F9E"/>
    <w:rsid w:val="00B73D0E"/>
    <w:rsid w:val="00B74F9E"/>
    <w:rsid w:val="00B75E99"/>
    <w:rsid w:val="00B77B75"/>
    <w:rsid w:val="00B77D1F"/>
    <w:rsid w:val="00B82B4D"/>
    <w:rsid w:val="00B844BB"/>
    <w:rsid w:val="00B90477"/>
    <w:rsid w:val="00B91863"/>
    <w:rsid w:val="00B92233"/>
    <w:rsid w:val="00B931C3"/>
    <w:rsid w:val="00B95181"/>
    <w:rsid w:val="00B9631D"/>
    <w:rsid w:val="00B97549"/>
    <w:rsid w:val="00BA2C62"/>
    <w:rsid w:val="00BA35EF"/>
    <w:rsid w:val="00BB134C"/>
    <w:rsid w:val="00BB22D0"/>
    <w:rsid w:val="00BB378A"/>
    <w:rsid w:val="00BB67EA"/>
    <w:rsid w:val="00BB7363"/>
    <w:rsid w:val="00BC18E6"/>
    <w:rsid w:val="00BC74C3"/>
    <w:rsid w:val="00BD7E1E"/>
    <w:rsid w:val="00BE1F7D"/>
    <w:rsid w:val="00BE45D0"/>
    <w:rsid w:val="00BE515F"/>
    <w:rsid w:val="00BE5E46"/>
    <w:rsid w:val="00BE7C91"/>
    <w:rsid w:val="00BF3E79"/>
    <w:rsid w:val="00BF4919"/>
    <w:rsid w:val="00BF6A88"/>
    <w:rsid w:val="00BF7F72"/>
    <w:rsid w:val="00C03AC1"/>
    <w:rsid w:val="00C04580"/>
    <w:rsid w:val="00C054C4"/>
    <w:rsid w:val="00C064B8"/>
    <w:rsid w:val="00C125B2"/>
    <w:rsid w:val="00C12723"/>
    <w:rsid w:val="00C12C3F"/>
    <w:rsid w:val="00C132DC"/>
    <w:rsid w:val="00C13903"/>
    <w:rsid w:val="00C13C32"/>
    <w:rsid w:val="00C15674"/>
    <w:rsid w:val="00C170C2"/>
    <w:rsid w:val="00C17FF8"/>
    <w:rsid w:val="00C2352E"/>
    <w:rsid w:val="00C27768"/>
    <w:rsid w:val="00C36C1C"/>
    <w:rsid w:val="00C37831"/>
    <w:rsid w:val="00C46E67"/>
    <w:rsid w:val="00C50376"/>
    <w:rsid w:val="00C50A72"/>
    <w:rsid w:val="00C52CE9"/>
    <w:rsid w:val="00C52EEA"/>
    <w:rsid w:val="00C54BF5"/>
    <w:rsid w:val="00C61EB3"/>
    <w:rsid w:val="00C76389"/>
    <w:rsid w:val="00C76800"/>
    <w:rsid w:val="00C921B6"/>
    <w:rsid w:val="00C976C5"/>
    <w:rsid w:val="00CA595E"/>
    <w:rsid w:val="00CA790F"/>
    <w:rsid w:val="00CB0A86"/>
    <w:rsid w:val="00CB7418"/>
    <w:rsid w:val="00CC6CFE"/>
    <w:rsid w:val="00CC6EA7"/>
    <w:rsid w:val="00CD0B42"/>
    <w:rsid w:val="00CD112A"/>
    <w:rsid w:val="00CD4A8A"/>
    <w:rsid w:val="00CE1562"/>
    <w:rsid w:val="00CE1F32"/>
    <w:rsid w:val="00CF0BD6"/>
    <w:rsid w:val="00CF1AF3"/>
    <w:rsid w:val="00CF2633"/>
    <w:rsid w:val="00CF5358"/>
    <w:rsid w:val="00CF5F2B"/>
    <w:rsid w:val="00CF767A"/>
    <w:rsid w:val="00D01331"/>
    <w:rsid w:val="00D0522D"/>
    <w:rsid w:val="00D10DAC"/>
    <w:rsid w:val="00D10FC2"/>
    <w:rsid w:val="00D112FD"/>
    <w:rsid w:val="00D1457C"/>
    <w:rsid w:val="00D14DD0"/>
    <w:rsid w:val="00D15002"/>
    <w:rsid w:val="00D17382"/>
    <w:rsid w:val="00D215CF"/>
    <w:rsid w:val="00D22DD7"/>
    <w:rsid w:val="00D27351"/>
    <w:rsid w:val="00D31176"/>
    <w:rsid w:val="00D31A81"/>
    <w:rsid w:val="00D333CD"/>
    <w:rsid w:val="00D33C44"/>
    <w:rsid w:val="00D3631A"/>
    <w:rsid w:val="00D37198"/>
    <w:rsid w:val="00D4023B"/>
    <w:rsid w:val="00D40432"/>
    <w:rsid w:val="00D45972"/>
    <w:rsid w:val="00D46BE8"/>
    <w:rsid w:val="00D5570B"/>
    <w:rsid w:val="00D60460"/>
    <w:rsid w:val="00D70380"/>
    <w:rsid w:val="00D72814"/>
    <w:rsid w:val="00D7332C"/>
    <w:rsid w:val="00D80C09"/>
    <w:rsid w:val="00D93561"/>
    <w:rsid w:val="00D9361C"/>
    <w:rsid w:val="00D959A8"/>
    <w:rsid w:val="00D976B0"/>
    <w:rsid w:val="00DA2B30"/>
    <w:rsid w:val="00DB06F0"/>
    <w:rsid w:val="00DB2964"/>
    <w:rsid w:val="00DB33BE"/>
    <w:rsid w:val="00DB7584"/>
    <w:rsid w:val="00DC1368"/>
    <w:rsid w:val="00DC2BC8"/>
    <w:rsid w:val="00DE0693"/>
    <w:rsid w:val="00DE1962"/>
    <w:rsid w:val="00DE1BA5"/>
    <w:rsid w:val="00DE2DBC"/>
    <w:rsid w:val="00DF146F"/>
    <w:rsid w:val="00DF1E2D"/>
    <w:rsid w:val="00DF40D9"/>
    <w:rsid w:val="00DF48C3"/>
    <w:rsid w:val="00DF4FE9"/>
    <w:rsid w:val="00E016C9"/>
    <w:rsid w:val="00E02848"/>
    <w:rsid w:val="00E04A38"/>
    <w:rsid w:val="00E25D17"/>
    <w:rsid w:val="00E26E5A"/>
    <w:rsid w:val="00E316B7"/>
    <w:rsid w:val="00E335DE"/>
    <w:rsid w:val="00E37837"/>
    <w:rsid w:val="00E44201"/>
    <w:rsid w:val="00E44EC0"/>
    <w:rsid w:val="00E453AC"/>
    <w:rsid w:val="00E45B98"/>
    <w:rsid w:val="00E46A1D"/>
    <w:rsid w:val="00E517E4"/>
    <w:rsid w:val="00E6584F"/>
    <w:rsid w:val="00E66448"/>
    <w:rsid w:val="00E673DE"/>
    <w:rsid w:val="00E73C16"/>
    <w:rsid w:val="00E8285F"/>
    <w:rsid w:val="00E857BD"/>
    <w:rsid w:val="00E973D3"/>
    <w:rsid w:val="00EA06BC"/>
    <w:rsid w:val="00EA3413"/>
    <w:rsid w:val="00EA3933"/>
    <w:rsid w:val="00EB3702"/>
    <w:rsid w:val="00EB6DE4"/>
    <w:rsid w:val="00EC1C52"/>
    <w:rsid w:val="00EC4EBB"/>
    <w:rsid w:val="00EC55B0"/>
    <w:rsid w:val="00EE5DEF"/>
    <w:rsid w:val="00EE7820"/>
    <w:rsid w:val="00EF1C63"/>
    <w:rsid w:val="00EF1D5B"/>
    <w:rsid w:val="00EF6AF6"/>
    <w:rsid w:val="00EF718A"/>
    <w:rsid w:val="00F0198D"/>
    <w:rsid w:val="00F05BA7"/>
    <w:rsid w:val="00F06033"/>
    <w:rsid w:val="00F06C03"/>
    <w:rsid w:val="00F1286E"/>
    <w:rsid w:val="00F14FA0"/>
    <w:rsid w:val="00F22980"/>
    <w:rsid w:val="00F2452A"/>
    <w:rsid w:val="00F24859"/>
    <w:rsid w:val="00F259B1"/>
    <w:rsid w:val="00F25F79"/>
    <w:rsid w:val="00F273C6"/>
    <w:rsid w:val="00F277E6"/>
    <w:rsid w:val="00F27FDB"/>
    <w:rsid w:val="00F30C88"/>
    <w:rsid w:val="00F3353F"/>
    <w:rsid w:val="00F35E58"/>
    <w:rsid w:val="00F41955"/>
    <w:rsid w:val="00F42389"/>
    <w:rsid w:val="00F4524B"/>
    <w:rsid w:val="00F459DA"/>
    <w:rsid w:val="00F461CA"/>
    <w:rsid w:val="00F5443E"/>
    <w:rsid w:val="00F54B95"/>
    <w:rsid w:val="00F55CBD"/>
    <w:rsid w:val="00F56205"/>
    <w:rsid w:val="00F56304"/>
    <w:rsid w:val="00F60E2A"/>
    <w:rsid w:val="00F65812"/>
    <w:rsid w:val="00F757CA"/>
    <w:rsid w:val="00F77026"/>
    <w:rsid w:val="00F80BE0"/>
    <w:rsid w:val="00F81B0B"/>
    <w:rsid w:val="00F869B3"/>
    <w:rsid w:val="00FA6731"/>
    <w:rsid w:val="00FB5CBC"/>
    <w:rsid w:val="00FC3356"/>
    <w:rsid w:val="00FD0EC4"/>
    <w:rsid w:val="00FD268F"/>
    <w:rsid w:val="00FD6312"/>
    <w:rsid w:val="00FD6E7C"/>
    <w:rsid w:val="00FE426A"/>
    <w:rsid w:val="00FE642D"/>
    <w:rsid w:val="00FF0228"/>
    <w:rsid w:val="00FF087F"/>
    <w:rsid w:val="00FF3FBE"/>
    <w:rsid w:val="00FF5759"/>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1786"/>
  <w15:chartTrackingRefBased/>
  <w15:docId w15:val="{58D5F69F-193B-48D1-826B-289263EB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F6859FA-20D6-400A-B70A-FCA418DA2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4019</Words>
  <Characters>22106</Characters>
  <Application>Microsoft Office Word</Application>
  <DocSecurity>4</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2</cp:revision>
  <dcterms:created xsi:type="dcterms:W3CDTF">2018-05-21T02:04:00Z</dcterms:created>
  <dcterms:modified xsi:type="dcterms:W3CDTF">2018-05-21T02:04:00Z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id="lQGBkR2Y"/&gt;&lt;style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 name="delayCitationUpdates" value="true"/&gt;&lt;/prefs&gt;&lt;/data&gt;</vt:lpwstr>
  </property>
</Properties>
</file>