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A07" w:rsidRPr="00EA1A07" w:rsidRDefault="00EA1A07" w:rsidP="00EA1A07">
      <w:pPr>
        <w:keepNext/>
        <w:keepLines/>
        <w:spacing w:before="240" w:line="360" w:lineRule="auto"/>
        <w:ind w:firstLine="0"/>
        <w:jc w:val="center"/>
        <w:outlineLvl w:val="0"/>
        <w:rPr>
          <w:rFonts w:ascii="Times New Roman" w:eastAsiaTheme="majorEastAsia" w:hAnsi="Times New Roman" w:cstheme="majorBidi"/>
          <w:b/>
          <w:smallCaps/>
          <w:sz w:val="24"/>
          <w:szCs w:val="32"/>
        </w:rPr>
      </w:pPr>
      <w:r w:rsidRPr="00EA1A07">
        <w:rPr>
          <w:rFonts w:ascii="Times New Roman" w:eastAsiaTheme="majorEastAsia" w:hAnsi="Times New Roman" w:cstheme="majorBidi"/>
          <w:b/>
          <w:smallCaps/>
          <w:sz w:val="24"/>
          <w:szCs w:val="32"/>
        </w:rPr>
        <w:t>Capítulo II. Generalidades en el uso del perdón</w:t>
      </w:r>
    </w:p>
    <w:p w:rsidR="00EA1A07" w:rsidRPr="00EA1A07" w:rsidRDefault="00EA1A07" w:rsidP="00EA1A07">
      <w:pPr>
        <w:spacing w:line="360" w:lineRule="auto"/>
        <w:rPr>
          <w:rFonts w:ascii="Times New Roman" w:hAnsi="Times New Roman"/>
          <w:sz w:val="24"/>
        </w:rPr>
      </w:pPr>
      <w:r w:rsidRPr="00EA1A07">
        <w:rPr>
          <w:rFonts w:ascii="Times New Roman" w:hAnsi="Times New Roman"/>
          <w:sz w:val="24"/>
        </w:rPr>
        <w:t>Lo que se podía considerar como costumbre y buen actuar en el perdón. Una buena política de clemencia debería seguir los siguientes preceptos:</w:t>
      </w:r>
    </w:p>
    <w:p w:rsidR="00EA1A07" w:rsidRDefault="00EA1A07" w:rsidP="00EA1A07">
      <w:pPr>
        <w:spacing w:line="360" w:lineRule="auto"/>
        <w:rPr>
          <w:rFonts w:ascii="Times New Roman" w:hAnsi="Times New Roman"/>
          <w:sz w:val="24"/>
        </w:rPr>
      </w:pPr>
      <w:r w:rsidRPr="00EA1A07">
        <w:rPr>
          <w:rFonts w:ascii="Times New Roman" w:hAnsi="Times New Roman"/>
          <w:sz w:val="24"/>
        </w:rPr>
        <w:t xml:space="preserve">Promulgación: parte de la voluntad de hacer el bien, liberar de las cadenas a aquellos que sufren y no representan una amenaza para las repúblicas. </w:t>
      </w:r>
    </w:p>
    <w:p w:rsidR="0033081D" w:rsidRDefault="0033081D" w:rsidP="00EA1A07">
      <w:pPr>
        <w:spacing w:line="360" w:lineRule="auto"/>
        <w:rPr>
          <w:rFonts w:ascii="Times New Roman" w:hAnsi="Times New Roman"/>
          <w:sz w:val="24"/>
        </w:rPr>
      </w:pPr>
    </w:p>
    <w:p w:rsidR="0033081D" w:rsidRDefault="0033081D" w:rsidP="00EA1A07">
      <w:pPr>
        <w:spacing w:line="360" w:lineRule="auto"/>
        <w:rPr>
          <w:rFonts w:ascii="Times New Roman" w:hAnsi="Times New Roman"/>
          <w:sz w:val="24"/>
        </w:rPr>
      </w:pPr>
      <w:r>
        <w:rPr>
          <w:rFonts w:ascii="Times New Roman" w:hAnsi="Times New Roman"/>
          <w:sz w:val="24"/>
        </w:rPr>
        <w:t>El imperio (</w:t>
      </w:r>
      <w:proofErr w:type="spellStart"/>
      <w:r w:rsidRPr="0033081D">
        <w:rPr>
          <w:rFonts w:ascii="Times New Roman" w:hAnsi="Times New Roman"/>
          <w:i/>
          <w:sz w:val="24"/>
        </w:rPr>
        <w:t>imperium</w:t>
      </w:r>
      <w:proofErr w:type="spellEnd"/>
      <w:r>
        <w:rPr>
          <w:rFonts w:ascii="Times New Roman" w:hAnsi="Times New Roman"/>
          <w:sz w:val="24"/>
        </w:rPr>
        <w:t xml:space="preserve">) señalaba la potestad para ejercer la jurisdicción, el mero imperio indicaba el más alto grado de jurisdicción, la </w:t>
      </w:r>
      <w:proofErr w:type="spellStart"/>
      <w:r>
        <w:rPr>
          <w:rFonts w:ascii="Times New Roman" w:hAnsi="Times New Roman"/>
          <w:i/>
          <w:sz w:val="24"/>
        </w:rPr>
        <w:t>potestas</w:t>
      </w:r>
      <w:proofErr w:type="spellEnd"/>
      <w:r>
        <w:rPr>
          <w:rFonts w:ascii="Times New Roman" w:hAnsi="Times New Roman"/>
          <w:i/>
          <w:sz w:val="24"/>
        </w:rPr>
        <w:t xml:space="preserve"> </w:t>
      </w:r>
      <w:proofErr w:type="spellStart"/>
      <w:r>
        <w:rPr>
          <w:rFonts w:ascii="Times New Roman" w:hAnsi="Times New Roman"/>
          <w:i/>
          <w:sz w:val="24"/>
        </w:rPr>
        <w:t>gladii</w:t>
      </w:r>
      <w:proofErr w:type="spellEnd"/>
      <w:r>
        <w:rPr>
          <w:rFonts w:ascii="Times New Roman" w:hAnsi="Times New Roman"/>
          <w:sz w:val="24"/>
        </w:rPr>
        <w:t xml:space="preserve">, dueña de las causas mayores y de la pena de muerte. </w:t>
      </w:r>
      <w:r w:rsidR="00F13B86">
        <w:rPr>
          <w:rFonts w:ascii="Times New Roman" w:hAnsi="Times New Roman"/>
          <w:sz w:val="24"/>
        </w:rPr>
        <w:t>El</w:t>
      </w:r>
      <w:r>
        <w:rPr>
          <w:rFonts w:ascii="Times New Roman" w:hAnsi="Times New Roman"/>
          <w:sz w:val="24"/>
        </w:rPr>
        <w:t xml:space="preserve"> </w:t>
      </w:r>
      <w:r w:rsidR="00F13B86">
        <w:rPr>
          <w:rFonts w:ascii="Times New Roman" w:hAnsi="Times New Roman"/>
          <w:i/>
          <w:sz w:val="24"/>
        </w:rPr>
        <w:t>mero imperio</w:t>
      </w:r>
      <w:r>
        <w:rPr>
          <w:rFonts w:ascii="Times New Roman" w:hAnsi="Times New Roman"/>
          <w:sz w:val="24"/>
        </w:rPr>
        <w:t>, como se indicó en el capítulo anterior</w:t>
      </w:r>
      <w:r w:rsidR="00F13B86">
        <w:rPr>
          <w:rFonts w:ascii="Times New Roman" w:hAnsi="Times New Roman"/>
          <w:sz w:val="24"/>
        </w:rPr>
        <w:t xml:space="preserve"> según López de Cuéllar</w:t>
      </w:r>
      <w:r>
        <w:rPr>
          <w:rFonts w:ascii="Times New Roman" w:hAnsi="Times New Roman"/>
          <w:sz w:val="24"/>
        </w:rPr>
        <w:t xml:space="preserve">, </w:t>
      </w:r>
      <w:r w:rsidR="00F13B86">
        <w:rPr>
          <w:rFonts w:ascii="Times New Roman" w:hAnsi="Times New Roman"/>
          <w:sz w:val="24"/>
        </w:rPr>
        <w:t xml:space="preserve">también representaba la absoluta voluntad para perdonar las penas que se consideraban justas. Ahora bien, el ejercicio del indulto conllevaba igualmente el problema de hasta qué punto el príncipe podía actuar válidamente en derecho, también en el capítulo pasado se señaló que el rey como juez y legislador no podía castigarse a sí mismo en el plano terreno, aunque siempre quedaba el juicio divino para reprender el alma de los tiranos. En este sentido, el perdón hacía parte del ejercicio de la potestad absoluta del rey, al lado de las </w:t>
      </w:r>
      <w:proofErr w:type="gramStart"/>
      <w:r w:rsidR="00F13B86">
        <w:rPr>
          <w:rFonts w:ascii="Times New Roman" w:hAnsi="Times New Roman"/>
          <w:sz w:val="24"/>
        </w:rPr>
        <w:t>gracias</w:t>
      </w:r>
      <w:proofErr w:type="gramEnd"/>
      <w:r w:rsidR="00F13B86">
        <w:rPr>
          <w:rFonts w:ascii="Times New Roman" w:hAnsi="Times New Roman"/>
          <w:sz w:val="24"/>
        </w:rPr>
        <w:t>, mercedes así como otros privilegios y dispensas.</w:t>
      </w:r>
      <w:r w:rsidR="007700D3">
        <w:rPr>
          <w:rStyle w:val="Refdenotaalpie"/>
          <w:rFonts w:ascii="Times New Roman" w:hAnsi="Times New Roman"/>
          <w:sz w:val="24"/>
        </w:rPr>
        <w:footnoteReference w:id="1"/>
      </w:r>
      <w:r w:rsidR="00F13B86">
        <w:rPr>
          <w:rFonts w:ascii="Times New Roman" w:hAnsi="Times New Roman"/>
          <w:sz w:val="24"/>
        </w:rPr>
        <w:t xml:space="preserve"> La naturaleza volitiva de la potestad regia para conceder perdones no significa que hubiese sido conducida de manera caprichosa, aún tenía como restricciones el derecho divino, natural y de gentes, esferas de derecho que su jurisdicción no </w:t>
      </w:r>
      <w:r w:rsidR="00F84C9E">
        <w:rPr>
          <w:rFonts w:ascii="Times New Roman" w:hAnsi="Times New Roman"/>
          <w:sz w:val="24"/>
        </w:rPr>
        <w:t>debía</w:t>
      </w:r>
      <w:r w:rsidR="00F13B86">
        <w:rPr>
          <w:rFonts w:ascii="Times New Roman" w:hAnsi="Times New Roman"/>
          <w:sz w:val="24"/>
        </w:rPr>
        <w:t xml:space="preserve"> sobrepasar.</w:t>
      </w:r>
      <w:r w:rsidR="00F13B86">
        <w:rPr>
          <w:rStyle w:val="Refdenotaalpie"/>
          <w:rFonts w:ascii="Times New Roman" w:hAnsi="Times New Roman"/>
          <w:sz w:val="24"/>
        </w:rPr>
        <w:footnoteReference w:id="2"/>
      </w:r>
      <w:r w:rsidR="00F84C9E">
        <w:rPr>
          <w:rFonts w:ascii="Times New Roman" w:hAnsi="Times New Roman"/>
          <w:sz w:val="24"/>
        </w:rPr>
        <w:t xml:space="preserve"> </w:t>
      </w:r>
      <w:r w:rsidR="00101A86">
        <w:rPr>
          <w:rFonts w:ascii="Times New Roman" w:hAnsi="Times New Roman"/>
          <w:sz w:val="24"/>
        </w:rPr>
        <w:t xml:space="preserve">En este sentido, era necesario evitar que el exceso de clemencia conllevara la contradicción con dichos derechos, por lo cual, la estrategia escogida como la más indicada sería actuar de acuerdo con la costumbre, con el sentido del casuismo que permitiría ajustarse a ciertos límites de la clemencia que se consideraban </w:t>
      </w:r>
      <w:r w:rsidR="008C716F">
        <w:rPr>
          <w:rFonts w:ascii="Times New Roman" w:hAnsi="Times New Roman"/>
          <w:sz w:val="24"/>
        </w:rPr>
        <w:t>garantía para sacar de esta virtud</w:t>
      </w:r>
      <w:r w:rsidR="00101A86">
        <w:rPr>
          <w:rFonts w:ascii="Times New Roman" w:hAnsi="Times New Roman"/>
          <w:sz w:val="24"/>
        </w:rPr>
        <w:t xml:space="preserve"> de sus efectos más benéficos. </w:t>
      </w:r>
    </w:p>
    <w:p w:rsidR="007700D3" w:rsidRPr="00101A86" w:rsidRDefault="00AB670C" w:rsidP="00EA1A07">
      <w:pPr>
        <w:spacing w:line="360" w:lineRule="auto"/>
        <w:rPr>
          <w:rFonts w:ascii="Times New Roman" w:hAnsi="Times New Roman"/>
          <w:sz w:val="24"/>
        </w:rPr>
      </w:pPr>
      <w:r>
        <w:rPr>
          <w:rFonts w:ascii="Times New Roman" w:hAnsi="Times New Roman"/>
          <w:sz w:val="24"/>
        </w:rPr>
        <w:t xml:space="preserve">El presente capítulo explora estas “buenas costumbres” de los reyes para otorgar indultos, iniciando con los delitos que se consideraba debían excluirse de la gracia real, la tipología de perdones que indicaban su amplitud o </w:t>
      </w:r>
      <w:r w:rsidR="00AD25BD">
        <w:rPr>
          <w:rFonts w:ascii="Times New Roman" w:hAnsi="Times New Roman"/>
          <w:sz w:val="24"/>
        </w:rPr>
        <w:t xml:space="preserve">estrechez, la posibilidad del ejercicio de la clemencia con los enemigos extranjeros, y las particularidades del uso del perdón dentro del ámbito meramente indiano, con lo cual se abordará la potestad que comúnmente se </w:t>
      </w:r>
      <w:r w:rsidR="00AD25BD">
        <w:rPr>
          <w:rFonts w:ascii="Times New Roman" w:hAnsi="Times New Roman"/>
          <w:sz w:val="24"/>
        </w:rPr>
        <w:lastRenderedPageBreak/>
        <w:t>otorgaba a corregidores, virreyes y jueces en América para conceder indultos o usar la clemencia. Con lo anterior, se pretende cubrir las generalidades del ejercicio de la potestad regia del indulto, para desarrollar desde el capítulo tercero la práctica de la clemencia desde el ámbito específico del virrein</w:t>
      </w:r>
      <w:r w:rsidR="006F3DB5">
        <w:rPr>
          <w:rFonts w:ascii="Times New Roman" w:hAnsi="Times New Roman"/>
          <w:sz w:val="24"/>
        </w:rPr>
        <w:t>ato del Nuevo Reino de Granada.</w:t>
      </w:r>
    </w:p>
    <w:p w:rsidR="00EA1A07" w:rsidRPr="00EA1A07" w:rsidRDefault="00EA1A07" w:rsidP="00EA1A07">
      <w:pPr>
        <w:spacing w:line="360" w:lineRule="auto"/>
        <w:rPr>
          <w:rFonts w:ascii="Times New Roman" w:hAnsi="Times New Roman"/>
          <w:sz w:val="24"/>
        </w:rPr>
      </w:pPr>
    </w:p>
    <w:p w:rsidR="00EA1A07" w:rsidRPr="00EA1A07" w:rsidRDefault="00EA1A07" w:rsidP="00EA1A07">
      <w:pPr>
        <w:keepNext/>
        <w:keepLines/>
        <w:spacing w:before="40" w:line="360" w:lineRule="auto"/>
        <w:outlineLvl w:val="1"/>
        <w:rPr>
          <w:rFonts w:ascii="Times New Roman" w:eastAsiaTheme="majorEastAsia" w:hAnsi="Times New Roman" w:cstheme="majorBidi"/>
          <w:b/>
          <w:sz w:val="24"/>
          <w:szCs w:val="26"/>
        </w:rPr>
      </w:pPr>
      <w:r w:rsidRPr="00EA1A07">
        <w:rPr>
          <w:rFonts w:ascii="Times New Roman" w:eastAsiaTheme="majorEastAsia" w:hAnsi="Times New Roman" w:cstheme="majorBidi"/>
          <w:b/>
          <w:sz w:val="24"/>
          <w:szCs w:val="26"/>
        </w:rPr>
        <w:t>2.1. Delitos exceptuados</w:t>
      </w:r>
    </w:p>
    <w:p w:rsidR="00EA1A07" w:rsidRPr="00EA1A07" w:rsidRDefault="00EA1A07" w:rsidP="00EA1A07">
      <w:pPr>
        <w:spacing w:line="360" w:lineRule="auto"/>
        <w:rPr>
          <w:rFonts w:ascii="Times New Roman" w:hAnsi="Times New Roman"/>
          <w:sz w:val="24"/>
          <w:lang w:eastAsia="es-ES"/>
        </w:rPr>
      </w:pPr>
      <w:r w:rsidRPr="00EA1A07">
        <w:rPr>
          <w:rFonts w:ascii="Times New Roman" w:hAnsi="Times New Roman"/>
          <w:sz w:val="24"/>
          <w:lang w:eastAsia="es-ES"/>
        </w:rPr>
        <w:t>Se acostumbró restringir el perdón a ciertos delitos especificados en las cédulas o cartas de los reyes, verbigracia el contrabando o la deserción; aunque en general se excluían los delitos más graves, incluso si el decreto regio no especificaba esta salvedad, los cuales eran, siguiendo el orden presentado por Juan López de Cuéllar, aquellos de tal magnitud que ni siquiera podía considerarse movían a la misericordia: la extracción de cosas prohibidas del reino para entregarlas a naciones enemigas</w:t>
      </w:r>
      <w:r w:rsidRPr="00EA1A07">
        <w:rPr>
          <w:rFonts w:ascii="Times New Roman" w:hAnsi="Times New Roman"/>
          <w:sz w:val="24"/>
          <w:vertAlign w:val="superscript"/>
          <w:lang w:eastAsia="es-ES"/>
        </w:rPr>
        <w:footnoteReference w:id="3"/>
      </w:r>
      <w:r w:rsidRPr="00EA1A07">
        <w:rPr>
          <w:rFonts w:ascii="Times New Roman" w:hAnsi="Times New Roman"/>
          <w:sz w:val="24"/>
          <w:lang w:eastAsia="es-ES"/>
        </w:rPr>
        <w:t>, la injuria causada por una bofetada</w:t>
      </w:r>
      <w:r w:rsidRPr="00EA1A07">
        <w:rPr>
          <w:rFonts w:ascii="Times New Roman" w:hAnsi="Times New Roman"/>
          <w:sz w:val="24"/>
          <w:vertAlign w:val="superscript"/>
          <w:lang w:eastAsia="es-ES"/>
        </w:rPr>
        <w:footnoteReference w:id="4"/>
      </w:r>
      <w:r w:rsidRPr="00EA1A07">
        <w:rPr>
          <w:rFonts w:ascii="Times New Roman" w:hAnsi="Times New Roman"/>
          <w:sz w:val="24"/>
          <w:lang w:eastAsia="es-ES"/>
        </w:rPr>
        <w:t>, el asesinato de sacerdote y la alevosía</w:t>
      </w:r>
      <w:r w:rsidRPr="00EA1A07">
        <w:rPr>
          <w:rFonts w:ascii="Times New Roman" w:hAnsi="Times New Roman"/>
          <w:sz w:val="24"/>
          <w:vertAlign w:val="superscript"/>
          <w:lang w:eastAsia="es-ES"/>
        </w:rPr>
        <w:footnoteReference w:id="5"/>
      </w:r>
      <w:r w:rsidRPr="00EA1A07">
        <w:rPr>
          <w:rFonts w:ascii="Times New Roman" w:hAnsi="Times New Roman"/>
          <w:sz w:val="24"/>
          <w:lang w:eastAsia="es-ES"/>
        </w:rPr>
        <w:t>, la fabricación de moneda falsa</w:t>
      </w:r>
      <w:r w:rsidRPr="00EA1A07">
        <w:rPr>
          <w:rFonts w:ascii="Times New Roman" w:hAnsi="Times New Roman"/>
          <w:sz w:val="24"/>
          <w:vertAlign w:val="superscript"/>
          <w:lang w:eastAsia="es-ES"/>
        </w:rPr>
        <w:footnoteReference w:id="6"/>
      </w:r>
      <w:r w:rsidRPr="00EA1A07">
        <w:rPr>
          <w:rFonts w:ascii="Times New Roman" w:hAnsi="Times New Roman"/>
          <w:sz w:val="24"/>
          <w:lang w:eastAsia="es-ES"/>
        </w:rPr>
        <w:t>,  los que usurparan pastos y bosques públicos</w:t>
      </w:r>
      <w:r w:rsidRPr="00EA1A07">
        <w:rPr>
          <w:rFonts w:ascii="Times New Roman" w:hAnsi="Times New Roman"/>
          <w:sz w:val="24"/>
          <w:vertAlign w:val="superscript"/>
          <w:lang w:eastAsia="es-ES"/>
        </w:rPr>
        <w:footnoteReference w:id="7"/>
      </w:r>
      <w:r w:rsidRPr="00EA1A07">
        <w:rPr>
          <w:rFonts w:ascii="Times New Roman" w:hAnsi="Times New Roman"/>
          <w:sz w:val="24"/>
          <w:lang w:eastAsia="es-ES"/>
        </w:rPr>
        <w:t xml:space="preserve">; aquellos que los reinos requirieron a los reyes para que no perdonara: la </w:t>
      </w:r>
      <w:r w:rsidRPr="00EA1A07">
        <w:rPr>
          <w:rFonts w:ascii="Times New Roman" w:hAnsi="Times New Roman"/>
          <w:sz w:val="24"/>
          <w:lang w:eastAsia="es-ES"/>
        </w:rPr>
        <w:lastRenderedPageBreak/>
        <w:t>plantación de viñas</w:t>
      </w:r>
      <w:r w:rsidRPr="00EA1A07">
        <w:rPr>
          <w:rFonts w:ascii="Times New Roman" w:hAnsi="Times New Roman"/>
          <w:sz w:val="24"/>
          <w:vertAlign w:val="superscript"/>
          <w:lang w:eastAsia="es-ES"/>
        </w:rPr>
        <w:footnoteReference w:id="8"/>
      </w:r>
      <w:r w:rsidRPr="00EA1A07">
        <w:rPr>
          <w:rFonts w:ascii="Times New Roman" w:hAnsi="Times New Roman"/>
          <w:sz w:val="24"/>
          <w:lang w:eastAsia="es-ES"/>
        </w:rPr>
        <w:t>, cohecho</w:t>
      </w:r>
      <w:r w:rsidRPr="00EA1A07">
        <w:rPr>
          <w:rFonts w:ascii="Times New Roman" w:hAnsi="Times New Roman"/>
          <w:sz w:val="24"/>
          <w:vertAlign w:val="superscript"/>
          <w:lang w:eastAsia="es-ES"/>
        </w:rPr>
        <w:footnoteReference w:id="9"/>
      </w:r>
      <w:r w:rsidRPr="00EA1A07">
        <w:rPr>
          <w:rFonts w:ascii="Times New Roman" w:hAnsi="Times New Roman"/>
          <w:sz w:val="24"/>
          <w:lang w:eastAsia="es-ES"/>
        </w:rPr>
        <w:t>, baratería</w:t>
      </w:r>
      <w:r w:rsidRPr="00EA1A07">
        <w:rPr>
          <w:rFonts w:ascii="Times New Roman" w:hAnsi="Times New Roman"/>
          <w:sz w:val="24"/>
          <w:vertAlign w:val="superscript"/>
          <w:lang w:eastAsia="es-ES"/>
        </w:rPr>
        <w:footnoteReference w:id="10"/>
      </w:r>
      <w:r w:rsidRPr="00EA1A07">
        <w:rPr>
          <w:rFonts w:ascii="Times New Roman" w:hAnsi="Times New Roman"/>
          <w:sz w:val="24"/>
          <w:lang w:eastAsia="es-ES"/>
        </w:rPr>
        <w:t>, retención de propios y hacienda de los pueblos</w:t>
      </w:r>
      <w:r w:rsidRPr="00EA1A07">
        <w:rPr>
          <w:rFonts w:ascii="Times New Roman" w:hAnsi="Times New Roman"/>
          <w:sz w:val="24"/>
          <w:vertAlign w:val="superscript"/>
          <w:lang w:eastAsia="es-ES"/>
        </w:rPr>
        <w:footnoteReference w:id="11"/>
      </w:r>
      <w:r w:rsidRPr="00EA1A07">
        <w:rPr>
          <w:rFonts w:ascii="Times New Roman" w:hAnsi="Times New Roman"/>
          <w:sz w:val="24"/>
          <w:lang w:eastAsia="es-ES"/>
        </w:rPr>
        <w:t>; y los que se acostumbraba excluir de los indultos generales: crimen de lesa majestad divina (herejía, blasfemia, apostasía, adivinación, encantadores y hechiceros)</w:t>
      </w:r>
      <w:r w:rsidRPr="00EA1A07">
        <w:rPr>
          <w:rFonts w:ascii="Times New Roman" w:hAnsi="Times New Roman"/>
          <w:sz w:val="24"/>
          <w:vertAlign w:val="superscript"/>
          <w:lang w:eastAsia="es-ES"/>
        </w:rPr>
        <w:footnoteReference w:id="12"/>
      </w:r>
      <w:r w:rsidRPr="00EA1A07">
        <w:rPr>
          <w:rFonts w:ascii="Times New Roman" w:hAnsi="Times New Roman"/>
          <w:sz w:val="24"/>
          <w:lang w:eastAsia="es-ES"/>
        </w:rPr>
        <w:t xml:space="preserve"> o humana (sedición, conspiración y conjuración)</w:t>
      </w:r>
      <w:r w:rsidRPr="00EA1A07">
        <w:rPr>
          <w:rFonts w:ascii="Times New Roman" w:hAnsi="Times New Roman"/>
          <w:sz w:val="24"/>
          <w:vertAlign w:val="superscript"/>
          <w:lang w:eastAsia="es-ES"/>
        </w:rPr>
        <w:footnoteReference w:id="13"/>
      </w:r>
      <w:r w:rsidRPr="00EA1A07">
        <w:rPr>
          <w:rFonts w:ascii="Times New Roman" w:hAnsi="Times New Roman"/>
          <w:sz w:val="24"/>
          <w:lang w:eastAsia="es-ES"/>
        </w:rPr>
        <w:t>, sodomía</w:t>
      </w:r>
      <w:r w:rsidRPr="00EA1A07">
        <w:rPr>
          <w:rFonts w:ascii="Times New Roman" w:hAnsi="Times New Roman"/>
          <w:sz w:val="24"/>
          <w:vertAlign w:val="superscript"/>
          <w:lang w:eastAsia="es-ES"/>
        </w:rPr>
        <w:footnoteReference w:id="14"/>
      </w:r>
      <w:r w:rsidRPr="00EA1A07">
        <w:rPr>
          <w:rFonts w:ascii="Times New Roman" w:hAnsi="Times New Roman"/>
          <w:sz w:val="24"/>
          <w:lang w:eastAsia="es-ES"/>
        </w:rPr>
        <w:t>, hurto</w:t>
      </w:r>
      <w:r w:rsidRPr="00EA1A07">
        <w:rPr>
          <w:rFonts w:ascii="Times New Roman" w:hAnsi="Times New Roman"/>
          <w:sz w:val="24"/>
          <w:vertAlign w:val="superscript"/>
          <w:lang w:eastAsia="es-ES"/>
        </w:rPr>
        <w:footnoteReference w:id="15"/>
      </w:r>
      <w:r w:rsidRPr="00EA1A07">
        <w:rPr>
          <w:rFonts w:ascii="Times New Roman" w:hAnsi="Times New Roman"/>
          <w:sz w:val="24"/>
          <w:lang w:eastAsia="es-ES"/>
        </w:rPr>
        <w:t>, falsedad</w:t>
      </w:r>
      <w:r w:rsidRPr="00EA1A07">
        <w:rPr>
          <w:rFonts w:ascii="Times New Roman" w:hAnsi="Times New Roman"/>
          <w:sz w:val="24"/>
          <w:vertAlign w:val="superscript"/>
          <w:lang w:eastAsia="es-ES"/>
        </w:rPr>
        <w:footnoteReference w:id="16"/>
      </w:r>
      <w:r w:rsidRPr="00EA1A07">
        <w:rPr>
          <w:rFonts w:ascii="Times New Roman" w:hAnsi="Times New Roman"/>
          <w:sz w:val="24"/>
          <w:lang w:eastAsia="es-ES"/>
        </w:rPr>
        <w:t>, blasfemia</w:t>
      </w:r>
      <w:r w:rsidRPr="00EA1A07">
        <w:rPr>
          <w:rFonts w:ascii="Times New Roman" w:hAnsi="Times New Roman"/>
          <w:sz w:val="24"/>
          <w:vertAlign w:val="superscript"/>
          <w:lang w:eastAsia="es-ES"/>
        </w:rPr>
        <w:footnoteReference w:id="17"/>
      </w:r>
      <w:r w:rsidRPr="00EA1A07">
        <w:rPr>
          <w:rFonts w:ascii="Times New Roman" w:hAnsi="Times New Roman"/>
          <w:sz w:val="24"/>
          <w:lang w:eastAsia="es-ES"/>
        </w:rPr>
        <w:t xml:space="preserve"> y resistencia a la justicia</w:t>
      </w:r>
      <w:r w:rsidRPr="00EA1A07">
        <w:rPr>
          <w:rFonts w:ascii="Times New Roman" w:hAnsi="Times New Roman"/>
          <w:sz w:val="24"/>
          <w:vertAlign w:val="superscript"/>
          <w:lang w:eastAsia="es-ES"/>
        </w:rPr>
        <w:footnoteReference w:id="18"/>
      </w:r>
      <w:r w:rsidRPr="00EA1A07">
        <w:rPr>
          <w:rFonts w:ascii="Times New Roman" w:hAnsi="Times New Roman"/>
          <w:sz w:val="24"/>
          <w:lang w:eastAsia="es-ES"/>
        </w:rPr>
        <w:t xml:space="preserve">. Además de los anteriores, la mayoría de indultos generales del siglo XVIII </w:t>
      </w:r>
      <w:r w:rsidRPr="00EA1A07">
        <w:rPr>
          <w:rFonts w:ascii="Times New Roman" w:hAnsi="Times New Roman"/>
          <w:sz w:val="24"/>
          <w:lang w:eastAsia="es-ES"/>
        </w:rPr>
        <w:lastRenderedPageBreak/>
        <w:t>excluyeron del perdón a los delitos de incendiario y la malversación de la Real Hacienda</w:t>
      </w:r>
      <w:r w:rsidRPr="00EA1A07">
        <w:rPr>
          <w:rFonts w:ascii="Times New Roman" w:hAnsi="Times New Roman"/>
          <w:sz w:val="24"/>
          <w:vertAlign w:val="superscript"/>
          <w:lang w:eastAsia="es-ES"/>
        </w:rPr>
        <w:footnoteReference w:id="19"/>
      </w:r>
      <w:r w:rsidRPr="00EA1A07">
        <w:rPr>
          <w:rFonts w:ascii="Times New Roman" w:hAnsi="Times New Roman"/>
          <w:sz w:val="24"/>
          <w:lang w:eastAsia="es-ES"/>
        </w:rPr>
        <w:t>, los cuales podrían comprenderse dentro del amplio espectro de la traición</w:t>
      </w:r>
      <w:r w:rsidRPr="00EA1A07">
        <w:rPr>
          <w:rFonts w:ascii="Times New Roman" w:hAnsi="Times New Roman"/>
          <w:sz w:val="24"/>
          <w:vertAlign w:val="superscript"/>
          <w:lang w:eastAsia="es-ES"/>
        </w:rPr>
        <w:footnoteReference w:id="20"/>
      </w:r>
      <w:r w:rsidRPr="00EA1A07">
        <w:rPr>
          <w:rFonts w:ascii="Times New Roman" w:hAnsi="Times New Roman"/>
          <w:sz w:val="24"/>
          <w:lang w:eastAsia="es-ES"/>
        </w:rPr>
        <w:t xml:space="preserve">. </w:t>
      </w:r>
    </w:p>
    <w:p w:rsidR="00EA1A07" w:rsidRPr="00EA1A07" w:rsidRDefault="00EA1A07" w:rsidP="00EA1A07">
      <w:pPr>
        <w:spacing w:line="360" w:lineRule="auto"/>
        <w:rPr>
          <w:rFonts w:ascii="Times New Roman" w:hAnsi="Times New Roman"/>
          <w:sz w:val="24"/>
          <w:lang w:eastAsia="es-ES"/>
        </w:rPr>
      </w:pPr>
      <w:r w:rsidRPr="00EA1A07">
        <w:rPr>
          <w:rFonts w:ascii="Times New Roman" w:hAnsi="Times New Roman"/>
          <w:sz w:val="24"/>
          <w:lang w:eastAsia="es-ES"/>
        </w:rPr>
        <w:t>Esta característica de los delitos excluidos e incluidos en los perdones se modificaba con cada cédula de perdón. Rodríguez Flores ha mostrado dicha variabilidad tanto en la doctrina como en las cédulas, sin embargo, por lo menos desde Carlos III se asumió una fórmula repetida en los indultos generales en adelante (tal vez hasta el indulto de Isabel II de 1848</w:t>
      </w:r>
      <w:r w:rsidRPr="00EA1A07">
        <w:rPr>
          <w:rFonts w:ascii="Times New Roman" w:hAnsi="Times New Roman"/>
          <w:sz w:val="24"/>
          <w:vertAlign w:val="superscript"/>
          <w:lang w:eastAsia="es-ES"/>
        </w:rPr>
        <w:footnoteReference w:id="21"/>
      </w:r>
      <w:r w:rsidRPr="00EA1A07">
        <w:rPr>
          <w:rFonts w:ascii="Times New Roman" w:hAnsi="Times New Roman"/>
          <w:sz w:val="24"/>
          <w:lang w:eastAsia="es-ES"/>
        </w:rPr>
        <w:t>) y que fue tomada como prototipo por Vicente Vizcaíno para ejemplificar los delitos exceptuados del perdón general</w:t>
      </w:r>
      <w:r w:rsidRPr="00EA1A07">
        <w:rPr>
          <w:rFonts w:ascii="Times New Roman" w:hAnsi="Times New Roman"/>
          <w:sz w:val="24"/>
          <w:vertAlign w:val="superscript"/>
          <w:lang w:eastAsia="es-ES"/>
        </w:rPr>
        <w:footnoteReference w:id="22"/>
      </w:r>
      <w:r w:rsidRPr="00EA1A07">
        <w:rPr>
          <w:rFonts w:ascii="Times New Roman" w:hAnsi="Times New Roman"/>
          <w:sz w:val="24"/>
          <w:lang w:eastAsia="es-ES"/>
        </w:rPr>
        <w:t>. La fórmula que aparecería en todas estas cédulas sería:</w:t>
      </w:r>
    </w:p>
    <w:p w:rsidR="00EA1A07" w:rsidRPr="00EA1A07" w:rsidRDefault="00EA1A07" w:rsidP="00EA1A07">
      <w:pPr>
        <w:spacing w:line="240" w:lineRule="auto"/>
        <w:ind w:left="709" w:firstLine="0"/>
        <w:rPr>
          <w:rFonts w:ascii="Times New Roman" w:hAnsi="Times New Roman"/>
          <w:iCs/>
          <w:sz w:val="24"/>
          <w:lang w:eastAsia="es-ES"/>
        </w:rPr>
      </w:pPr>
      <w:r w:rsidRPr="00EA1A07">
        <w:rPr>
          <w:rFonts w:ascii="Times New Roman" w:hAnsi="Times New Roman"/>
          <w:iCs/>
          <w:sz w:val="24"/>
          <w:lang w:eastAsia="es-ES"/>
        </w:rPr>
        <w:t xml:space="preserve">Usando de mi Real piedad y clemencia, es mi voluntad sean sueltos libremente todos los reos en general que se hallaren en las cárceles por razón de cualesquier delitos, exceptuando el crimen de lesa Majestad divina o Humana, la alevosía del homicidio de Sacerdote, el delito de fabricar moneda falsa, el de incendiarios, la extracción de cosas prohibidas del </w:t>
      </w:r>
      <w:proofErr w:type="spellStart"/>
      <w:r w:rsidRPr="00EA1A07">
        <w:rPr>
          <w:rFonts w:ascii="Times New Roman" w:hAnsi="Times New Roman"/>
          <w:iCs/>
          <w:sz w:val="24"/>
          <w:lang w:eastAsia="es-ES"/>
        </w:rPr>
        <w:t>Reyno</w:t>
      </w:r>
      <w:proofErr w:type="spellEnd"/>
      <w:r w:rsidRPr="00EA1A07">
        <w:rPr>
          <w:rFonts w:ascii="Times New Roman" w:hAnsi="Times New Roman"/>
          <w:iCs/>
          <w:sz w:val="24"/>
          <w:lang w:eastAsia="es-ES"/>
        </w:rPr>
        <w:t>, el de blasfemia, el de sodomía, el hurto, el cohecho y baratería, el de falsedad, el de resistencia a la Justicia, el de desafío, y el de mala versación de mi Real  Hacienda”</w:t>
      </w:r>
      <w:r w:rsidRPr="00EA1A07">
        <w:rPr>
          <w:rFonts w:ascii="Times New Roman" w:hAnsi="Times New Roman"/>
          <w:iCs/>
          <w:sz w:val="24"/>
          <w:vertAlign w:val="superscript"/>
          <w:lang w:eastAsia="es-ES"/>
        </w:rPr>
        <w:footnoteReference w:id="23"/>
      </w:r>
    </w:p>
    <w:p w:rsidR="00EA1A07" w:rsidRPr="00EA1A07" w:rsidRDefault="00EA1A07" w:rsidP="00EA1A07">
      <w:pPr>
        <w:spacing w:line="360" w:lineRule="auto"/>
        <w:rPr>
          <w:rFonts w:ascii="Times New Roman" w:hAnsi="Times New Roman"/>
          <w:sz w:val="24"/>
          <w:lang w:eastAsia="es-ES"/>
        </w:rPr>
      </w:pPr>
    </w:p>
    <w:p w:rsidR="00EA1A07" w:rsidRPr="00EA1A07" w:rsidRDefault="00EA1A07" w:rsidP="00EA1A07">
      <w:pPr>
        <w:spacing w:line="360" w:lineRule="auto"/>
        <w:rPr>
          <w:rFonts w:ascii="Times New Roman" w:hAnsi="Times New Roman"/>
          <w:sz w:val="24"/>
        </w:rPr>
      </w:pPr>
      <w:r w:rsidRPr="00EA1A07">
        <w:rPr>
          <w:rFonts w:ascii="Times New Roman" w:hAnsi="Times New Roman"/>
          <w:sz w:val="24"/>
        </w:rPr>
        <w:t>Delitos exceptuados: ciertos delitos son exceptuados, basándose en el sentido de ser tan aberrantes que no podrían estar incluidos en la clemencia sin representar un daño al orden de la república.</w:t>
      </w:r>
    </w:p>
    <w:p w:rsidR="00EA1A07" w:rsidRPr="00EA1A07" w:rsidRDefault="00EA1A07" w:rsidP="00EA1A07">
      <w:pPr>
        <w:spacing w:line="360" w:lineRule="auto"/>
        <w:rPr>
          <w:rFonts w:ascii="Times New Roman" w:hAnsi="Times New Roman"/>
          <w:sz w:val="24"/>
        </w:rPr>
      </w:pPr>
    </w:p>
    <w:p w:rsidR="00EA1A07" w:rsidRPr="00EA1A07" w:rsidRDefault="00EA1A07" w:rsidP="00EA1A07">
      <w:pPr>
        <w:keepNext/>
        <w:keepLines/>
        <w:spacing w:before="40" w:line="360" w:lineRule="auto"/>
        <w:outlineLvl w:val="1"/>
        <w:rPr>
          <w:rFonts w:ascii="Times New Roman" w:eastAsiaTheme="majorEastAsia" w:hAnsi="Times New Roman" w:cstheme="majorBidi"/>
          <w:b/>
          <w:sz w:val="24"/>
          <w:szCs w:val="26"/>
        </w:rPr>
      </w:pPr>
      <w:r w:rsidRPr="00EA1A07">
        <w:rPr>
          <w:rFonts w:ascii="Times New Roman" w:eastAsiaTheme="majorEastAsia" w:hAnsi="Times New Roman" w:cstheme="majorBidi"/>
          <w:b/>
          <w:sz w:val="24"/>
          <w:szCs w:val="26"/>
        </w:rPr>
        <w:t>2.2. Clasificación de los indultos: generales, particulares, etc.</w:t>
      </w:r>
    </w:p>
    <w:p w:rsidR="00EA1A07" w:rsidRPr="00EA1A07" w:rsidRDefault="00EA1A07" w:rsidP="00EA1A07">
      <w:pPr>
        <w:spacing w:line="360" w:lineRule="auto"/>
        <w:rPr>
          <w:rFonts w:ascii="Times New Roman" w:hAnsi="Times New Roman"/>
          <w:sz w:val="24"/>
        </w:rPr>
      </w:pPr>
      <w:r w:rsidRPr="00EA1A07">
        <w:rPr>
          <w:rFonts w:ascii="Times New Roman" w:hAnsi="Times New Roman"/>
          <w:sz w:val="24"/>
        </w:rPr>
        <w:t xml:space="preserve"> </w:t>
      </w:r>
    </w:p>
    <w:p w:rsidR="00EA1A07" w:rsidRPr="00EA1A07" w:rsidRDefault="00EA1A07" w:rsidP="00EA1A07">
      <w:pPr>
        <w:spacing w:line="360" w:lineRule="auto"/>
        <w:rPr>
          <w:rFonts w:ascii="Times New Roman" w:hAnsi="Times New Roman"/>
          <w:sz w:val="24"/>
        </w:rPr>
      </w:pPr>
      <w:r w:rsidRPr="00EA1A07">
        <w:rPr>
          <w:rFonts w:ascii="Times New Roman" w:hAnsi="Times New Roman"/>
          <w:sz w:val="24"/>
          <w:highlight w:val="yellow"/>
        </w:rPr>
        <w:lastRenderedPageBreak/>
        <w:t>Estas excepciones eran necesarias en el caso de los indultos más amplios, que podrían clasificarse como generales, universales, totales y a “motu proprio” real, es decir, aquellos que perdonaban toda clase de delitos e incluían a toda clase de reos en cualquier situación procesal que se encontraran, liberándolos completamente de la culpa o la pena, y que se concedían por motivos de alegría, como la exaltación al trono o la celebración de cortes generales</w:t>
      </w:r>
      <w:r w:rsidRPr="00EA1A07">
        <w:rPr>
          <w:rFonts w:ascii="Times New Roman" w:hAnsi="Times New Roman"/>
          <w:sz w:val="24"/>
          <w:vertAlign w:val="superscript"/>
        </w:rPr>
        <w:footnoteReference w:id="24"/>
      </w:r>
      <w:r w:rsidRPr="00EA1A07">
        <w:rPr>
          <w:rFonts w:ascii="Times New Roman" w:hAnsi="Times New Roman"/>
          <w:sz w:val="24"/>
        </w:rPr>
        <w:t>. Tan comunes como estos perdones fueron los generales con alcance colectivo, esto es, aquellos que abarcaban a un grupo numeroso de individuos pero sólo cubrían un tipo de delito, los cuales fueron concedidos “con más o menos patentes fines políticos, para pacificar el reino después de las luchas” y que de cierta medida pueden asimilarse al sentido que hoy día cumplen las amnistías</w:t>
      </w:r>
      <w:r w:rsidRPr="00EA1A07">
        <w:rPr>
          <w:rFonts w:ascii="Times New Roman" w:hAnsi="Times New Roman"/>
          <w:sz w:val="24"/>
          <w:vertAlign w:val="superscript"/>
        </w:rPr>
        <w:footnoteReference w:id="25"/>
      </w:r>
      <w:r w:rsidRPr="00EA1A07">
        <w:rPr>
          <w:rFonts w:ascii="Times New Roman" w:hAnsi="Times New Roman"/>
          <w:sz w:val="24"/>
        </w:rPr>
        <w:t>. Esta distinción es fundamental en tanto permite comprender por separado los efectos de la concesión de cada uno de estos indultos en el Nuevo Reino de Granada, verbigracia, los indultos a desertores, contrabandistas y partícipes en asonadas, revueltas y rebeliones revelan un interés particular de la Corona o los gobernadores del virreinato para remitir tales delitos y no proceder a su condigno castigo, como podría ser recuperar fuerza de milicias y soldados, recuperar en parte la Real Hacienda o ganar combatientes del bando contrario</w:t>
      </w:r>
      <w:r w:rsidRPr="00EA1A07">
        <w:rPr>
          <w:rFonts w:ascii="Times New Roman" w:hAnsi="Times New Roman"/>
          <w:sz w:val="24"/>
          <w:vertAlign w:val="superscript"/>
        </w:rPr>
        <w:footnoteReference w:id="26"/>
      </w:r>
      <w:r w:rsidRPr="00EA1A07">
        <w:rPr>
          <w:rFonts w:ascii="Times New Roman" w:hAnsi="Times New Roman"/>
          <w:sz w:val="24"/>
        </w:rPr>
        <w:t>. Por otra parte, los reos presentes y ausentes aprovecharon la costumbre celebratoria para acogerse al indulto general más amplio y con ello pretender su posible libertad y restauración de la honra perdida tras el crimen.</w:t>
      </w:r>
    </w:p>
    <w:p w:rsidR="00EA1A07" w:rsidRPr="00EA1A07" w:rsidRDefault="00EA1A07" w:rsidP="00EA1A07">
      <w:pPr>
        <w:spacing w:line="360" w:lineRule="auto"/>
        <w:rPr>
          <w:rFonts w:ascii="Times New Roman" w:hAnsi="Times New Roman"/>
          <w:iCs/>
          <w:sz w:val="24"/>
        </w:rPr>
      </w:pPr>
      <w:r w:rsidRPr="00EA1A07">
        <w:rPr>
          <w:rFonts w:ascii="Times New Roman" w:hAnsi="Times New Roman"/>
          <w:sz w:val="24"/>
        </w:rPr>
        <w:t xml:space="preserve">El tercer tipo de perdón sería el indulto particular o individual, concedido por decisión regia a un beneficiario por petición propia o a través de un intermediario. En este tipo de perdones era fundamental demostrar las cualidades, virtudes, servicios y otros valores que movieran la piedad del rey, aunque dicho prestigio podría recaer en el intermediario con lo cual se estaría concediendo un donativo al tercero aunque se beneficiara directamente el </w:t>
      </w:r>
      <w:r w:rsidRPr="00EA1A07">
        <w:rPr>
          <w:rFonts w:ascii="Times New Roman" w:hAnsi="Times New Roman"/>
          <w:sz w:val="24"/>
        </w:rPr>
        <w:lastRenderedPageBreak/>
        <w:t>reo</w:t>
      </w:r>
      <w:r w:rsidRPr="00EA1A07">
        <w:rPr>
          <w:rFonts w:ascii="Times New Roman" w:hAnsi="Times New Roman"/>
          <w:sz w:val="24"/>
          <w:vertAlign w:val="superscript"/>
        </w:rPr>
        <w:footnoteReference w:id="27"/>
      </w:r>
      <w:r w:rsidRPr="00EA1A07">
        <w:rPr>
          <w:rFonts w:ascii="Times New Roman" w:hAnsi="Times New Roman"/>
          <w:sz w:val="24"/>
        </w:rPr>
        <w:t xml:space="preserve">. En este sentido, se trata de una correlación entre el perdón y la merced, cuyo fundamento legal estaba anclado en la ley de </w:t>
      </w:r>
      <w:r w:rsidRPr="00EA1A07">
        <w:rPr>
          <w:rFonts w:ascii="Times New Roman" w:hAnsi="Times New Roman"/>
          <w:i/>
          <w:sz w:val="24"/>
        </w:rPr>
        <w:t>Partidas</w:t>
      </w:r>
      <w:r w:rsidRPr="00EA1A07">
        <w:rPr>
          <w:rFonts w:ascii="Times New Roman" w:hAnsi="Times New Roman"/>
          <w:sz w:val="24"/>
        </w:rPr>
        <w:t xml:space="preserve"> que decía: “</w:t>
      </w:r>
      <w:r w:rsidRPr="00EA1A07">
        <w:rPr>
          <w:rFonts w:ascii="Times New Roman" w:hAnsi="Times New Roman"/>
          <w:iCs/>
          <w:sz w:val="24"/>
        </w:rPr>
        <w:t xml:space="preserve">Merced, es </w:t>
      </w:r>
      <w:proofErr w:type="spellStart"/>
      <w:r w:rsidRPr="00EA1A07">
        <w:rPr>
          <w:rFonts w:ascii="Times New Roman" w:hAnsi="Times New Roman"/>
          <w:iCs/>
          <w:sz w:val="24"/>
        </w:rPr>
        <w:t>perdon</w:t>
      </w:r>
      <w:proofErr w:type="spellEnd"/>
      <w:r w:rsidRPr="00EA1A07">
        <w:rPr>
          <w:rFonts w:ascii="Times New Roman" w:hAnsi="Times New Roman"/>
          <w:iCs/>
          <w:sz w:val="24"/>
        </w:rPr>
        <w:t xml:space="preserve"> que el Rey </w:t>
      </w:r>
      <w:proofErr w:type="spellStart"/>
      <w:r w:rsidRPr="00EA1A07">
        <w:rPr>
          <w:rFonts w:ascii="Times New Roman" w:hAnsi="Times New Roman"/>
          <w:iCs/>
          <w:sz w:val="24"/>
        </w:rPr>
        <w:t>faze</w:t>
      </w:r>
      <w:proofErr w:type="spellEnd"/>
      <w:r w:rsidRPr="00EA1A07">
        <w:rPr>
          <w:rFonts w:ascii="Times New Roman" w:hAnsi="Times New Roman"/>
          <w:iCs/>
          <w:sz w:val="24"/>
        </w:rPr>
        <w:t xml:space="preserve"> a otro, por </w:t>
      </w:r>
      <w:proofErr w:type="spellStart"/>
      <w:r w:rsidRPr="00EA1A07">
        <w:rPr>
          <w:rFonts w:ascii="Times New Roman" w:hAnsi="Times New Roman"/>
          <w:iCs/>
          <w:sz w:val="24"/>
        </w:rPr>
        <w:t>merescimiento</w:t>
      </w:r>
      <w:proofErr w:type="spellEnd"/>
      <w:r w:rsidRPr="00EA1A07">
        <w:rPr>
          <w:rFonts w:ascii="Times New Roman" w:hAnsi="Times New Roman"/>
          <w:iCs/>
          <w:sz w:val="24"/>
        </w:rPr>
        <w:t xml:space="preserve"> de servicio que le fizo aquel a quien perdona, o aquellos de quien el desciende, e es como manera de </w:t>
      </w:r>
      <w:proofErr w:type="spellStart"/>
      <w:r w:rsidRPr="00EA1A07">
        <w:rPr>
          <w:rFonts w:ascii="Times New Roman" w:hAnsi="Times New Roman"/>
          <w:iCs/>
          <w:sz w:val="24"/>
        </w:rPr>
        <w:t>galardon</w:t>
      </w:r>
      <w:proofErr w:type="spellEnd"/>
      <w:r w:rsidRPr="00EA1A07">
        <w:rPr>
          <w:rFonts w:ascii="Times New Roman" w:hAnsi="Times New Roman"/>
          <w:iCs/>
          <w:sz w:val="24"/>
        </w:rPr>
        <w:t>.”</w:t>
      </w:r>
      <w:r w:rsidRPr="00EA1A07">
        <w:rPr>
          <w:rFonts w:ascii="Times New Roman" w:hAnsi="Times New Roman"/>
          <w:sz w:val="24"/>
          <w:vertAlign w:val="superscript"/>
        </w:rPr>
        <w:footnoteReference w:id="28"/>
      </w:r>
    </w:p>
    <w:p w:rsidR="00EA1A07" w:rsidRPr="00EA1A07" w:rsidRDefault="00EA1A07" w:rsidP="00EA1A07">
      <w:pPr>
        <w:spacing w:line="360" w:lineRule="auto"/>
        <w:rPr>
          <w:rFonts w:ascii="Times New Roman" w:hAnsi="Times New Roman"/>
          <w:sz w:val="24"/>
        </w:rPr>
      </w:pPr>
      <w:r w:rsidRPr="00EA1A07">
        <w:rPr>
          <w:rFonts w:ascii="Times New Roman" w:hAnsi="Times New Roman"/>
          <w:sz w:val="24"/>
        </w:rPr>
        <w:t>El perdón por merced involucraría a aquellos que tuviesen una calidad de nobleza o que si no la tuvieran fueran capaces de demostrar sus servicios al príncipe</w:t>
      </w:r>
      <w:r w:rsidRPr="00EA1A07">
        <w:rPr>
          <w:rFonts w:ascii="Times New Roman" w:hAnsi="Times New Roman"/>
          <w:sz w:val="24"/>
          <w:vertAlign w:val="superscript"/>
        </w:rPr>
        <w:footnoteReference w:id="29"/>
      </w:r>
      <w:r w:rsidRPr="00EA1A07">
        <w:rPr>
          <w:rFonts w:ascii="Times New Roman" w:hAnsi="Times New Roman"/>
          <w:sz w:val="24"/>
        </w:rPr>
        <w:t>. En este tenor, la misericordia funciona como recompensa del mérito propio o heredado</w:t>
      </w:r>
      <w:r w:rsidRPr="00EA1A07">
        <w:rPr>
          <w:rFonts w:ascii="Times New Roman" w:hAnsi="Times New Roman"/>
          <w:sz w:val="24"/>
          <w:vertAlign w:val="superscript"/>
        </w:rPr>
        <w:footnoteReference w:id="30"/>
      </w:r>
      <w:r w:rsidRPr="00EA1A07">
        <w:rPr>
          <w:rFonts w:ascii="Times New Roman" w:hAnsi="Times New Roman"/>
          <w:sz w:val="24"/>
        </w:rPr>
        <w:t>, ya que la retribución al servicio prestado a la corona era considerada justicia, por lo cual, la moderación o anulación del castigo sustentado en el merecimiento no se consideraba injusta, antes bien, era esperada por aquel que solicitaba la misericordia del rey</w:t>
      </w:r>
      <w:r w:rsidRPr="00EA1A07">
        <w:rPr>
          <w:rFonts w:ascii="Times New Roman" w:hAnsi="Times New Roman"/>
          <w:sz w:val="24"/>
          <w:vertAlign w:val="superscript"/>
        </w:rPr>
        <w:footnoteReference w:id="31"/>
      </w:r>
      <w:r w:rsidRPr="00EA1A07">
        <w:rPr>
          <w:rFonts w:ascii="Times New Roman" w:hAnsi="Times New Roman"/>
          <w:sz w:val="24"/>
        </w:rPr>
        <w:t>. La diferencia entre el perdón otorgado por merced y por gracia radicaría solamente en que la donación graciosa surge de la liberalidad del monarca y no presume la existencia de un mérito en quien la recibe</w:t>
      </w:r>
      <w:r w:rsidRPr="00EA1A07">
        <w:rPr>
          <w:rFonts w:ascii="Times New Roman" w:hAnsi="Times New Roman"/>
          <w:sz w:val="24"/>
          <w:vertAlign w:val="superscript"/>
        </w:rPr>
        <w:footnoteReference w:id="32"/>
      </w:r>
      <w:r w:rsidRPr="00EA1A07">
        <w:rPr>
          <w:rFonts w:ascii="Times New Roman" w:hAnsi="Times New Roman"/>
          <w:sz w:val="24"/>
        </w:rPr>
        <w:t xml:space="preserve">. </w:t>
      </w:r>
    </w:p>
    <w:p w:rsidR="00EA1A07" w:rsidRPr="00EA1A07" w:rsidRDefault="00EA1A07" w:rsidP="00EA1A07">
      <w:pPr>
        <w:spacing w:line="360" w:lineRule="auto"/>
        <w:rPr>
          <w:rFonts w:ascii="Times New Roman" w:hAnsi="Times New Roman"/>
          <w:sz w:val="24"/>
        </w:rPr>
      </w:pPr>
      <w:r w:rsidRPr="00EA1A07">
        <w:rPr>
          <w:rFonts w:ascii="Times New Roman" w:hAnsi="Times New Roman"/>
          <w:sz w:val="24"/>
        </w:rPr>
        <w:t>También era frecuente que el perdón particular conllevara una forma de contraprestación económica, ya fuese directamente como donativo a la Real Hacienda o en forma de restitución o compensación a la parte ofendida, a este último caso se le denominaba composición. Por lo menos para el caso castellano, el uso de este recurso de perdones por dinero abrió la posibilidad para indultar delincuentes que se consideraban excluidos de la misericordia, específicamente los condenados por alevosía</w:t>
      </w:r>
      <w:r w:rsidRPr="00EA1A07">
        <w:rPr>
          <w:rFonts w:ascii="Times New Roman" w:hAnsi="Times New Roman"/>
          <w:sz w:val="24"/>
          <w:vertAlign w:val="superscript"/>
        </w:rPr>
        <w:footnoteReference w:id="33"/>
      </w:r>
      <w:r w:rsidRPr="00EA1A07">
        <w:rPr>
          <w:rFonts w:ascii="Times New Roman" w:hAnsi="Times New Roman"/>
          <w:sz w:val="24"/>
        </w:rPr>
        <w:t xml:space="preserve">. En este sentido, se apelaba al </w:t>
      </w:r>
      <w:r w:rsidRPr="00EA1A07">
        <w:rPr>
          <w:rFonts w:ascii="Times New Roman" w:hAnsi="Times New Roman"/>
          <w:sz w:val="24"/>
        </w:rPr>
        <w:lastRenderedPageBreak/>
        <w:t>principio de la utilidad pública según el cual era posible excusar la vindicta, incluso el perdón de parte y permitía la remisión de la pena de muerte en delitos atroces</w:t>
      </w:r>
      <w:r w:rsidRPr="00EA1A07">
        <w:rPr>
          <w:rFonts w:ascii="Times New Roman" w:hAnsi="Times New Roman"/>
          <w:sz w:val="24"/>
          <w:vertAlign w:val="superscript"/>
        </w:rPr>
        <w:footnoteReference w:id="34"/>
      </w:r>
      <w:r w:rsidRPr="00EA1A07">
        <w:rPr>
          <w:rFonts w:ascii="Times New Roman" w:hAnsi="Times New Roman"/>
          <w:sz w:val="24"/>
        </w:rPr>
        <w:t>. La utilidad más común consistía en la conmutación de la pena capital por el trabajo en galeras</w:t>
      </w:r>
      <w:r w:rsidRPr="00EA1A07">
        <w:rPr>
          <w:rFonts w:ascii="Times New Roman" w:hAnsi="Times New Roman"/>
          <w:sz w:val="24"/>
          <w:vertAlign w:val="superscript"/>
        </w:rPr>
        <w:footnoteReference w:id="35"/>
      </w:r>
      <w:r w:rsidRPr="00EA1A07">
        <w:rPr>
          <w:rFonts w:ascii="Times New Roman" w:hAnsi="Times New Roman"/>
          <w:sz w:val="24"/>
        </w:rPr>
        <w:t>, con lo cual se fortalecía el comercio y los navíos de guerra. Por lo tanto, hay una idea de conveniencia que por una parte salvaba la clemencia del rey y por otra servía a la república</w:t>
      </w:r>
      <w:r w:rsidRPr="00EA1A07">
        <w:rPr>
          <w:rFonts w:ascii="Times New Roman" w:hAnsi="Times New Roman"/>
          <w:sz w:val="24"/>
          <w:vertAlign w:val="superscript"/>
        </w:rPr>
        <w:footnoteReference w:id="36"/>
      </w:r>
      <w:r w:rsidRPr="00EA1A07">
        <w:rPr>
          <w:rFonts w:ascii="Times New Roman" w:hAnsi="Times New Roman"/>
          <w:sz w:val="24"/>
        </w:rPr>
        <w:t>.</w:t>
      </w:r>
    </w:p>
    <w:p w:rsidR="00EA1A07" w:rsidRPr="00EA1A07" w:rsidRDefault="00EA1A07" w:rsidP="00EA1A07">
      <w:pPr>
        <w:spacing w:line="360" w:lineRule="auto"/>
        <w:rPr>
          <w:rFonts w:ascii="Times New Roman" w:hAnsi="Times New Roman"/>
          <w:sz w:val="24"/>
        </w:rPr>
      </w:pPr>
      <w:r w:rsidRPr="00EA1A07">
        <w:rPr>
          <w:rFonts w:ascii="Times New Roman" w:hAnsi="Times New Roman"/>
          <w:sz w:val="24"/>
        </w:rPr>
        <w:t>Siguiendo la tratadística castellana, uno de los preceptos del gobierno de los príncipes consistía en que el bien público estaba por encima del bien particular</w:t>
      </w:r>
      <w:r w:rsidRPr="00EA1A07">
        <w:rPr>
          <w:rFonts w:ascii="Times New Roman" w:hAnsi="Times New Roman"/>
          <w:sz w:val="24"/>
          <w:vertAlign w:val="superscript"/>
        </w:rPr>
        <w:footnoteReference w:id="37"/>
      </w:r>
      <w:r w:rsidRPr="00EA1A07">
        <w:rPr>
          <w:rFonts w:ascii="Times New Roman" w:hAnsi="Times New Roman"/>
          <w:sz w:val="24"/>
        </w:rPr>
        <w:t>, en ese sentido, todos los perdones y castigos debían ser acordes con dicho principio. La utilidad pública, por su parte, remitía al bien, pero asimismo justificaba el estado de excepción en caso de guerra que permitía, por ejemplo, el uso de bienes que por privilegio estaban protegidos. De la misma manera, además de las galeras, el rey podía indultar sin justa causa para beneficio de la Real Hacienda</w:t>
      </w:r>
      <w:r w:rsidRPr="00EA1A07">
        <w:rPr>
          <w:rFonts w:ascii="Times New Roman" w:hAnsi="Times New Roman"/>
          <w:sz w:val="24"/>
          <w:vertAlign w:val="superscript"/>
        </w:rPr>
        <w:footnoteReference w:id="38"/>
      </w:r>
      <w:r w:rsidRPr="00EA1A07">
        <w:rPr>
          <w:rFonts w:ascii="Times New Roman" w:hAnsi="Times New Roman"/>
          <w:sz w:val="24"/>
        </w:rPr>
        <w:t>. Por ende, es posible hacer una distinción semántica entre ambos principios, entendiendo que el bien público era la condición general para el buen gobierno del reino, en tanto la utilidad pública estaba asociada con la conveniencia para la República en situaciones de necesidad, por ejemplo en tiempos de guerra o carencia fiscal, y para el caso de las indias, el poblamiento</w:t>
      </w:r>
      <w:r w:rsidRPr="00EA1A07">
        <w:rPr>
          <w:rFonts w:ascii="Times New Roman" w:hAnsi="Times New Roman"/>
          <w:sz w:val="24"/>
          <w:vertAlign w:val="superscript"/>
        </w:rPr>
        <w:footnoteReference w:id="39"/>
      </w:r>
      <w:r w:rsidRPr="00EA1A07">
        <w:rPr>
          <w:rFonts w:ascii="Times New Roman" w:hAnsi="Times New Roman"/>
          <w:sz w:val="24"/>
        </w:rPr>
        <w:t>.</w:t>
      </w:r>
    </w:p>
    <w:p w:rsidR="00EA1A07" w:rsidRPr="00EA1A07" w:rsidRDefault="00EA1A07" w:rsidP="00EA1A07">
      <w:pPr>
        <w:spacing w:line="360" w:lineRule="auto"/>
        <w:rPr>
          <w:rFonts w:ascii="Times New Roman" w:hAnsi="Times New Roman"/>
          <w:sz w:val="24"/>
        </w:rPr>
      </w:pPr>
    </w:p>
    <w:p w:rsidR="00EA1A07" w:rsidRPr="00EA1A07" w:rsidRDefault="00EA1A07" w:rsidP="00EA1A07">
      <w:pPr>
        <w:spacing w:line="360" w:lineRule="auto"/>
        <w:rPr>
          <w:rFonts w:ascii="Times New Roman" w:hAnsi="Times New Roman"/>
          <w:sz w:val="24"/>
        </w:rPr>
      </w:pPr>
    </w:p>
    <w:p w:rsidR="00EA1A07" w:rsidRPr="00EA1A07" w:rsidRDefault="00EA1A07" w:rsidP="00EA1A07">
      <w:pPr>
        <w:keepNext/>
        <w:keepLines/>
        <w:spacing w:before="40" w:line="360" w:lineRule="auto"/>
        <w:outlineLvl w:val="1"/>
        <w:rPr>
          <w:rFonts w:ascii="Times New Roman" w:eastAsiaTheme="majorEastAsia" w:hAnsi="Times New Roman" w:cstheme="majorBidi"/>
          <w:b/>
          <w:sz w:val="24"/>
          <w:szCs w:val="26"/>
        </w:rPr>
      </w:pPr>
      <w:r w:rsidRPr="00EA1A07">
        <w:rPr>
          <w:rFonts w:ascii="Times New Roman" w:eastAsiaTheme="majorEastAsia" w:hAnsi="Times New Roman" w:cstheme="majorBidi"/>
          <w:b/>
          <w:sz w:val="24"/>
          <w:szCs w:val="26"/>
        </w:rPr>
        <w:t>1.4. Clemencia con el enemigo extranjero</w:t>
      </w:r>
    </w:p>
    <w:p w:rsidR="00EA1A07" w:rsidRDefault="00EA1A07" w:rsidP="00EA1A07">
      <w:pPr>
        <w:spacing w:line="360" w:lineRule="auto"/>
        <w:rPr>
          <w:rFonts w:ascii="Times New Roman" w:hAnsi="Times New Roman"/>
          <w:sz w:val="24"/>
        </w:rPr>
      </w:pPr>
    </w:p>
    <w:p w:rsidR="00244C42" w:rsidRDefault="00244C42" w:rsidP="00EA1A07">
      <w:pPr>
        <w:spacing w:line="360" w:lineRule="auto"/>
        <w:rPr>
          <w:rFonts w:ascii="Times New Roman" w:hAnsi="Times New Roman"/>
          <w:sz w:val="24"/>
        </w:rPr>
      </w:pPr>
      <w:hyperlink r:id="rId7" w:history="1">
        <w:r w:rsidRPr="005367AC">
          <w:rPr>
            <w:rStyle w:val="Hipervnculo"/>
            <w:rFonts w:ascii="Times New Roman" w:hAnsi="Times New Roman"/>
            <w:sz w:val="24"/>
          </w:rPr>
          <w:t>http://localhost/fichero/items/s</w:t>
        </w:r>
        <w:bookmarkStart w:id="0" w:name="_GoBack"/>
        <w:bookmarkEnd w:id="0"/>
        <w:r w:rsidRPr="005367AC">
          <w:rPr>
            <w:rStyle w:val="Hipervnculo"/>
            <w:rFonts w:ascii="Times New Roman" w:hAnsi="Times New Roman"/>
            <w:sz w:val="24"/>
          </w:rPr>
          <w:t>h</w:t>
        </w:r>
        <w:r w:rsidRPr="005367AC">
          <w:rPr>
            <w:rStyle w:val="Hipervnculo"/>
            <w:rFonts w:ascii="Times New Roman" w:hAnsi="Times New Roman"/>
            <w:sz w:val="24"/>
          </w:rPr>
          <w:t>ow/325</w:t>
        </w:r>
      </w:hyperlink>
      <w:r>
        <w:rPr>
          <w:rFonts w:ascii="Times New Roman" w:hAnsi="Times New Roman"/>
          <w:sz w:val="24"/>
        </w:rPr>
        <w:t xml:space="preserve"> </w:t>
      </w:r>
    </w:p>
    <w:p w:rsidR="00244C42" w:rsidRPr="00EA1A07" w:rsidRDefault="00244C42" w:rsidP="00EA1A07">
      <w:pPr>
        <w:spacing w:line="360" w:lineRule="auto"/>
        <w:rPr>
          <w:rFonts w:ascii="Times New Roman" w:hAnsi="Times New Roman"/>
          <w:sz w:val="24"/>
        </w:rPr>
      </w:pPr>
    </w:p>
    <w:p w:rsidR="00EA1A07" w:rsidRPr="00EA1A07" w:rsidRDefault="00EA1A07" w:rsidP="00EA1A07">
      <w:pPr>
        <w:spacing w:line="360" w:lineRule="auto"/>
        <w:rPr>
          <w:rFonts w:ascii="Times New Roman" w:hAnsi="Times New Roman"/>
          <w:sz w:val="24"/>
        </w:rPr>
      </w:pPr>
      <w:r w:rsidRPr="00EA1A07">
        <w:rPr>
          <w:rFonts w:ascii="Times New Roman" w:hAnsi="Times New Roman"/>
          <w:sz w:val="24"/>
        </w:rPr>
        <w:t xml:space="preserve">En el Salón de Reinos del Museo del Prado de Madrid penden dos famosas pinturas: </w:t>
      </w:r>
      <w:r w:rsidRPr="00EA1A07">
        <w:rPr>
          <w:rFonts w:ascii="Times New Roman" w:hAnsi="Times New Roman"/>
          <w:i/>
          <w:sz w:val="24"/>
        </w:rPr>
        <w:t xml:space="preserve">La recuperación de Bahía de Todos los Santos </w:t>
      </w:r>
      <w:r w:rsidRPr="00EA1A07">
        <w:rPr>
          <w:rFonts w:ascii="Times New Roman" w:hAnsi="Times New Roman"/>
          <w:sz w:val="24"/>
        </w:rPr>
        <w:t xml:space="preserve">de Juan Bautista </w:t>
      </w:r>
      <w:proofErr w:type="spellStart"/>
      <w:r w:rsidRPr="00EA1A07">
        <w:rPr>
          <w:rFonts w:ascii="Times New Roman" w:hAnsi="Times New Roman"/>
          <w:sz w:val="24"/>
        </w:rPr>
        <w:t>Maíno</w:t>
      </w:r>
      <w:proofErr w:type="spellEnd"/>
      <w:r w:rsidRPr="00EA1A07">
        <w:rPr>
          <w:rFonts w:ascii="Times New Roman" w:hAnsi="Times New Roman"/>
          <w:sz w:val="24"/>
        </w:rPr>
        <w:t xml:space="preserve"> y </w:t>
      </w:r>
      <w:r w:rsidRPr="00EA1A07">
        <w:rPr>
          <w:rFonts w:ascii="Times New Roman" w:hAnsi="Times New Roman"/>
          <w:i/>
          <w:sz w:val="24"/>
        </w:rPr>
        <w:t>La rendición de Breda</w:t>
      </w:r>
      <w:r w:rsidRPr="00EA1A07">
        <w:rPr>
          <w:rFonts w:ascii="Times New Roman" w:hAnsi="Times New Roman"/>
          <w:sz w:val="24"/>
        </w:rPr>
        <w:t xml:space="preserve">, mejor conocida como </w:t>
      </w:r>
      <w:r w:rsidRPr="00EA1A07">
        <w:rPr>
          <w:rFonts w:ascii="Times New Roman" w:hAnsi="Times New Roman"/>
          <w:i/>
          <w:sz w:val="24"/>
        </w:rPr>
        <w:t>Las lanzas</w:t>
      </w:r>
      <w:r w:rsidRPr="00EA1A07">
        <w:rPr>
          <w:rFonts w:ascii="Times New Roman" w:hAnsi="Times New Roman"/>
          <w:sz w:val="24"/>
        </w:rPr>
        <w:t>, de Diego Velázquez, las cuales adornaban los muros palaciegos de la sala homónima del destruido palacio del Buen Retiro.</w:t>
      </w:r>
      <w:r w:rsidRPr="00EA1A07">
        <w:rPr>
          <w:rFonts w:ascii="Times New Roman" w:hAnsi="Times New Roman"/>
          <w:sz w:val="24"/>
          <w:vertAlign w:val="superscript"/>
        </w:rPr>
        <w:footnoteReference w:id="40"/>
      </w:r>
      <w:r w:rsidRPr="00EA1A07">
        <w:rPr>
          <w:rFonts w:ascii="Times New Roman" w:hAnsi="Times New Roman"/>
          <w:sz w:val="24"/>
        </w:rPr>
        <w:t xml:space="preserve"> Estos cuadros se realizaron de manera simultánea entre 1634 y 1635 con el propósito de celebrar las victorias militares del temprano reinado de Felipe IV. Las obras comparten dimensiones (la de Velázquez es ligeramente más pequeña) y destacan por sobre la docena de representaciones de victorias que adornan el salón por expresar el mensaje de clemencia y magnanimidad del vencedor que contrasta con las miserias de la guerra, cuyo trasfondo comunicaba la imagen del rey clemente que ofrecía la paz y la reconciliación a sus enemigos; en síntesis, una alegoría de su poderío y virtud.</w:t>
      </w:r>
      <w:r w:rsidRPr="00EA1A07">
        <w:rPr>
          <w:rFonts w:ascii="Times New Roman" w:hAnsi="Times New Roman"/>
          <w:sz w:val="24"/>
          <w:vertAlign w:val="superscript"/>
        </w:rPr>
        <w:footnoteReference w:id="41"/>
      </w:r>
      <w:r w:rsidRPr="00EA1A07">
        <w:rPr>
          <w:rFonts w:ascii="Times New Roman" w:hAnsi="Times New Roman"/>
          <w:sz w:val="24"/>
        </w:rPr>
        <w:t xml:space="preserve"> Para acompañar esta épica de la monarquía, conservar la memoria de la grandeza del imperio español en tiempos de la Unión de Armas y sobre todo, exaltar la grandeza de 1625 como </w:t>
      </w:r>
      <w:proofErr w:type="spellStart"/>
      <w:r w:rsidRPr="00EA1A07">
        <w:rPr>
          <w:rFonts w:ascii="Times New Roman" w:hAnsi="Times New Roman"/>
          <w:i/>
          <w:sz w:val="24"/>
        </w:rPr>
        <w:t>Annus</w:t>
      </w:r>
      <w:proofErr w:type="spellEnd"/>
      <w:r w:rsidRPr="00EA1A07">
        <w:rPr>
          <w:rFonts w:ascii="Times New Roman" w:hAnsi="Times New Roman"/>
          <w:i/>
          <w:sz w:val="24"/>
        </w:rPr>
        <w:t xml:space="preserve"> </w:t>
      </w:r>
      <w:proofErr w:type="spellStart"/>
      <w:r w:rsidRPr="00EA1A07">
        <w:rPr>
          <w:rFonts w:ascii="Times New Roman" w:hAnsi="Times New Roman"/>
          <w:i/>
          <w:sz w:val="24"/>
        </w:rPr>
        <w:t>Mirabilis</w:t>
      </w:r>
      <w:proofErr w:type="spellEnd"/>
      <w:r w:rsidRPr="00EA1A07">
        <w:rPr>
          <w:rFonts w:ascii="Times New Roman" w:hAnsi="Times New Roman"/>
          <w:sz w:val="24"/>
        </w:rPr>
        <w:t xml:space="preserve">, Lope de Vega había creado ese mismo año la comedia </w:t>
      </w:r>
      <w:r w:rsidRPr="00EA1A07">
        <w:rPr>
          <w:rFonts w:ascii="Times New Roman" w:hAnsi="Times New Roman"/>
          <w:i/>
          <w:sz w:val="24"/>
        </w:rPr>
        <w:t>El Brasil restituido</w:t>
      </w:r>
      <w:r w:rsidRPr="00EA1A07">
        <w:rPr>
          <w:rFonts w:ascii="Times New Roman" w:hAnsi="Times New Roman"/>
          <w:sz w:val="24"/>
        </w:rPr>
        <w:t xml:space="preserve"> como alabanza de la restauración de Bahía; y por la misma fecha, Calderón de la Barca, posiblemente por encargo del Conde Duque de Olivares, puso en escena </w:t>
      </w:r>
      <w:r w:rsidRPr="00EA1A07">
        <w:rPr>
          <w:rFonts w:ascii="Times New Roman" w:hAnsi="Times New Roman"/>
          <w:i/>
          <w:sz w:val="24"/>
        </w:rPr>
        <w:t>El sitio de Breda</w:t>
      </w:r>
      <w:r w:rsidRPr="00EA1A07">
        <w:rPr>
          <w:rFonts w:ascii="Times New Roman" w:hAnsi="Times New Roman"/>
          <w:sz w:val="24"/>
        </w:rPr>
        <w:t>, dramaturgia centrada en la rendición de los soldados holandeses.</w:t>
      </w:r>
      <w:r w:rsidRPr="00EA1A07">
        <w:rPr>
          <w:rFonts w:ascii="Times New Roman" w:hAnsi="Times New Roman"/>
          <w:sz w:val="24"/>
          <w:vertAlign w:val="superscript"/>
        </w:rPr>
        <w:footnoteReference w:id="42"/>
      </w:r>
      <w:r w:rsidRPr="00EA1A07">
        <w:rPr>
          <w:rFonts w:ascii="Times New Roman" w:hAnsi="Times New Roman"/>
          <w:sz w:val="24"/>
        </w:rPr>
        <w:t xml:space="preserve"> La corte de Madrid tenía entonces un conjunto de obras que no sólo </w:t>
      </w:r>
      <w:r w:rsidRPr="00EA1A07">
        <w:rPr>
          <w:rFonts w:ascii="Times New Roman" w:hAnsi="Times New Roman"/>
          <w:sz w:val="24"/>
        </w:rPr>
        <w:lastRenderedPageBreak/>
        <w:t>exaltaban la victoria, además resaltaban la bondad de la clemencia del católico monarca español, a cuya imagen los comandantes Fadrique y Spínola eligieron la benevolencia con el enemigo en lugar de exhibir el triunfo con su humillación.</w:t>
      </w:r>
    </w:p>
    <w:p w:rsidR="00EA1A07" w:rsidRDefault="00EA1A07" w:rsidP="00EA1A07">
      <w:pPr>
        <w:spacing w:line="360" w:lineRule="auto"/>
        <w:rPr>
          <w:rFonts w:ascii="Times New Roman" w:hAnsi="Times New Roman"/>
          <w:sz w:val="24"/>
        </w:rPr>
      </w:pPr>
      <w:r w:rsidRPr="00EA1A07">
        <w:rPr>
          <w:rFonts w:ascii="Times New Roman" w:hAnsi="Times New Roman"/>
          <w:sz w:val="24"/>
        </w:rPr>
        <w:t xml:space="preserve">“Derecho internacional” y de gentes: fundamental – </w:t>
      </w:r>
      <w:proofErr w:type="spellStart"/>
      <w:r w:rsidRPr="00EA1A07">
        <w:rPr>
          <w:rFonts w:ascii="Times New Roman" w:hAnsi="Times New Roman"/>
          <w:sz w:val="24"/>
        </w:rPr>
        <w:t>Grocio</w:t>
      </w:r>
      <w:proofErr w:type="spellEnd"/>
      <w:r w:rsidRPr="00EA1A07">
        <w:rPr>
          <w:rFonts w:ascii="Times New Roman" w:hAnsi="Times New Roman"/>
          <w:sz w:val="24"/>
        </w:rPr>
        <w:t>.</w:t>
      </w:r>
    </w:p>
    <w:p w:rsidR="00902918" w:rsidRPr="00EA1A07" w:rsidRDefault="00902918" w:rsidP="00902918">
      <w:r>
        <w:t xml:space="preserve">También </w:t>
      </w:r>
      <w:proofErr w:type="spellStart"/>
      <w:r>
        <w:t>Levaggi</w:t>
      </w:r>
      <w:proofErr w:type="spellEnd"/>
      <w:r>
        <w:rPr>
          <w:rStyle w:val="Refdenotaalpie"/>
        </w:rPr>
        <w:footnoteReference w:id="43"/>
      </w:r>
    </w:p>
    <w:p w:rsidR="00EA1A07" w:rsidRPr="00EA1A07" w:rsidRDefault="00EA1A07" w:rsidP="00EA1A07">
      <w:pPr>
        <w:spacing w:line="360" w:lineRule="auto"/>
        <w:rPr>
          <w:rFonts w:ascii="Times New Roman" w:hAnsi="Times New Roman"/>
          <w:sz w:val="24"/>
        </w:rPr>
      </w:pPr>
      <w:r w:rsidRPr="00EA1A07">
        <w:rPr>
          <w:rFonts w:ascii="Times New Roman" w:hAnsi="Times New Roman"/>
          <w:sz w:val="24"/>
          <w:highlight w:val="yellow"/>
        </w:rPr>
        <w:t>Capítulo XIII del manual de historia del derecho</w:t>
      </w:r>
    </w:p>
    <w:p w:rsidR="00EA1A07" w:rsidRPr="00EA1A07" w:rsidRDefault="00EA1A07" w:rsidP="00EA1A07">
      <w:pPr>
        <w:spacing w:line="360" w:lineRule="auto"/>
        <w:rPr>
          <w:rFonts w:ascii="Times New Roman" w:hAnsi="Times New Roman"/>
          <w:sz w:val="24"/>
        </w:rPr>
      </w:pPr>
      <w:r w:rsidRPr="00EA1A07">
        <w:rPr>
          <w:rFonts w:ascii="Times New Roman" w:hAnsi="Times New Roman"/>
          <w:sz w:val="24"/>
        </w:rPr>
        <w:t xml:space="preserve">El ámbito indiano no es sólo un espacio de dominio hispano del territorio, además tenía que enfrentar la amenaza exterior que desde la guerra de sucesión y los tratados de Utrecht y </w:t>
      </w:r>
      <w:proofErr w:type="spellStart"/>
      <w:r w:rsidRPr="00EA1A07">
        <w:rPr>
          <w:rFonts w:ascii="Times New Roman" w:hAnsi="Times New Roman"/>
          <w:sz w:val="24"/>
        </w:rPr>
        <w:t>Rastatt</w:t>
      </w:r>
      <w:proofErr w:type="spellEnd"/>
      <w:r w:rsidRPr="00EA1A07">
        <w:rPr>
          <w:rFonts w:ascii="Times New Roman" w:hAnsi="Times New Roman"/>
          <w:sz w:val="24"/>
        </w:rPr>
        <w:t xml:space="preserve"> representaron la perdida de la potestad legítima de las coronas españolas y portuguesas del continente. El Caribe en particular se convirtió en un espacio de permanente amenaza </w:t>
      </w:r>
      <w:proofErr w:type="spellStart"/>
      <w:r w:rsidRPr="00EA1A07">
        <w:rPr>
          <w:rFonts w:ascii="Times New Roman" w:hAnsi="Times New Roman"/>
          <w:sz w:val="24"/>
        </w:rPr>
        <w:t>intercolonial</w:t>
      </w:r>
      <w:proofErr w:type="spellEnd"/>
      <w:r w:rsidRPr="00EA1A07">
        <w:rPr>
          <w:rFonts w:ascii="Times New Roman" w:hAnsi="Times New Roman"/>
          <w:sz w:val="24"/>
        </w:rPr>
        <w:t xml:space="preserve">, de la Corona española para controlar las costas con sus guardacostas </w:t>
      </w:r>
      <w:proofErr w:type="gramStart"/>
      <w:r w:rsidRPr="00EA1A07">
        <w:rPr>
          <w:rFonts w:ascii="Times New Roman" w:hAnsi="Times New Roman"/>
          <w:sz w:val="24"/>
        </w:rPr>
        <w:t>( :</w:t>
      </w:r>
      <w:proofErr w:type="gramEnd"/>
      <w:r w:rsidRPr="00EA1A07">
        <w:rPr>
          <w:rFonts w:ascii="Times New Roman" w:hAnsi="Times New Roman"/>
          <w:sz w:val="24"/>
        </w:rPr>
        <w:t>\ ) y de los colonos ingleses, holandeses y franceses que buscaban ampliar sus redes de comercio, proteger las plantaciones isleñas y  establecer asentamientos en tierra firme. Aunque no estuviesen en estado de guerra, la permanente amenaza hacía que la defensa del territorio, la necesidad de expulsar a los colonos de territorios que se suponían de dominio hispano, implicaba que rigiera allí el derecho internacional, la captura y en algunos casos, la clemencia.</w:t>
      </w:r>
    </w:p>
    <w:p w:rsidR="00EA1A07" w:rsidRPr="00EA1A07" w:rsidRDefault="00EA1A07" w:rsidP="00EA1A07">
      <w:pPr>
        <w:spacing w:line="360" w:lineRule="auto"/>
        <w:rPr>
          <w:rFonts w:ascii="Times New Roman" w:hAnsi="Times New Roman"/>
          <w:sz w:val="24"/>
        </w:rPr>
      </w:pPr>
      <w:r w:rsidRPr="00EA1A07">
        <w:rPr>
          <w:rFonts w:ascii="Times New Roman" w:hAnsi="Times New Roman"/>
          <w:sz w:val="24"/>
        </w:rPr>
        <w:t xml:space="preserve">&gt;&gt; </w:t>
      </w:r>
      <w:proofErr w:type="gramStart"/>
      <w:r w:rsidRPr="00EA1A07">
        <w:rPr>
          <w:rFonts w:ascii="Times New Roman" w:hAnsi="Times New Roman"/>
          <w:sz w:val="24"/>
        </w:rPr>
        <w:t>extranjeros</w:t>
      </w:r>
      <w:proofErr w:type="gramEnd"/>
      <w:r w:rsidRPr="00EA1A07">
        <w:rPr>
          <w:rFonts w:ascii="Times New Roman" w:hAnsi="Times New Roman"/>
          <w:sz w:val="24"/>
        </w:rPr>
        <w:t xml:space="preserve"> que fueron perdonados por las autoridades del virreinato neogranadino &lt;&lt; </w:t>
      </w:r>
    </w:p>
    <w:p w:rsidR="00EA1A07" w:rsidRPr="00EA1A07" w:rsidRDefault="00EA1A07" w:rsidP="00EA1A07">
      <w:pPr>
        <w:spacing w:line="360" w:lineRule="auto"/>
        <w:rPr>
          <w:rFonts w:ascii="Times New Roman" w:hAnsi="Times New Roman"/>
          <w:sz w:val="24"/>
        </w:rPr>
      </w:pPr>
    </w:p>
    <w:p w:rsidR="00EA1A07" w:rsidRPr="00EA1A07" w:rsidRDefault="00EA1A07" w:rsidP="00EA1A07">
      <w:pPr>
        <w:keepNext/>
        <w:keepLines/>
        <w:spacing w:before="40" w:line="360" w:lineRule="auto"/>
        <w:outlineLvl w:val="1"/>
        <w:rPr>
          <w:rFonts w:ascii="Times New Roman" w:eastAsiaTheme="majorEastAsia" w:hAnsi="Times New Roman" w:cstheme="majorBidi"/>
          <w:b/>
          <w:sz w:val="24"/>
          <w:szCs w:val="26"/>
        </w:rPr>
      </w:pPr>
      <w:r w:rsidRPr="00EA1A07">
        <w:rPr>
          <w:rFonts w:ascii="Times New Roman" w:eastAsiaTheme="majorEastAsia" w:hAnsi="Times New Roman" w:cstheme="majorBidi"/>
          <w:b/>
          <w:sz w:val="24"/>
          <w:szCs w:val="26"/>
        </w:rPr>
        <w:t>2.3. Particularidades desde la normatividad (doctrina y legislación) puramente indiana</w:t>
      </w:r>
    </w:p>
    <w:p w:rsidR="00EA1A07" w:rsidRPr="00EA1A07" w:rsidRDefault="00EA1A07" w:rsidP="00EA1A07">
      <w:pPr>
        <w:spacing w:line="360" w:lineRule="auto"/>
        <w:rPr>
          <w:rFonts w:ascii="Times New Roman" w:hAnsi="Times New Roman"/>
          <w:sz w:val="24"/>
        </w:rPr>
      </w:pPr>
    </w:p>
    <w:p w:rsidR="00EA1A07" w:rsidRPr="00EA1A07" w:rsidRDefault="00EA1A07" w:rsidP="00EA1A07">
      <w:pPr>
        <w:spacing w:line="360" w:lineRule="auto"/>
        <w:rPr>
          <w:rFonts w:ascii="Times New Roman" w:hAnsi="Times New Roman"/>
          <w:sz w:val="24"/>
        </w:rPr>
      </w:pPr>
      <w:r w:rsidRPr="00EA1A07">
        <w:rPr>
          <w:rFonts w:ascii="Times New Roman" w:hAnsi="Times New Roman"/>
          <w:sz w:val="24"/>
        </w:rPr>
        <w:t xml:space="preserve">Si bien la separación entre doctrina castellana e indiana es en cierta medida imperfecta, toda vez que hay una transmisión de doble vía que hace borrosas las fronteras entre una y otra; desde el punto de vista americano, implica comprender cómo se abordó doctrinalmente el uso de la clemencia para la justicia y gobierno de las indias, partiendo del sentido que la corte real representaba el paradigma que se pretendía aplicar en los territorios de ultramar. </w:t>
      </w:r>
      <w:r w:rsidRPr="00EA1A07">
        <w:rPr>
          <w:rFonts w:ascii="Times New Roman" w:hAnsi="Times New Roman"/>
          <w:sz w:val="24"/>
        </w:rPr>
        <w:lastRenderedPageBreak/>
        <w:t xml:space="preserve">En la justicia y gobierno de la república de españoles, es claro que la dinámica de virreinatos, audiencias, gobernaciones y alcaldías, aunque replicaba el orden castellano, configuró con el tiempo un ámbito particular de jurisprudencia, reflejado en buena medida en la </w:t>
      </w:r>
      <w:r w:rsidRPr="00EA1A07">
        <w:rPr>
          <w:rFonts w:ascii="Times New Roman" w:hAnsi="Times New Roman"/>
          <w:i/>
          <w:sz w:val="24"/>
        </w:rPr>
        <w:t>Recopilación de leyes de los reinos de las indias</w:t>
      </w:r>
      <w:r w:rsidRPr="00EA1A07">
        <w:rPr>
          <w:rFonts w:ascii="Times New Roman" w:hAnsi="Times New Roman"/>
          <w:sz w:val="24"/>
        </w:rPr>
        <w:t xml:space="preserve"> de 1680 y posteriormente en la reforma de intendentes de la segunda mitad del siglo XVIII. Del mismo modo que se habla de un derecho puramente indiano (</w:t>
      </w:r>
      <w:proofErr w:type="spellStart"/>
      <w:r w:rsidRPr="00EA1A07">
        <w:rPr>
          <w:rFonts w:ascii="Times New Roman" w:hAnsi="Times New Roman"/>
          <w:sz w:val="24"/>
        </w:rPr>
        <w:t>Ots</w:t>
      </w:r>
      <w:proofErr w:type="spellEnd"/>
      <w:r w:rsidRPr="00EA1A07">
        <w:rPr>
          <w:rFonts w:ascii="Times New Roman" w:hAnsi="Times New Roman"/>
          <w:sz w:val="24"/>
        </w:rPr>
        <w:t xml:space="preserve"> </w:t>
      </w:r>
      <w:proofErr w:type="spellStart"/>
      <w:r w:rsidRPr="00EA1A07">
        <w:rPr>
          <w:rFonts w:ascii="Times New Roman" w:hAnsi="Times New Roman"/>
          <w:sz w:val="24"/>
        </w:rPr>
        <w:t>Capdequí</w:t>
      </w:r>
      <w:proofErr w:type="spellEnd"/>
      <w:r w:rsidRPr="00EA1A07">
        <w:rPr>
          <w:rFonts w:ascii="Times New Roman" w:hAnsi="Times New Roman"/>
          <w:sz w:val="24"/>
        </w:rPr>
        <w:t>), también es posible comprender una doctrina meramente indiana, no necesariamente producida en el continente, pero nutrida ciertamente por las informaciones que sobre este contexto llegaban a la península.</w:t>
      </w:r>
    </w:p>
    <w:p w:rsidR="00EA1A07" w:rsidRPr="00EA1A07" w:rsidRDefault="00EA1A07" w:rsidP="00EA1A07">
      <w:pPr>
        <w:spacing w:line="360" w:lineRule="auto"/>
        <w:rPr>
          <w:rFonts w:ascii="Times New Roman" w:hAnsi="Times New Roman"/>
          <w:sz w:val="24"/>
        </w:rPr>
      </w:pPr>
    </w:p>
    <w:p w:rsidR="00EA1A07" w:rsidRPr="00EA1A07" w:rsidRDefault="00EA1A07" w:rsidP="00EA1A07">
      <w:pPr>
        <w:spacing w:line="360" w:lineRule="auto"/>
        <w:rPr>
          <w:rFonts w:ascii="Times New Roman" w:hAnsi="Times New Roman"/>
          <w:sz w:val="24"/>
        </w:rPr>
      </w:pPr>
      <w:r w:rsidRPr="00EA1A07">
        <w:rPr>
          <w:rFonts w:ascii="Times New Roman" w:hAnsi="Times New Roman"/>
          <w:sz w:val="24"/>
        </w:rPr>
        <w:t>Zorita:</w:t>
      </w:r>
    </w:p>
    <w:p w:rsidR="00EA1A07" w:rsidRPr="00EA1A07" w:rsidRDefault="00EA1A07" w:rsidP="00EA1A07">
      <w:pPr>
        <w:spacing w:line="240" w:lineRule="auto"/>
        <w:ind w:left="709" w:firstLine="0"/>
        <w:rPr>
          <w:rFonts w:ascii="Times New Roman" w:hAnsi="Times New Roman"/>
          <w:iCs/>
          <w:sz w:val="24"/>
        </w:rPr>
      </w:pPr>
      <w:r w:rsidRPr="00EA1A07">
        <w:rPr>
          <w:rFonts w:ascii="Times New Roman" w:hAnsi="Times New Roman"/>
          <w:iCs/>
          <w:sz w:val="24"/>
        </w:rPr>
        <w:t xml:space="preserve">Cualquiera que entraba donde se criaban recogidas y encerradas las doncellas, tenía pena de muerte, y lo mismo si alguna de ellas lo metía: un hijo de un señor muy principal saltó las paredes del aposento donde se criaban las hijas del señor de Texcoco, y habló con una de ellas un poco y en pie, y no hubo más; y como el señor lo supo, fue avisado [p. 57] el mancebo y </w:t>
      </w:r>
      <w:proofErr w:type="spellStart"/>
      <w:r w:rsidRPr="00EA1A07">
        <w:rPr>
          <w:rFonts w:ascii="Times New Roman" w:hAnsi="Times New Roman"/>
          <w:iCs/>
          <w:sz w:val="24"/>
        </w:rPr>
        <w:t>púsose</w:t>
      </w:r>
      <w:proofErr w:type="spellEnd"/>
      <w:r w:rsidRPr="00EA1A07">
        <w:rPr>
          <w:rFonts w:ascii="Times New Roman" w:hAnsi="Times New Roman"/>
          <w:iCs/>
          <w:sz w:val="24"/>
        </w:rPr>
        <w:t xml:space="preserve"> en cobro, de manera que no pudo ser habido; y a la doncella, hija suya muy querida e hija de señor principal, la mandó luego ahogar; y aunque mucho le rogaron no se pudo acabar con él que la perdonase, porque decía que no se había de quebrantar la ley con nadie, y que daría mal ejemplo a los otros señores y quedaría muy deshonrado, y lo tendrían por injusto si con sus vasallos se </w:t>
      </w:r>
      <w:proofErr w:type="spellStart"/>
      <w:r w:rsidRPr="00EA1A07">
        <w:rPr>
          <w:rFonts w:ascii="Times New Roman" w:hAnsi="Times New Roman"/>
          <w:iCs/>
          <w:sz w:val="24"/>
        </w:rPr>
        <w:t>ejcutase</w:t>
      </w:r>
      <w:proofErr w:type="spellEnd"/>
      <w:r w:rsidRPr="00EA1A07">
        <w:rPr>
          <w:rFonts w:ascii="Times New Roman" w:hAnsi="Times New Roman"/>
          <w:iCs/>
          <w:sz w:val="24"/>
        </w:rPr>
        <w:t xml:space="preserve"> la ley y no con sus hijos, y que convenía que un hecho tan malo no quedase sin castigo. Ese mismo señor, llamado </w:t>
      </w:r>
      <w:proofErr w:type="spellStart"/>
      <w:r w:rsidRPr="00EA1A07">
        <w:rPr>
          <w:rFonts w:ascii="Times New Roman" w:hAnsi="Times New Roman"/>
          <w:iCs/>
          <w:sz w:val="24"/>
        </w:rPr>
        <w:t>Nezahualpitzintli</w:t>
      </w:r>
      <w:proofErr w:type="spellEnd"/>
      <w:r w:rsidRPr="00EA1A07">
        <w:rPr>
          <w:rFonts w:ascii="Times New Roman" w:hAnsi="Times New Roman"/>
          <w:iCs/>
          <w:sz w:val="24"/>
        </w:rPr>
        <w:t>, mandó matar por justicia una hija suya casada, porque cometió adulterio, y al adúltero con ella, y se ejecutó la pena de ley, aunque el marido la perdonó, porque decía que se diría que por su respeto la perdonaba y no de su voluntad. A estos castigos mandaban juntar las doncellas y mujeres de palacio y les mandaba juntar las doncellas y mujeres de palacio y les mandaba decir por qué se hacían, para que se guardasen ellas de cometer semejantes delitos; y no estaban presentes las niñas que estaban en su inocencia, por no darles ocasión de pensar en aquel vicio. A los que eran causa de algún escándalo, en especial en los mercados y lugares públicos, mandaban que muriesen por ello. Las alcahuetas tenían pena de muerte, y se ejecutaba con gran rigor.</w:t>
      </w:r>
      <w:r w:rsidRPr="00EA1A07">
        <w:rPr>
          <w:rFonts w:ascii="Times New Roman" w:hAnsi="Times New Roman"/>
          <w:iCs/>
          <w:sz w:val="24"/>
          <w:vertAlign w:val="superscript"/>
        </w:rPr>
        <w:footnoteReference w:id="44"/>
      </w:r>
    </w:p>
    <w:p w:rsidR="00EA1A07" w:rsidRPr="00EA1A07" w:rsidRDefault="00EA1A07" w:rsidP="00EA1A07">
      <w:pPr>
        <w:spacing w:line="360" w:lineRule="auto"/>
        <w:rPr>
          <w:rFonts w:ascii="Times New Roman" w:hAnsi="Times New Roman"/>
          <w:sz w:val="24"/>
        </w:rPr>
      </w:pPr>
    </w:p>
    <w:p w:rsidR="00EA1A07" w:rsidRPr="00EA1A07" w:rsidRDefault="00EA1A07" w:rsidP="00EA1A07">
      <w:pPr>
        <w:spacing w:line="360" w:lineRule="auto"/>
        <w:rPr>
          <w:rFonts w:ascii="Times New Roman" w:hAnsi="Times New Roman"/>
          <w:sz w:val="24"/>
        </w:rPr>
      </w:pPr>
      <w:r w:rsidRPr="00EA1A07">
        <w:rPr>
          <w:rFonts w:ascii="Times New Roman" w:hAnsi="Times New Roman"/>
          <w:sz w:val="24"/>
        </w:rPr>
        <w:t>Según Zorita, los indios se entregaban al vicio en buena medida porque los religiosos eran blandos con ellos, negando con ello el rigor con el cual se les trataba por costumbre por sus autoridades indígenas:</w:t>
      </w:r>
    </w:p>
    <w:p w:rsidR="00EA1A07" w:rsidRPr="00EA1A07" w:rsidRDefault="00EA1A07" w:rsidP="00EA1A07">
      <w:pPr>
        <w:spacing w:line="240" w:lineRule="auto"/>
        <w:ind w:left="709" w:firstLine="0"/>
        <w:rPr>
          <w:rFonts w:ascii="Times New Roman" w:hAnsi="Times New Roman"/>
          <w:iCs/>
          <w:sz w:val="24"/>
        </w:rPr>
      </w:pPr>
      <w:r w:rsidRPr="00EA1A07">
        <w:rPr>
          <w:rFonts w:ascii="Times New Roman" w:hAnsi="Times New Roman"/>
          <w:iCs/>
          <w:sz w:val="24"/>
        </w:rPr>
        <w:t xml:space="preserve">Se han puesto [indicado] estas penas en particular, porque ha habido algunos religiosos doctos que han tenido escrúpulo sobre el castigo que ahora se hace a los que se emborrachan y consultaron sobre ello a otros religiosos de España, y </w:t>
      </w:r>
      <w:r w:rsidRPr="00EA1A07">
        <w:rPr>
          <w:rFonts w:ascii="Times New Roman" w:hAnsi="Times New Roman"/>
          <w:iCs/>
          <w:sz w:val="24"/>
        </w:rPr>
        <w:lastRenderedPageBreak/>
        <w:t>respondieron que si los españoles no eran castigados por embeodarse, que no había razón por que se disimulase con ellos y se castigasen los indios, en especial si en su gentilidad no tenían pena por ello; y por lo dicho consta con cuánto rigor se castigaba.</w:t>
      </w:r>
    </w:p>
    <w:p w:rsidR="00EA1A07" w:rsidRPr="00EA1A07" w:rsidRDefault="00EA1A07" w:rsidP="00EA1A07">
      <w:pPr>
        <w:spacing w:line="240" w:lineRule="auto"/>
        <w:ind w:left="709" w:firstLine="0"/>
        <w:rPr>
          <w:rFonts w:ascii="Times New Roman" w:hAnsi="Times New Roman"/>
          <w:iCs/>
          <w:sz w:val="24"/>
        </w:rPr>
      </w:pPr>
      <w:r w:rsidRPr="00EA1A07">
        <w:rPr>
          <w:rFonts w:ascii="Times New Roman" w:hAnsi="Times New Roman"/>
          <w:iCs/>
          <w:sz w:val="24"/>
        </w:rPr>
        <w:t>En esto están muy engañados los españoles y aun algunos religiosos, si no son los antiguos que han procurado averiguar de raíz las costumbres de aquellas gentes, en decir que en tiempo de su infidelidad había gran desorden en el beber y en embriagarse, y tomaron ocasión para decirlo y creer, porque luego como se ganó la tierra se daban al vino desenfrenadamente [p. 59], y tomaron esta licencia cuando comenzó a cesar la autoridad y poder de sus jueces naturales para castigarlos con la libertad que solían; y dicen los indios viejos que ésta fue la causa por que en esto y en los otros vicios y delitos tomó cada uno licencia para hacer lo que quería, porque no se dan las justicias de los españoles tan buena maña como sus jueces en averiguarlos y castigarlos, y poco a poco se fue disminuyendo la autoridad y modo de justicia, hasta que del todo se vino a consumir y acabar, y con ellos se acabó el buen orden que en todo tenían, y su policía.</w:t>
      </w:r>
      <w:r w:rsidRPr="00EA1A07">
        <w:rPr>
          <w:rFonts w:ascii="Times New Roman" w:hAnsi="Times New Roman"/>
          <w:iCs/>
          <w:sz w:val="24"/>
          <w:vertAlign w:val="superscript"/>
        </w:rPr>
        <w:footnoteReference w:id="45"/>
      </w:r>
      <w:r w:rsidRPr="00EA1A07">
        <w:rPr>
          <w:rFonts w:ascii="Times New Roman" w:hAnsi="Times New Roman"/>
          <w:iCs/>
          <w:sz w:val="24"/>
        </w:rPr>
        <w:t xml:space="preserve"> </w:t>
      </w:r>
    </w:p>
    <w:p w:rsidR="00EA1A07" w:rsidRPr="00EA1A07" w:rsidRDefault="00EA1A07" w:rsidP="00EA1A07">
      <w:pPr>
        <w:spacing w:line="360" w:lineRule="auto"/>
        <w:rPr>
          <w:rFonts w:ascii="Times New Roman" w:hAnsi="Times New Roman"/>
          <w:sz w:val="24"/>
        </w:rPr>
      </w:pPr>
    </w:p>
    <w:p w:rsidR="00EA1A07" w:rsidRPr="00EA1A07" w:rsidRDefault="00EA1A07" w:rsidP="00EA1A07">
      <w:pPr>
        <w:spacing w:line="360" w:lineRule="auto"/>
        <w:rPr>
          <w:rFonts w:ascii="Times New Roman" w:hAnsi="Times New Roman"/>
          <w:sz w:val="24"/>
        </w:rPr>
      </w:pPr>
      <w:r w:rsidRPr="00EA1A07">
        <w:rPr>
          <w:rFonts w:ascii="Times New Roman" w:hAnsi="Times New Roman"/>
          <w:sz w:val="24"/>
        </w:rPr>
        <w:t>También:</w:t>
      </w:r>
    </w:p>
    <w:p w:rsidR="00EA1A07" w:rsidRPr="00EA1A07" w:rsidRDefault="00EA1A07" w:rsidP="00EA1A07">
      <w:pPr>
        <w:spacing w:line="240" w:lineRule="auto"/>
        <w:ind w:left="709" w:firstLine="0"/>
        <w:rPr>
          <w:rFonts w:ascii="Times New Roman" w:hAnsi="Times New Roman"/>
          <w:iCs/>
          <w:sz w:val="24"/>
        </w:rPr>
      </w:pPr>
      <w:proofErr w:type="spellStart"/>
      <w:r w:rsidRPr="00EA1A07">
        <w:rPr>
          <w:rFonts w:ascii="Times New Roman" w:hAnsi="Times New Roman"/>
          <w:iCs/>
          <w:sz w:val="24"/>
        </w:rPr>
        <w:t>Amonestábanles</w:t>
      </w:r>
      <w:proofErr w:type="spellEnd"/>
      <w:r w:rsidRPr="00EA1A07">
        <w:rPr>
          <w:rFonts w:ascii="Times New Roman" w:hAnsi="Times New Roman"/>
          <w:iCs/>
          <w:sz w:val="24"/>
        </w:rPr>
        <w:t xml:space="preserve"> mucho que no mintiesen, y si eran viciosos en ello </w:t>
      </w:r>
      <w:proofErr w:type="spellStart"/>
      <w:r w:rsidRPr="00EA1A07">
        <w:rPr>
          <w:rFonts w:ascii="Times New Roman" w:hAnsi="Times New Roman"/>
          <w:iCs/>
          <w:sz w:val="24"/>
        </w:rPr>
        <w:t>hendíales</w:t>
      </w:r>
      <w:proofErr w:type="spellEnd"/>
      <w:r w:rsidRPr="00EA1A07">
        <w:rPr>
          <w:rFonts w:ascii="Times New Roman" w:hAnsi="Times New Roman"/>
          <w:iCs/>
          <w:sz w:val="24"/>
        </w:rPr>
        <w:t xml:space="preserve"> un poco el labio, y así usaban mucho decir y tratar verdad. Y preguntados algunos viejos por qué ahora mientes tanto, dicen que porque no hay castigo.</w:t>
      </w:r>
      <w:r w:rsidRPr="00EA1A07">
        <w:rPr>
          <w:rFonts w:ascii="Times New Roman" w:hAnsi="Times New Roman"/>
          <w:iCs/>
          <w:sz w:val="24"/>
          <w:vertAlign w:val="superscript"/>
        </w:rPr>
        <w:footnoteReference w:id="46"/>
      </w:r>
    </w:p>
    <w:p w:rsidR="00EA1A07" w:rsidRPr="00EA1A07" w:rsidRDefault="00EA1A07" w:rsidP="00EA1A07">
      <w:pPr>
        <w:spacing w:line="360" w:lineRule="auto"/>
        <w:rPr>
          <w:rFonts w:ascii="Times New Roman" w:hAnsi="Times New Roman"/>
          <w:sz w:val="24"/>
        </w:rPr>
      </w:pPr>
      <w:r w:rsidRPr="00EA1A07">
        <w:rPr>
          <w:rFonts w:ascii="Times New Roman" w:hAnsi="Times New Roman"/>
          <w:sz w:val="24"/>
        </w:rPr>
        <w:t>Palafox…</w:t>
      </w:r>
    </w:p>
    <w:p w:rsidR="00EA1A07" w:rsidRPr="00EA1A07" w:rsidRDefault="00EA1A07" w:rsidP="00EA1A07">
      <w:pPr>
        <w:spacing w:line="360" w:lineRule="auto"/>
        <w:rPr>
          <w:rFonts w:ascii="Times New Roman" w:hAnsi="Times New Roman"/>
          <w:sz w:val="24"/>
        </w:rPr>
      </w:pPr>
      <w:r w:rsidRPr="00EA1A07">
        <w:rPr>
          <w:rFonts w:ascii="Times New Roman" w:hAnsi="Times New Roman"/>
          <w:sz w:val="24"/>
        </w:rPr>
        <w:t xml:space="preserve">Echarnos una revisadita de Cañizares </w:t>
      </w:r>
      <w:proofErr w:type="spellStart"/>
      <w:r w:rsidRPr="00EA1A07">
        <w:rPr>
          <w:rFonts w:ascii="Times New Roman" w:hAnsi="Times New Roman"/>
          <w:sz w:val="24"/>
        </w:rPr>
        <w:t>Esguerra</w:t>
      </w:r>
      <w:proofErr w:type="spellEnd"/>
      <w:r w:rsidRPr="00EA1A07">
        <w:rPr>
          <w:rFonts w:ascii="Times New Roman" w:hAnsi="Times New Roman"/>
          <w:sz w:val="24"/>
        </w:rPr>
        <w:t>…</w:t>
      </w:r>
    </w:p>
    <w:p w:rsidR="00EA1A07" w:rsidRPr="00EA1A07" w:rsidRDefault="00EA1A07" w:rsidP="00EA1A07">
      <w:pPr>
        <w:spacing w:line="360" w:lineRule="auto"/>
        <w:rPr>
          <w:rFonts w:ascii="Times New Roman" w:hAnsi="Times New Roman"/>
          <w:sz w:val="24"/>
        </w:rPr>
      </w:pPr>
    </w:p>
    <w:p w:rsidR="00EA1A07" w:rsidRPr="00EA1A07" w:rsidRDefault="00EA1A07" w:rsidP="00EA1A07">
      <w:pPr>
        <w:spacing w:line="360" w:lineRule="auto"/>
        <w:rPr>
          <w:rFonts w:ascii="Times New Roman" w:hAnsi="Times New Roman"/>
          <w:sz w:val="24"/>
        </w:rPr>
      </w:pPr>
    </w:p>
    <w:p w:rsidR="00EA1A07" w:rsidRPr="00EA1A07" w:rsidRDefault="00EA1A07" w:rsidP="00EA1A07">
      <w:pPr>
        <w:spacing w:line="360" w:lineRule="auto"/>
        <w:rPr>
          <w:rFonts w:ascii="Times New Roman" w:hAnsi="Times New Roman"/>
          <w:sz w:val="24"/>
        </w:rPr>
      </w:pPr>
    </w:p>
    <w:p w:rsidR="00EA1A07" w:rsidRPr="00EA1A07" w:rsidRDefault="00EA1A07" w:rsidP="00EA1A07">
      <w:pPr>
        <w:spacing w:line="360" w:lineRule="auto"/>
        <w:rPr>
          <w:rFonts w:ascii="Times New Roman" w:hAnsi="Times New Roman"/>
          <w:sz w:val="24"/>
        </w:rPr>
      </w:pPr>
    </w:p>
    <w:p w:rsidR="00EA1A07" w:rsidRPr="00EA1A07" w:rsidRDefault="00EA1A07" w:rsidP="00EA1A07">
      <w:pPr>
        <w:spacing w:line="360" w:lineRule="auto"/>
        <w:rPr>
          <w:rFonts w:ascii="Times New Roman" w:hAnsi="Times New Roman"/>
          <w:sz w:val="24"/>
        </w:rPr>
      </w:pPr>
      <w:r w:rsidRPr="00EA1A07">
        <w:rPr>
          <w:rFonts w:ascii="Times New Roman" w:hAnsi="Times New Roman"/>
          <w:sz w:val="24"/>
        </w:rPr>
        <w:t>La historiografía de los excesos de jueces y corregidores es abundante, en particular con relación al tratamiento de los indios.</w:t>
      </w:r>
    </w:p>
    <w:p w:rsidR="00EA1A07" w:rsidRPr="00EA1A07" w:rsidRDefault="00EA1A07" w:rsidP="00EA1A07">
      <w:pPr>
        <w:spacing w:line="360" w:lineRule="auto"/>
        <w:rPr>
          <w:rFonts w:ascii="Times New Roman" w:hAnsi="Times New Roman"/>
          <w:sz w:val="24"/>
        </w:rPr>
      </w:pPr>
      <w:r w:rsidRPr="00EA1A07">
        <w:rPr>
          <w:rFonts w:ascii="Times New Roman" w:hAnsi="Times New Roman"/>
          <w:sz w:val="24"/>
        </w:rPr>
        <w:t xml:space="preserve">Pimienta, caso del gobernador que por riguroso fue </w:t>
      </w:r>
      <w:proofErr w:type="gramStart"/>
      <w:r w:rsidRPr="00EA1A07">
        <w:rPr>
          <w:rFonts w:ascii="Times New Roman" w:hAnsi="Times New Roman"/>
          <w:sz w:val="24"/>
        </w:rPr>
        <w:t>tiránico :\</w:t>
      </w:r>
      <w:proofErr w:type="gramEnd"/>
      <w:r w:rsidRPr="00EA1A07">
        <w:rPr>
          <w:rFonts w:ascii="Times New Roman" w:hAnsi="Times New Roman"/>
          <w:sz w:val="24"/>
        </w:rPr>
        <w:t xml:space="preserve"> </w:t>
      </w:r>
    </w:p>
    <w:p w:rsidR="00464785" w:rsidRDefault="00464785"/>
    <w:p w:rsidR="00EA1A07" w:rsidRDefault="00EA1A07" w:rsidP="00EA1A07">
      <w:pPr>
        <w:pStyle w:val="Ttulo1"/>
      </w:pPr>
      <w:r>
        <w:t>Capítulo x. ¿De la clemencia al rigor? Cultura ilustrada y clemencia real</w:t>
      </w:r>
    </w:p>
    <w:p w:rsidR="00EA1A07" w:rsidRPr="006B6B52" w:rsidRDefault="00EA1A07" w:rsidP="00EA1A07">
      <w:r w:rsidRPr="006B6B52">
        <w:t xml:space="preserve">Vía de Nápoles – </w:t>
      </w:r>
      <w:proofErr w:type="spellStart"/>
      <w:r w:rsidRPr="006B6B52">
        <w:rPr>
          <w:i/>
        </w:rPr>
        <w:t>giuridizzionalismo</w:t>
      </w:r>
      <w:proofErr w:type="spellEnd"/>
      <w:r w:rsidRPr="006B6B52">
        <w:rPr>
          <w:i/>
        </w:rPr>
        <w:t xml:space="preserve"> </w:t>
      </w:r>
      <w:r w:rsidRPr="006B6B52">
        <w:t>(</w:t>
      </w:r>
      <w:proofErr w:type="spellStart"/>
      <w:r w:rsidRPr="006B6B52">
        <w:t>cfr</w:t>
      </w:r>
      <w:proofErr w:type="spellEnd"/>
      <w:r w:rsidRPr="006B6B52">
        <w:t xml:space="preserve">: </w:t>
      </w:r>
      <w:proofErr w:type="spellStart"/>
      <w:r w:rsidRPr="006B6B52">
        <w:t>Pietschmann</w:t>
      </w:r>
      <w:proofErr w:type="spellEnd"/>
      <w:r w:rsidRPr="006B6B52">
        <w:t xml:space="preserve">), </w:t>
      </w:r>
      <w:proofErr w:type="spellStart"/>
      <w:r w:rsidRPr="006B6B52">
        <w:t>Beccaria</w:t>
      </w:r>
      <w:proofErr w:type="spellEnd"/>
      <w:r w:rsidRPr="006B6B52">
        <w:t>.</w:t>
      </w:r>
    </w:p>
    <w:p w:rsidR="00EA1A07" w:rsidRPr="00630E1A" w:rsidRDefault="00EA1A07" w:rsidP="00EA1A07">
      <w:r w:rsidRPr="00B8078A">
        <w:t xml:space="preserve">Ilustración francesa – Rousseau, Montesquieu, </w:t>
      </w:r>
      <w:proofErr w:type="spellStart"/>
      <w:r w:rsidRPr="00B8078A">
        <w:t>Bodin</w:t>
      </w:r>
      <w:proofErr w:type="spellEnd"/>
      <w:r w:rsidRPr="00B8078A">
        <w:t xml:space="preserve">, </w:t>
      </w:r>
      <w:proofErr w:type="spellStart"/>
      <w:r w:rsidRPr="00B8078A">
        <w:t>Carac</w:t>
      </w:r>
      <w:r w:rsidRPr="00630E1A">
        <w:t>cioli</w:t>
      </w:r>
      <w:proofErr w:type="spellEnd"/>
      <w:r w:rsidRPr="00630E1A">
        <w:t xml:space="preserve"> (trad. 1775)</w:t>
      </w:r>
    </w:p>
    <w:p w:rsidR="00EA1A07" w:rsidRDefault="00EA1A07" w:rsidP="00EA1A07">
      <w:r w:rsidRPr="003D4F03">
        <w:lastRenderedPageBreak/>
        <w:t xml:space="preserve">Ejemplos de ilustres ilustrados – Jovellanos, </w:t>
      </w:r>
    </w:p>
    <w:p w:rsidR="00EA1A07" w:rsidRDefault="00EA1A07"/>
    <w:sectPr w:rsidR="00EA1A0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4E32" w:rsidRDefault="00EB4E32" w:rsidP="00EA1A07">
      <w:pPr>
        <w:spacing w:line="240" w:lineRule="auto"/>
      </w:pPr>
      <w:r>
        <w:separator/>
      </w:r>
    </w:p>
  </w:endnote>
  <w:endnote w:type="continuationSeparator" w:id="0">
    <w:p w:rsidR="00EB4E32" w:rsidRDefault="00EB4E32" w:rsidP="00EA1A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4E32" w:rsidRDefault="00EB4E32" w:rsidP="00EA1A07">
      <w:pPr>
        <w:spacing w:line="240" w:lineRule="auto"/>
      </w:pPr>
      <w:r>
        <w:separator/>
      </w:r>
    </w:p>
  </w:footnote>
  <w:footnote w:type="continuationSeparator" w:id="0">
    <w:p w:rsidR="00EB4E32" w:rsidRDefault="00EB4E32" w:rsidP="00EA1A07">
      <w:pPr>
        <w:spacing w:line="240" w:lineRule="auto"/>
      </w:pPr>
      <w:r>
        <w:continuationSeparator/>
      </w:r>
    </w:p>
  </w:footnote>
  <w:footnote w:id="1">
    <w:p w:rsidR="007700D3" w:rsidRDefault="007700D3">
      <w:pPr>
        <w:pStyle w:val="Textonotapie"/>
      </w:pPr>
      <w:r>
        <w:rPr>
          <w:rStyle w:val="Refdenotaalpie"/>
        </w:rPr>
        <w:footnoteRef/>
      </w:r>
      <w:r>
        <w:t xml:space="preserve"> </w:t>
      </w:r>
      <w:r>
        <w:fldChar w:fldCharType="begin"/>
      </w:r>
      <w:r>
        <w:instrText xml:space="preserve"> ADDIN ZOTERO_ITEM CSL_CITATION {"citationID":"lTqmu9U9","properties":{"formattedCitation":"Jes\\uc0\\u250{}s Vallejo, \\uc0\\u8220{}El pr\\uc0\\u237{}ncipe ante el derecho en la cultura del \\uc0\\u8216{}ius commune\\uc0\\u8217{}\\uc0\\u8221{}, en {\\i{}Manual de Historia del Derecho}, ed. Marta Lorente Sari\\uc0\\u241{}ena y Jes\\uc0\\u250{}s Vallejo (Valencia: Tirant lo Blanch, 2012), 160\\uc0\\u8211{}61.","plainCitation":"Jesús Vallejo, “El príncipe ante el derecho en la cultura del ‘ius commune’”, en Manual de Historia del Derecho, ed. Marta Lorente Sariñena y Jesús Vallejo (Valencia: Tirant lo Blanch, 2012), 160–61.","noteIndex":1},"citationItems":[{"id":7790,"uris":["http://zotero.org/users/163570/items/D3LIG28Z"],"uri":["http://zotero.org/users/163570/items/D3LIG28Z"],"itemData":{"id":7790,"type":"chapter","title":"El príncipe ante el derecho en la cultura del 'ius commune'","container-title":"Manual de Historia del Derecho","publisher":"Tirant lo Blanch","publisher-place":"Valencia","page":"141-178","source":"Open WorldCat","event-place":"Valencia","ISBN":"978-84-9033-231-3","note":"OCLC: 929705285","language":"Spanish","editor":[{"family":"Lorente Sariñena","given":"Marta"},{"family":"Vallejo","given":"Jesús"}],"author":[{"family":"Vallejo","given":"Jesús"}],"issued":{"date-parts":[["2012"]]},"accessed":{"date-parts":[["2017",11,25]]}},"locator":"160-161","label":"page"}],"schema":"https://github.com/citation-style-language/schema/raw/master/csl-citation.json"} </w:instrText>
      </w:r>
      <w:r>
        <w:fldChar w:fldCharType="separate"/>
      </w:r>
      <w:r w:rsidRPr="007700D3">
        <w:rPr>
          <w:rFonts w:cs="Times New Roman"/>
          <w:szCs w:val="24"/>
        </w:rPr>
        <w:t xml:space="preserve">Jesús Vallejo, “El príncipe ante el derecho en la cultura del ‘ius commune’”, en </w:t>
      </w:r>
      <w:r w:rsidRPr="007700D3">
        <w:rPr>
          <w:rFonts w:cs="Times New Roman"/>
          <w:i/>
          <w:iCs/>
          <w:szCs w:val="24"/>
        </w:rPr>
        <w:t>Manual de Historia del Derecho</w:t>
      </w:r>
      <w:r w:rsidRPr="007700D3">
        <w:rPr>
          <w:rFonts w:cs="Times New Roman"/>
          <w:szCs w:val="24"/>
        </w:rPr>
        <w:t>, ed. Marta Lorente Sariñena y Jesús Vallejo (Valencia: Tirant lo Blanch, 2012), 160–61.</w:t>
      </w:r>
      <w:r>
        <w:fldChar w:fldCharType="end"/>
      </w:r>
    </w:p>
  </w:footnote>
  <w:footnote w:id="2">
    <w:p w:rsidR="00F13B86" w:rsidRDefault="00F13B86">
      <w:pPr>
        <w:pStyle w:val="Textonotapie"/>
      </w:pPr>
      <w:r>
        <w:rPr>
          <w:rStyle w:val="Refdenotaalpie"/>
        </w:rPr>
        <w:footnoteRef/>
      </w:r>
      <w:r>
        <w:t xml:space="preserve"> A los cuales se sumaban los fueros </w:t>
      </w:r>
      <w:r w:rsidR="00F84C9E">
        <w:t>de las corporaciones, reinos, órdenes y del derecho canónico y eclesiástico.</w:t>
      </w:r>
    </w:p>
  </w:footnote>
  <w:footnote w:id="3">
    <w:p w:rsidR="00EA1A07" w:rsidRPr="000D3181" w:rsidRDefault="00EA1A07" w:rsidP="00EA1A07">
      <w:pPr>
        <w:pStyle w:val="Textonotapie"/>
      </w:pPr>
      <w:r w:rsidRPr="00E40FE9">
        <w:rPr>
          <w:rStyle w:val="Refdenotaalpie"/>
        </w:rPr>
        <w:footnoteRef/>
      </w:r>
      <w:r>
        <w:t xml:space="preserve"> Este delito (de saca) tenía el equivalente al de traición. </w:t>
      </w:r>
    </w:p>
  </w:footnote>
  <w:footnote w:id="4">
    <w:p w:rsidR="00EA1A07" w:rsidRPr="00A01CD6" w:rsidRDefault="00EA1A07" w:rsidP="00EA1A07">
      <w:pPr>
        <w:pStyle w:val="Textonotapie"/>
      </w:pPr>
      <w:r w:rsidRPr="00E40FE9">
        <w:rPr>
          <w:rStyle w:val="Refdenotaalpie"/>
        </w:rPr>
        <w:footnoteRef/>
      </w:r>
      <w:r>
        <w:t xml:space="preserve"> López de Cuéllar, </w:t>
      </w:r>
      <w:r>
        <w:rPr>
          <w:i/>
        </w:rPr>
        <w:t xml:space="preserve">Tratado </w:t>
      </w:r>
      <w:proofErr w:type="spellStart"/>
      <w:r>
        <w:rPr>
          <w:i/>
        </w:rPr>
        <w:t>iuridico-politico</w:t>
      </w:r>
      <w:proofErr w:type="spellEnd"/>
      <w:r>
        <w:t xml:space="preserve">, n. 261. Porque esta injuria no le correspondía perdonarla al rey sino a la parte afectada. Diego del Castillo, </w:t>
      </w:r>
      <w:proofErr w:type="spellStart"/>
      <w:r>
        <w:rPr>
          <w:i/>
        </w:rPr>
        <w:t>Stromas</w:t>
      </w:r>
      <w:proofErr w:type="spellEnd"/>
      <w:r>
        <w:rPr>
          <w:i/>
        </w:rPr>
        <w:t xml:space="preserve"> políticos y morales</w:t>
      </w:r>
      <w:r>
        <w:t xml:space="preserve"> (Valladolid: imprenta de la Real Cancillería, 1729), </w:t>
      </w:r>
      <w:proofErr w:type="spellStart"/>
      <w:r>
        <w:t>stroma</w:t>
      </w:r>
      <w:proofErr w:type="spellEnd"/>
      <w:r>
        <w:t xml:space="preserve"> VIII, flor III, “Concordia política y cristiana del honor y la obediencia” n. 20.</w:t>
      </w:r>
    </w:p>
  </w:footnote>
  <w:footnote w:id="5">
    <w:p w:rsidR="00EA1A07" w:rsidRPr="00F16632" w:rsidRDefault="00EA1A07" w:rsidP="00EA1A07">
      <w:pPr>
        <w:pStyle w:val="Textonotapie"/>
        <w:rPr>
          <w:lang w:val="it-IT"/>
        </w:rPr>
      </w:pPr>
      <w:r w:rsidRPr="00E40FE9">
        <w:rPr>
          <w:rStyle w:val="Refdenotaalpie"/>
        </w:rPr>
        <w:footnoteRef/>
      </w:r>
      <w:r w:rsidRPr="00C20D1B">
        <w:t xml:space="preserve"> Porque era alevoso mata</w:t>
      </w:r>
      <w:r>
        <w:t xml:space="preserve">r a aquel que andaba desarmado y el indulto por más generoso que fuese no comprendía el homicidio a traición, por lo cual se extendía no sólo a los sacerdotes sino al homicidio causado a abogados, médicos, cirujanos y a otros que por su oficio no llevaran armas. López de Cuéllar, </w:t>
      </w:r>
      <w:r>
        <w:rPr>
          <w:i/>
        </w:rPr>
        <w:t xml:space="preserve">Tratado </w:t>
      </w:r>
      <w:proofErr w:type="spellStart"/>
      <w:r>
        <w:rPr>
          <w:i/>
        </w:rPr>
        <w:t>iuridico-politico</w:t>
      </w:r>
      <w:proofErr w:type="spellEnd"/>
      <w:r>
        <w:t xml:space="preserve">, n. 312-313. También Gregorio López glosa </w:t>
      </w:r>
      <w:r>
        <w:rPr>
          <w:i/>
        </w:rPr>
        <w:t>la pena</w:t>
      </w:r>
      <w:r>
        <w:t xml:space="preserve"> a </w:t>
      </w:r>
      <w:r>
        <w:rPr>
          <w:i/>
        </w:rPr>
        <w:t>Partidas</w:t>
      </w:r>
      <w:r>
        <w:t xml:space="preserve"> 7, tít. 32 ley 3: </w:t>
      </w:r>
      <w:r w:rsidRPr="003E4F5C">
        <w:t xml:space="preserve">"Et in </w:t>
      </w:r>
      <w:proofErr w:type="spellStart"/>
      <w:r w:rsidRPr="003E4F5C">
        <w:t>charta</w:t>
      </w:r>
      <w:proofErr w:type="spellEnd"/>
      <w:r w:rsidRPr="003E4F5C">
        <w:t xml:space="preserve"> </w:t>
      </w:r>
      <w:proofErr w:type="spellStart"/>
      <w:r w:rsidRPr="003E4F5C">
        <w:t>misericordiæ</w:t>
      </w:r>
      <w:proofErr w:type="spellEnd"/>
      <w:r w:rsidRPr="003E4F5C">
        <w:t xml:space="preserve"> </w:t>
      </w:r>
      <w:proofErr w:type="spellStart"/>
      <w:r w:rsidRPr="003E4F5C">
        <w:t>super</w:t>
      </w:r>
      <w:proofErr w:type="spellEnd"/>
      <w:r w:rsidRPr="003E4F5C">
        <w:t xml:space="preserve"> </w:t>
      </w:r>
      <w:proofErr w:type="spellStart"/>
      <w:r w:rsidRPr="003E4F5C">
        <w:t>mortealicuius</w:t>
      </w:r>
      <w:proofErr w:type="spellEnd"/>
      <w:r w:rsidRPr="003E4F5C">
        <w:t xml:space="preserve"> </w:t>
      </w:r>
      <w:proofErr w:type="spellStart"/>
      <w:r w:rsidRPr="003E4F5C">
        <w:t>semper</w:t>
      </w:r>
      <w:proofErr w:type="spellEnd"/>
      <w:r w:rsidRPr="003E4F5C">
        <w:t xml:space="preserve"> </w:t>
      </w:r>
      <w:proofErr w:type="spellStart"/>
      <w:r w:rsidRPr="003E4F5C">
        <w:t>ponit</w:t>
      </w:r>
      <w:proofErr w:type="spellEnd"/>
      <w:r w:rsidRPr="003E4F5C">
        <w:t xml:space="preserve"> excepta </w:t>
      </w:r>
      <w:proofErr w:type="spellStart"/>
      <w:r w:rsidRPr="003E4F5C">
        <w:t>proditione</w:t>
      </w:r>
      <w:proofErr w:type="spellEnd"/>
      <w:r w:rsidRPr="003E4F5C">
        <w:t xml:space="preserve"> &amp; </w:t>
      </w:r>
      <w:proofErr w:type="spellStart"/>
      <w:r w:rsidRPr="003E4F5C">
        <w:t>alevosia</w:t>
      </w:r>
      <w:proofErr w:type="spellEnd"/>
      <w:r w:rsidRPr="003E4F5C">
        <w:t>"</w:t>
      </w:r>
      <w:r>
        <w:t xml:space="preserve"> (</w:t>
      </w:r>
      <w:r w:rsidRPr="003E4F5C">
        <w:t>Y en las letras de misericordia por el delito de homicidio, siempre se exceptúan los casos de traición y alevosía.</w:t>
      </w:r>
      <w:r>
        <w:t xml:space="preserve">) </w:t>
      </w:r>
      <w:r w:rsidRPr="00F16632">
        <w:rPr>
          <w:lang w:val="it-IT"/>
        </w:rPr>
        <w:t xml:space="preserve">Garsía Mastrillo, </w:t>
      </w:r>
      <w:r w:rsidRPr="00F16632">
        <w:rPr>
          <w:i/>
          <w:lang w:val="it-IT"/>
        </w:rPr>
        <w:t>Ad indultum generale</w:t>
      </w:r>
      <w:r w:rsidRPr="00F16632">
        <w:rPr>
          <w:lang w:val="it-IT"/>
        </w:rPr>
        <w:t>, cap. XXVIII, n. 1 y ss.</w:t>
      </w:r>
    </w:p>
  </w:footnote>
  <w:footnote w:id="6">
    <w:p w:rsidR="00EA1A07" w:rsidRPr="002718AC" w:rsidRDefault="00EA1A07" w:rsidP="00EA1A07">
      <w:pPr>
        <w:pStyle w:val="Textonotapie"/>
      </w:pPr>
      <w:r w:rsidRPr="00E40FE9">
        <w:rPr>
          <w:rStyle w:val="Refdenotaalpie"/>
        </w:rPr>
        <w:footnoteRef/>
      </w:r>
      <w:r>
        <w:t xml:space="preserve"> Porque acuñar las monedas con la imagen o armas del rey era exclusividad del príncipe, por lo cual el delincuente ofendía la majestad regia al adulterar o acuñarlas sin autoridad para ello. </w:t>
      </w:r>
      <w:proofErr w:type="spellStart"/>
      <w:r w:rsidRPr="002718AC">
        <w:t>Mastrillo</w:t>
      </w:r>
      <w:proofErr w:type="spellEnd"/>
      <w:r w:rsidRPr="002718AC">
        <w:t xml:space="preserve">, </w:t>
      </w:r>
      <w:r w:rsidRPr="002718AC">
        <w:rPr>
          <w:i/>
        </w:rPr>
        <w:t xml:space="preserve">Ad </w:t>
      </w:r>
      <w:proofErr w:type="spellStart"/>
      <w:r w:rsidRPr="002718AC">
        <w:rPr>
          <w:i/>
        </w:rPr>
        <w:t>indultum</w:t>
      </w:r>
      <w:proofErr w:type="spellEnd"/>
      <w:r w:rsidRPr="002718AC">
        <w:rPr>
          <w:i/>
        </w:rPr>
        <w:t xml:space="preserve"> </w:t>
      </w:r>
      <w:proofErr w:type="spellStart"/>
      <w:r w:rsidRPr="002718AC">
        <w:rPr>
          <w:i/>
        </w:rPr>
        <w:t>generale</w:t>
      </w:r>
      <w:proofErr w:type="spellEnd"/>
      <w:r w:rsidRPr="002718AC">
        <w:t>, cap. XXVII, n. 4.</w:t>
      </w:r>
    </w:p>
  </w:footnote>
  <w:footnote w:id="7">
    <w:p w:rsidR="00EA1A07" w:rsidRPr="002718AC" w:rsidRDefault="00EA1A07" w:rsidP="00EA1A07">
      <w:pPr>
        <w:pStyle w:val="Textonotapie"/>
      </w:pPr>
      <w:r w:rsidRPr="00E40FE9">
        <w:rPr>
          <w:rStyle w:val="Refdenotaalpie"/>
        </w:rPr>
        <w:footnoteRef/>
      </w:r>
      <w:r w:rsidRPr="000A4666">
        <w:t xml:space="preserve"> “</w:t>
      </w:r>
      <w:r>
        <w:t xml:space="preserve">Los que usurpan los pastos públicos, y los que destruyen las heredades </w:t>
      </w:r>
      <w:proofErr w:type="spellStart"/>
      <w:r>
        <w:t>agenas</w:t>
      </w:r>
      <w:proofErr w:type="spellEnd"/>
      <w:r>
        <w:t xml:space="preserve">, y cortan arboles de los montes comunes” López de Cuéllar interpreta esta excepción del indulto como una forma de proteger el interés común, evitar que los bienes de las ciudades se vieran irrespetados, y porque aquel que utilizara bosques públicos se consideraba un ladrón, los cuales estaban asimismo excluidos del perdón. </w:t>
      </w:r>
      <w:r w:rsidRPr="002718AC">
        <w:rPr>
          <w:i/>
        </w:rPr>
        <w:t xml:space="preserve">Tratado </w:t>
      </w:r>
      <w:proofErr w:type="spellStart"/>
      <w:r w:rsidRPr="002718AC">
        <w:rPr>
          <w:i/>
        </w:rPr>
        <w:t>iuridico-politico</w:t>
      </w:r>
      <w:proofErr w:type="spellEnd"/>
      <w:r w:rsidRPr="002718AC">
        <w:t>, n. 330-332.</w:t>
      </w:r>
    </w:p>
  </w:footnote>
  <w:footnote w:id="8">
    <w:p w:rsidR="00EA1A07" w:rsidRPr="006940F2" w:rsidRDefault="00EA1A07" w:rsidP="00EA1A07">
      <w:pPr>
        <w:pStyle w:val="Textonotapie"/>
      </w:pPr>
      <w:r w:rsidRPr="00E40FE9">
        <w:rPr>
          <w:rStyle w:val="Refdenotaalpie"/>
        </w:rPr>
        <w:footnoteRef/>
      </w:r>
      <w:r w:rsidRPr="006940F2">
        <w:t xml:space="preserve"> Tradición de los emperadores romanos para contener la embriaguez. </w:t>
      </w:r>
      <w:r>
        <w:t xml:space="preserve">No era sujeto de indulto porque en su ejecución se contravenían muchas leyes. López de Cuéllar, </w:t>
      </w:r>
      <w:r>
        <w:rPr>
          <w:i/>
        </w:rPr>
        <w:t xml:space="preserve">Tratado </w:t>
      </w:r>
      <w:proofErr w:type="spellStart"/>
      <w:r>
        <w:rPr>
          <w:i/>
        </w:rPr>
        <w:t>iuridico-politico</w:t>
      </w:r>
      <w:proofErr w:type="spellEnd"/>
      <w:r>
        <w:t>, n. 366.</w:t>
      </w:r>
    </w:p>
  </w:footnote>
  <w:footnote w:id="9">
    <w:p w:rsidR="00EA1A07" w:rsidRPr="00EF6050" w:rsidRDefault="00EA1A07" w:rsidP="00EA1A07">
      <w:pPr>
        <w:pStyle w:val="Textonotapie"/>
      </w:pPr>
      <w:r w:rsidRPr="00E40FE9">
        <w:rPr>
          <w:rStyle w:val="Refdenotaalpie"/>
        </w:rPr>
        <w:footnoteRef/>
      </w:r>
      <w:r>
        <w:t xml:space="preserve"> Castillo de </w:t>
      </w:r>
      <w:proofErr w:type="spellStart"/>
      <w:r>
        <w:t>Bovadilla</w:t>
      </w:r>
      <w:proofErr w:type="spellEnd"/>
      <w:r>
        <w:t xml:space="preserve">, quien dedicó un capítulo al delito de cohecho, dijo: “Aunque la malicia, y mala inclinación es natural </w:t>
      </w:r>
      <w:proofErr w:type="spellStart"/>
      <w:r>
        <w:t>á</w:t>
      </w:r>
      <w:proofErr w:type="spellEnd"/>
      <w:r>
        <w:t xml:space="preserve"> todos los hombres, porque toda edad es </w:t>
      </w:r>
      <w:proofErr w:type="spellStart"/>
      <w:r>
        <w:t>mas</w:t>
      </w:r>
      <w:proofErr w:type="spellEnd"/>
      <w:r>
        <w:t xml:space="preserve"> inclinada, y proclive al mal, que al bien: pero según </w:t>
      </w:r>
      <w:proofErr w:type="spellStart"/>
      <w:r>
        <w:t>Euripides</w:t>
      </w:r>
      <w:proofErr w:type="spellEnd"/>
      <w:r>
        <w:t xml:space="preserve">, el hombre que corrompido por interés es malo, este tal indigno es de perdón, y mucho </w:t>
      </w:r>
      <w:proofErr w:type="spellStart"/>
      <w:r>
        <w:t>mas</w:t>
      </w:r>
      <w:proofErr w:type="spellEnd"/>
      <w:r>
        <w:t xml:space="preserve"> el que por ignorancia, </w:t>
      </w:r>
      <w:proofErr w:type="spellStart"/>
      <w:r>
        <w:t>ó</w:t>
      </w:r>
      <w:proofErr w:type="spellEnd"/>
      <w:r>
        <w:t xml:space="preserve"> impericia peca; porque el dolo, y la voluntad agravan la culpa”. </w:t>
      </w:r>
      <w:r>
        <w:rPr>
          <w:i/>
        </w:rPr>
        <w:t>Política para corregidores</w:t>
      </w:r>
      <w:r>
        <w:t xml:space="preserve">, Lib. II, Cap. XI, n. 1. Más adelante plantea que aquel que cohechó al juez podía ser perdonado a cambio de su testimonio, a menos que la sentencia obtenida fuera justa, debido a la dificultad que tenía este delito para ser probado. Lib. V, cap. I, n. 223 y 229. </w:t>
      </w:r>
    </w:p>
  </w:footnote>
  <w:footnote w:id="10">
    <w:p w:rsidR="00EA1A07" w:rsidRPr="002718AC" w:rsidRDefault="00EA1A07" w:rsidP="00EA1A07">
      <w:pPr>
        <w:pStyle w:val="Textonotapie"/>
      </w:pPr>
      <w:r w:rsidRPr="00E40FE9">
        <w:rPr>
          <w:rStyle w:val="Refdenotaalpie"/>
        </w:rPr>
        <w:footnoteRef/>
      </w:r>
      <w:r>
        <w:t xml:space="preserve"> La acción o inacción del juez que se hacía por interés y con ello se causaba un daño sin que mediase la corrupción de por medio. Aunque se consideraba que la baratería no conllevaba tanta “fealdad” como el cohecho, se equiparaban ambos delitos porque se equiparaban a los de falsedad, asesinato y simonía, “vendiendo la justicia, que es cosa santa”. Castillo de </w:t>
      </w:r>
      <w:proofErr w:type="spellStart"/>
      <w:r>
        <w:t>Bovadilla</w:t>
      </w:r>
      <w:proofErr w:type="spellEnd"/>
      <w:r>
        <w:t xml:space="preserve">, </w:t>
      </w:r>
      <w:r>
        <w:rPr>
          <w:i/>
        </w:rPr>
        <w:t>Política para corregidores</w:t>
      </w:r>
      <w:r>
        <w:t xml:space="preserve">, Lib. V, cap. </w:t>
      </w:r>
      <w:r w:rsidRPr="002718AC">
        <w:t>I, n. 228.</w:t>
      </w:r>
    </w:p>
  </w:footnote>
  <w:footnote w:id="11">
    <w:p w:rsidR="00EA1A07" w:rsidRPr="001347CC" w:rsidRDefault="00EA1A07" w:rsidP="00EA1A07">
      <w:pPr>
        <w:pStyle w:val="Textonotapie"/>
      </w:pPr>
      <w:r w:rsidRPr="00E40FE9">
        <w:rPr>
          <w:rStyle w:val="Refdenotaalpie"/>
        </w:rPr>
        <w:footnoteRef/>
      </w:r>
      <w:r w:rsidRPr="001347CC">
        <w:t xml:space="preserve"> “crimen gravísimo</w:t>
      </w:r>
      <w:proofErr w:type="gramStart"/>
      <w:r w:rsidRPr="001347CC">
        <w:t>!</w:t>
      </w:r>
      <w:proofErr w:type="gramEnd"/>
      <w:r w:rsidRPr="001347CC">
        <w:t>” dice López de Cu</w:t>
      </w:r>
      <w:r>
        <w:t xml:space="preserve">éllar, que se castigaba con pena de muerte en el caso de los jueces. López de Cuéllar, </w:t>
      </w:r>
      <w:r>
        <w:rPr>
          <w:i/>
        </w:rPr>
        <w:t xml:space="preserve">Tratado </w:t>
      </w:r>
      <w:proofErr w:type="spellStart"/>
      <w:r>
        <w:rPr>
          <w:i/>
        </w:rPr>
        <w:t>iuridico</w:t>
      </w:r>
      <w:proofErr w:type="spellEnd"/>
      <w:r>
        <w:rPr>
          <w:i/>
        </w:rPr>
        <w:t>-político</w:t>
      </w:r>
      <w:r>
        <w:t>, n. 407.</w:t>
      </w:r>
    </w:p>
  </w:footnote>
  <w:footnote w:id="12">
    <w:p w:rsidR="00EA1A07" w:rsidRPr="00887FBF" w:rsidRDefault="00EA1A07" w:rsidP="00EA1A07">
      <w:pPr>
        <w:pStyle w:val="Textonotapie"/>
      </w:pPr>
      <w:r w:rsidRPr="00E40FE9">
        <w:rPr>
          <w:rStyle w:val="Refdenotaalpie"/>
        </w:rPr>
        <w:footnoteRef/>
      </w:r>
      <w:r>
        <w:t xml:space="preserve"> Sin embargo, el castigo al hereje no era automático, la práctica de la clemencia en los juicios contra herejes (como los ejecutados por el tribunal de la Inquisición) consistía en aplicar el principio expuesto en la carta de Pablo a Tito: “</w:t>
      </w:r>
      <w:proofErr w:type="spellStart"/>
      <w:r>
        <w:t>Haereticum</w:t>
      </w:r>
      <w:proofErr w:type="spellEnd"/>
      <w:r>
        <w:t xml:space="preserve"> hominem post </w:t>
      </w:r>
      <w:proofErr w:type="spellStart"/>
      <w:r>
        <w:t>unam</w:t>
      </w:r>
      <w:proofErr w:type="spellEnd"/>
      <w:r>
        <w:t xml:space="preserve"> et </w:t>
      </w:r>
      <w:proofErr w:type="spellStart"/>
      <w:r>
        <w:t>secundam</w:t>
      </w:r>
      <w:proofErr w:type="spellEnd"/>
      <w:r>
        <w:t xml:space="preserve"> </w:t>
      </w:r>
      <w:proofErr w:type="spellStart"/>
      <w:r>
        <w:t>correptionem</w:t>
      </w:r>
      <w:proofErr w:type="spellEnd"/>
      <w:r>
        <w:t xml:space="preserve"> </w:t>
      </w:r>
      <w:proofErr w:type="spellStart"/>
      <w:r>
        <w:t>devita</w:t>
      </w:r>
      <w:proofErr w:type="spellEnd"/>
      <w:r>
        <w:t xml:space="preserve">, </w:t>
      </w:r>
      <w:proofErr w:type="spellStart"/>
      <w:r w:rsidRPr="00887FBF">
        <w:t>sciens</w:t>
      </w:r>
      <w:proofErr w:type="spellEnd"/>
      <w:r w:rsidRPr="00887FBF">
        <w:t xml:space="preserve"> </w:t>
      </w:r>
      <w:proofErr w:type="spellStart"/>
      <w:r w:rsidRPr="00887FBF">
        <w:t>quia</w:t>
      </w:r>
      <w:proofErr w:type="spellEnd"/>
      <w:r w:rsidRPr="00887FBF">
        <w:t xml:space="preserve"> </w:t>
      </w:r>
      <w:proofErr w:type="spellStart"/>
      <w:r w:rsidRPr="00887FBF">
        <w:t>subversus</w:t>
      </w:r>
      <w:proofErr w:type="spellEnd"/>
      <w:r w:rsidRPr="00887FBF">
        <w:t xml:space="preserve"> </w:t>
      </w:r>
      <w:proofErr w:type="spellStart"/>
      <w:r w:rsidRPr="00887FBF">
        <w:t>est</w:t>
      </w:r>
      <w:proofErr w:type="spellEnd"/>
      <w:r w:rsidRPr="00887FBF">
        <w:t xml:space="preserve">, </w:t>
      </w:r>
      <w:proofErr w:type="spellStart"/>
      <w:r w:rsidRPr="00887FBF">
        <w:t>qui</w:t>
      </w:r>
      <w:proofErr w:type="spellEnd"/>
      <w:r w:rsidRPr="00887FBF">
        <w:t xml:space="preserve"> </w:t>
      </w:r>
      <w:proofErr w:type="spellStart"/>
      <w:r w:rsidRPr="00887FBF">
        <w:t>eiusmodi</w:t>
      </w:r>
      <w:proofErr w:type="spellEnd"/>
      <w:r w:rsidRPr="00887FBF">
        <w:t xml:space="preserve"> </w:t>
      </w:r>
      <w:proofErr w:type="spellStart"/>
      <w:r w:rsidRPr="00887FBF">
        <w:t>est</w:t>
      </w:r>
      <w:proofErr w:type="spellEnd"/>
      <w:r w:rsidRPr="00887FBF">
        <w:t xml:space="preserve">, et </w:t>
      </w:r>
      <w:proofErr w:type="spellStart"/>
      <w:r w:rsidRPr="00887FBF">
        <w:t>delinqu</w:t>
      </w:r>
      <w:r>
        <w:t>it</w:t>
      </w:r>
      <w:proofErr w:type="spellEnd"/>
      <w:r>
        <w:t xml:space="preserve">, proprio </w:t>
      </w:r>
      <w:proofErr w:type="spellStart"/>
      <w:r>
        <w:t>iudicio</w:t>
      </w:r>
      <w:proofErr w:type="spellEnd"/>
      <w:r>
        <w:t xml:space="preserve"> </w:t>
      </w:r>
      <w:proofErr w:type="spellStart"/>
      <w:r>
        <w:t>condemnatus</w:t>
      </w:r>
      <w:proofErr w:type="spellEnd"/>
      <w:r>
        <w:t xml:space="preserve">.” </w:t>
      </w:r>
      <w:proofErr w:type="spellStart"/>
      <w:r>
        <w:t>Titum</w:t>
      </w:r>
      <w:proofErr w:type="spellEnd"/>
      <w:r>
        <w:t xml:space="preserve">, 3:10-11. </w:t>
      </w:r>
      <w:r>
        <w:fldChar w:fldCharType="begin"/>
      </w:r>
      <w:r w:rsidR="007700D3">
        <w:instrText xml:space="preserve"> ADDIN ZOTERO_ITEM CSL_CITATION {"citationID":"yk9pWE5e","properties":{"formattedCitation":"Gerardo Miguel Nieves Loja, \\uc0\\u8220{}De la crisis del perd\\uc0\\u243{}n en la Edad Media, al perd\\uc0\\u243{}n incondicional y gratuito\\uc0\\u8221{}, {\\i{}Scintilla \\uc0\\u8211{} Revista de Filosofia e M\\uc0\\u237{}stica Medieval} 12, n\\uc0\\u250{}m. 2 (2015): 45\\uc0\\u8211{}50.","plainCitation":"Gerardo Miguel Nieves Loja, “De la crisis del perdón en la Edad Media, al perdón incondicional y gratuito”, Scintilla – Revista de Filosofia e Mística Medieval 12, núm. 2 (2015): 45–50.","noteIndex":12},"citationItems":[{"id":7996,"uris":["http://zotero.org/users/163570/items/3SKHTBXG"],"uri":["http://zotero.org/users/163570/items/3SKHTBXG"],"itemData":{"id":7996,"type":"article-journal","title":"De la crisis del perdón en la Edad Media, al perdón incondicional y gratuito","container-title":"Scintilla – Revista de Filosofia e Mística Medieval","page":"31-58","volume":"12","issue":"2","source":"scintilla.saoboaventura.edu.br","ISSN":"2525-3034","journalAbbreviation":"Revista Scintilla","language":"fr","author":[{"family":"Nieves Loja","given":"Gerardo Miguel"}],"issued":{"date-parts":[["2015"]]}},"locator":"45-50","label":"page"}],"schema":"https://github.com/citation-style-language/schema/raw/master/csl-citation.json"} </w:instrText>
      </w:r>
      <w:r>
        <w:fldChar w:fldCharType="separate"/>
      </w:r>
      <w:r w:rsidRPr="00EB3702">
        <w:rPr>
          <w:rFonts w:cs="Times New Roman"/>
          <w:szCs w:val="24"/>
        </w:rPr>
        <w:t xml:space="preserve">Gerardo Miguel Nieves Loja, “De la crisis del perdón en la Edad Media, al perdón incondicional y gratuito”, </w:t>
      </w:r>
      <w:r w:rsidRPr="00EB3702">
        <w:rPr>
          <w:rFonts w:cs="Times New Roman"/>
          <w:i/>
          <w:iCs/>
          <w:szCs w:val="24"/>
        </w:rPr>
        <w:t>Scintilla – Revista de Filosofia e Mística Medieval</w:t>
      </w:r>
      <w:r w:rsidRPr="00EB3702">
        <w:rPr>
          <w:rFonts w:cs="Times New Roman"/>
          <w:szCs w:val="24"/>
        </w:rPr>
        <w:t xml:space="preserve"> 12, núm. 2 (2015): 45–50.</w:t>
      </w:r>
      <w:r>
        <w:fldChar w:fldCharType="end"/>
      </w:r>
      <w:r>
        <w:t xml:space="preserve"> </w:t>
      </w:r>
    </w:p>
  </w:footnote>
  <w:footnote w:id="13">
    <w:p w:rsidR="00EA1A07" w:rsidRPr="001E4219" w:rsidRDefault="00EA1A07" w:rsidP="00EA1A07">
      <w:pPr>
        <w:pStyle w:val="Textonotapie"/>
      </w:pPr>
      <w:r w:rsidRPr="00E40FE9">
        <w:rPr>
          <w:rStyle w:val="Refdenotaalpie"/>
        </w:rPr>
        <w:footnoteRef/>
      </w:r>
      <w:r w:rsidRPr="001E4219">
        <w:t xml:space="preserve"> “Porque si descubierto el delito</w:t>
      </w:r>
      <w:r>
        <w:t>,</w:t>
      </w:r>
      <w:r w:rsidRPr="001E4219">
        <w:t xml:space="preserve"> no se </w:t>
      </w:r>
      <w:proofErr w:type="spellStart"/>
      <w:r>
        <w:t>castigo</w:t>
      </w:r>
      <w:proofErr w:type="spellEnd"/>
      <w:r>
        <w:t xml:space="preserve"> al reo, cimentara en la tolerancia su avilantez, para </w:t>
      </w:r>
      <w:proofErr w:type="spellStart"/>
      <w:r>
        <w:t>executar</w:t>
      </w:r>
      <w:proofErr w:type="spellEnd"/>
      <w:r>
        <w:t xml:space="preserve"> lo que ya tramado se le perdonó”. López de Cuéllar, </w:t>
      </w:r>
      <w:r>
        <w:rPr>
          <w:i/>
        </w:rPr>
        <w:t xml:space="preserve">Tratado </w:t>
      </w:r>
      <w:proofErr w:type="spellStart"/>
      <w:r>
        <w:rPr>
          <w:i/>
        </w:rPr>
        <w:t>iuridico</w:t>
      </w:r>
      <w:proofErr w:type="spellEnd"/>
      <w:r>
        <w:rPr>
          <w:i/>
        </w:rPr>
        <w:t>-político</w:t>
      </w:r>
      <w:r>
        <w:t>, n. 488.</w:t>
      </w:r>
    </w:p>
  </w:footnote>
  <w:footnote w:id="14">
    <w:p w:rsidR="00EA1A07" w:rsidRPr="00917031" w:rsidRDefault="00EA1A07" w:rsidP="00EA1A07">
      <w:pPr>
        <w:pStyle w:val="Textonotapie"/>
      </w:pPr>
      <w:r w:rsidRPr="00E40FE9">
        <w:rPr>
          <w:rStyle w:val="Refdenotaalpie"/>
        </w:rPr>
        <w:footnoteRef/>
      </w:r>
      <w:r w:rsidRPr="00917031">
        <w:t xml:space="preserve"> “No </w:t>
      </w:r>
      <w:proofErr w:type="spellStart"/>
      <w:r w:rsidRPr="00917031">
        <w:t>goze</w:t>
      </w:r>
      <w:proofErr w:type="spellEnd"/>
      <w:r w:rsidRPr="00917031">
        <w:t xml:space="preserve"> de la clemencia del </w:t>
      </w:r>
      <w:proofErr w:type="spellStart"/>
      <w:r w:rsidRPr="00917031">
        <w:t>Principe</w:t>
      </w:r>
      <w:proofErr w:type="spellEnd"/>
      <w:r w:rsidRPr="00917031">
        <w:t xml:space="preserve"> en el Indulto el </w:t>
      </w:r>
      <w:proofErr w:type="spellStart"/>
      <w:r w:rsidRPr="00917031">
        <w:t>impio</w:t>
      </w:r>
      <w:proofErr w:type="spellEnd"/>
      <w:r w:rsidRPr="00917031">
        <w:t xml:space="preserve">, que irritó la </w:t>
      </w:r>
      <w:proofErr w:type="spellStart"/>
      <w:r>
        <w:t>Iusticia</w:t>
      </w:r>
      <w:proofErr w:type="spellEnd"/>
      <w:r>
        <w:t xml:space="preserve"> de Dios, y pues la ley lo manda, justo es que el fuego reduzca </w:t>
      </w:r>
      <w:proofErr w:type="spellStart"/>
      <w:r>
        <w:t>á</w:t>
      </w:r>
      <w:proofErr w:type="spellEnd"/>
      <w:r>
        <w:t xml:space="preserve"> pavesas </w:t>
      </w:r>
      <w:proofErr w:type="spellStart"/>
      <w:r>
        <w:t>delinquente</w:t>
      </w:r>
      <w:proofErr w:type="spellEnd"/>
      <w:r>
        <w:t xml:space="preserve">, que sin temor del castigo, se </w:t>
      </w:r>
      <w:proofErr w:type="spellStart"/>
      <w:r>
        <w:t>sugetó</w:t>
      </w:r>
      <w:proofErr w:type="spellEnd"/>
      <w:r>
        <w:t xml:space="preserve"> por su delito </w:t>
      </w:r>
      <w:proofErr w:type="spellStart"/>
      <w:r>
        <w:t>á</w:t>
      </w:r>
      <w:proofErr w:type="spellEnd"/>
      <w:r>
        <w:t xml:space="preserve"> ser infame, </w:t>
      </w:r>
      <w:proofErr w:type="spellStart"/>
      <w:r>
        <w:t>quanto</w:t>
      </w:r>
      <w:proofErr w:type="spellEnd"/>
      <w:r>
        <w:t xml:space="preserve"> </w:t>
      </w:r>
      <w:proofErr w:type="spellStart"/>
      <w:r>
        <w:t>exemplar</w:t>
      </w:r>
      <w:proofErr w:type="spellEnd"/>
      <w:r>
        <w:t xml:space="preserve"> padrón de escarmiento </w:t>
      </w:r>
      <w:proofErr w:type="spellStart"/>
      <w:r>
        <w:t>á</w:t>
      </w:r>
      <w:proofErr w:type="spellEnd"/>
      <w:r>
        <w:t xml:space="preserve"> las futuras edades, encendiendo en su corazón la denegrida llama de su apetito.” López de Cuéllar, </w:t>
      </w:r>
      <w:r>
        <w:rPr>
          <w:i/>
        </w:rPr>
        <w:t xml:space="preserve">Tratado </w:t>
      </w:r>
      <w:proofErr w:type="spellStart"/>
      <w:r>
        <w:rPr>
          <w:i/>
        </w:rPr>
        <w:t>iuridico</w:t>
      </w:r>
      <w:proofErr w:type="spellEnd"/>
      <w:r>
        <w:rPr>
          <w:i/>
        </w:rPr>
        <w:t>-político</w:t>
      </w:r>
      <w:r>
        <w:t>, n. 728.</w:t>
      </w:r>
    </w:p>
  </w:footnote>
  <w:footnote w:id="15">
    <w:p w:rsidR="00EA1A07" w:rsidRDefault="00EA1A07" w:rsidP="00EA1A07">
      <w:pPr>
        <w:pStyle w:val="Textonotapie"/>
      </w:pPr>
      <w:r w:rsidRPr="00E40FE9">
        <w:rPr>
          <w:rStyle w:val="Refdenotaalpie"/>
        </w:rPr>
        <w:footnoteRef/>
      </w:r>
      <w:r>
        <w:t xml:space="preserve"> Sin embargo, un reo por hurto podía ser indultado por el príncipe si así fuera su arbitrio, aunque en este caso la parte agraviada aún tenía que </w:t>
      </w:r>
      <w:proofErr w:type="spellStart"/>
      <w:r>
        <w:t>perdonalo</w:t>
      </w:r>
      <w:proofErr w:type="spellEnd"/>
      <w:r>
        <w:t xml:space="preserve"> para que cesara la acción civil pues el rey sólo indultaba la criminal. López de Cuéllar, </w:t>
      </w:r>
      <w:r>
        <w:rPr>
          <w:i/>
        </w:rPr>
        <w:t xml:space="preserve">Tratado </w:t>
      </w:r>
      <w:proofErr w:type="spellStart"/>
      <w:r>
        <w:rPr>
          <w:i/>
        </w:rPr>
        <w:t>iuridico</w:t>
      </w:r>
      <w:proofErr w:type="spellEnd"/>
      <w:r>
        <w:rPr>
          <w:i/>
        </w:rPr>
        <w:t>-político</w:t>
      </w:r>
      <w:r>
        <w:t>, n. 855.</w:t>
      </w:r>
    </w:p>
  </w:footnote>
  <w:footnote w:id="16">
    <w:p w:rsidR="00EA1A07" w:rsidRPr="00F0676E" w:rsidRDefault="00EA1A07" w:rsidP="00EA1A07">
      <w:pPr>
        <w:pStyle w:val="Textonotapie"/>
      </w:pPr>
      <w:r w:rsidRPr="00E40FE9">
        <w:rPr>
          <w:rStyle w:val="Refdenotaalpie"/>
        </w:rPr>
        <w:footnoteRef/>
      </w:r>
      <w:r>
        <w:t xml:space="preserve"> Se incluyen en esta excepción el </w:t>
      </w:r>
      <w:proofErr w:type="spellStart"/>
      <w:r>
        <w:rPr>
          <w:i/>
        </w:rPr>
        <w:t>consensum</w:t>
      </w:r>
      <w:proofErr w:type="spellEnd"/>
      <w:r>
        <w:rPr>
          <w:i/>
        </w:rPr>
        <w:t xml:space="preserve"> </w:t>
      </w:r>
      <w:proofErr w:type="spellStart"/>
      <w:r>
        <w:rPr>
          <w:i/>
        </w:rPr>
        <w:t>falsum</w:t>
      </w:r>
      <w:proofErr w:type="spellEnd"/>
      <w:r>
        <w:t xml:space="preserve"> o venta engañosa, el falso testimonio, el procurador o magistrado que violara el secreto, la falsificación de instrumentos o documentos oficiales (en el caso de bulas o letras apostólicas se podía castigar con la muerte), y los falsificadores de moneda. Incluso, “Falsario es de echo el que rasga Cedula Real, </w:t>
      </w:r>
      <w:proofErr w:type="spellStart"/>
      <w:r>
        <w:t>ó</w:t>
      </w:r>
      <w:proofErr w:type="spellEnd"/>
      <w:r>
        <w:t xml:space="preserve"> </w:t>
      </w:r>
      <w:proofErr w:type="spellStart"/>
      <w:r>
        <w:t>Provission</w:t>
      </w:r>
      <w:proofErr w:type="spellEnd"/>
      <w:r>
        <w:t xml:space="preserve">, </w:t>
      </w:r>
      <w:proofErr w:type="spellStart"/>
      <w:r>
        <w:t>ó</w:t>
      </w:r>
      <w:proofErr w:type="spellEnd"/>
      <w:r>
        <w:t xml:space="preserve"> abre cartas de los particulares, </w:t>
      </w:r>
      <w:proofErr w:type="spellStart"/>
      <w:r>
        <w:t>ó</w:t>
      </w:r>
      <w:proofErr w:type="spellEnd"/>
      <w:r>
        <w:t xml:space="preserve"> rompe algún auto judicial al Ministro que se le notifica”. López de Cuéllar, </w:t>
      </w:r>
      <w:r>
        <w:rPr>
          <w:i/>
        </w:rPr>
        <w:t xml:space="preserve">Tratado </w:t>
      </w:r>
      <w:proofErr w:type="spellStart"/>
      <w:r>
        <w:rPr>
          <w:i/>
        </w:rPr>
        <w:t>iuridico</w:t>
      </w:r>
      <w:proofErr w:type="spellEnd"/>
      <w:r>
        <w:rPr>
          <w:i/>
        </w:rPr>
        <w:t>-político</w:t>
      </w:r>
      <w:r>
        <w:t>, n. 860-970.</w:t>
      </w:r>
    </w:p>
  </w:footnote>
  <w:footnote w:id="17">
    <w:p w:rsidR="00EA1A07" w:rsidRPr="00965B72" w:rsidRDefault="00EA1A07" w:rsidP="00EA1A07">
      <w:pPr>
        <w:pStyle w:val="Textonotapie"/>
      </w:pPr>
      <w:r w:rsidRPr="00E40FE9">
        <w:rPr>
          <w:rStyle w:val="Refdenotaalpie"/>
        </w:rPr>
        <w:footnoteRef/>
      </w:r>
      <w:r w:rsidRPr="00965B72">
        <w:t xml:space="preserve"> “Et cum per </w:t>
      </w:r>
      <w:proofErr w:type="spellStart"/>
      <w:r w:rsidRPr="00965B72">
        <w:t>blasphemiam</w:t>
      </w:r>
      <w:proofErr w:type="spellEnd"/>
      <w:r w:rsidRPr="00965B72">
        <w:t xml:space="preserve"> </w:t>
      </w:r>
      <w:proofErr w:type="spellStart"/>
      <w:r w:rsidRPr="00965B72">
        <w:t>fiat</w:t>
      </w:r>
      <w:proofErr w:type="spellEnd"/>
      <w:r w:rsidRPr="00965B72">
        <w:t xml:space="preserve"> </w:t>
      </w:r>
      <w:proofErr w:type="spellStart"/>
      <w:r w:rsidRPr="00965B72">
        <w:t>iniuria</w:t>
      </w:r>
      <w:proofErr w:type="spellEnd"/>
      <w:r w:rsidRPr="00965B72">
        <w:t xml:space="preserve"> Deo, sine </w:t>
      </w:r>
      <w:proofErr w:type="spellStart"/>
      <w:r w:rsidRPr="00965B72">
        <w:t>blasphemia</w:t>
      </w:r>
      <w:proofErr w:type="spellEnd"/>
      <w:r w:rsidRPr="00965B72">
        <w:t xml:space="preserve"> </w:t>
      </w:r>
      <w:proofErr w:type="spellStart"/>
      <w:r w:rsidRPr="00965B72">
        <w:t>fiat</w:t>
      </w:r>
      <w:proofErr w:type="spellEnd"/>
      <w:r w:rsidRPr="00965B72">
        <w:t xml:space="preserve"> in </w:t>
      </w:r>
      <w:proofErr w:type="spellStart"/>
      <w:r w:rsidRPr="00965B72">
        <w:t>Deum</w:t>
      </w:r>
      <w:proofErr w:type="spellEnd"/>
      <w:r w:rsidRPr="00965B72">
        <w:t xml:space="preserve">, </w:t>
      </w:r>
      <w:proofErr w:type="spellStart"/>
      <w:r w:rsidRPr="00965B72">
        <w:t>sive</w:t>
      </w:r>
      <w:proofErr w:type="spellEnd"/>
      <w:r w:rsidRPr="00965B72">
        <w:t xml:space="preserve"> in </w:t>
      </w:r>
      <w:proofErr w:type="spellStart"/>
      <w:r w:rsidRPr="00965B72">
        <w:t>Virginem</w:t>
      </w:r>
      <w:proofErr w:type="spellEnd"/>
      <w:r w:rsidRPr="00965B72">
        <w:t xml:space="preserve"> </w:t>
      </w:r>
      <w:proofErr w:type="spellStart"/>
      <w:r w:rsidRPr="00965B72">
        <w:t>Mariam</w:t>
      </w:r>
      <w:proofErr w:type="spellEnd"/>
      <w:r w:rsidRPr="00965B72">
        <w:t xml:space="preserve">, </w:t>
      </w:r>
      <w:proofErr w:type="spellStart"/>
      <w:r w:rsidRPr="00965B72">
        <w:t>sive</w:t>
      </w:r>
      <w:proofErr w:type="spellEnd"/>
      <w:r w:rsidRPr="00965B72">
        <w:t xml:space="preserve"> in </w:t>
      </w:r>
      <w:proofErr w:type="spellStart"/>
      <w:r w:rsidRPr="00965B72">
        <w:t>Sanctos</w:t>
      </w:r>
      <w:proofErr w:type="spellEnd"/>
      <w:r w:rsidRPr="00965B72">
        <w:t xml:space="preserve">, </w:t>
      </w:r>
      <w:proofErr w:type="spellStart"/>
      <w:r w:rsidRPr="00965B72">
        <w:t>est</w:t>
      </w:r>
      <w:proofErr w:type="spellEnd"/>
      <w:r w:rsidRPr="00965B72">
        <w:t xml:space="preserve"> </w:t>
      </w:r>
      <w:proofErr w:type="spellStart"/>
      <w:r w:rsidRPr="00965B72">
        <w:t>clarum</w:t>
      </w:r>
      <w:proofErr w:type="spellEnd"/>
      <w:r w:rsidRPr="00965B72">
        <w:t xml:space="preserve">, </w:t>
      </w:r>
      <w:proofErr w:type="spellStart"/>
      <w:r w:rsidRPr="00965B72">
        <w:t>qu</w:t>
      </w:r>
      <w:r>
        <w:t>ód</w:t>
      </w:r>
      <w:proofErr w:type="spellEnd"/>
      <w:r>
        <w:t xml:space="preserve"> Imperator, Dux, et </w:t>
      </w:r>
      <w:proofErr w:type="spellStart"/>
      <w:r>
        <w:t>Princepts</w:t>
      </w:r>
      <w:proofErr w:type="spellEnd"/>
      <w:r>
        <w:t xml:space="preserve">, </w:t>
      </w:r>
      <w:proofErr w:type="spellStart"/>
      <w:r>
        <w:t>not</w:t>
      </w:r>
      <w:proofErr w:type="spellEnd"/>
      <w:r>
        <w:t xml:space="preserve"> </w:t>
      </w:r>
      <w:proofErr w:type="spellStart"/>
      <w:r>
        <w:t>possunt</w:t>
      </w:r>
      <w:proofErr w:type="spellEnd"/>
      <w:r>
        <w:t xml:space="preserve"> per </w:t>
      </w:r>
      <w:proofErr w:type="spellStart"/>
      <w:r>
        <w:t>eorum</w:t>
      </w:r>
      <w:proofErr w:type="spellEnd"/>
      <w:r>
        <w:t xml:space="preserve"> </w:t>
      </w:r>
      <w:proofErr w:type="spellStart"/>
      <w:r>
        <w:t>gratiam</w:t>
      </w:r>
      <w:proofErr w:type="spellEnd"/>
      <w:r>
        <w:t xml:space="preserve"> </w:t>
      </w:r>
      <w:proofErr w:type="spellStart"/>
      <w:r>
        <w:t>alicaius</w:t>
      </w:r>
      <w:proofErr w:type="spellEnd"/>
      <w:r>
        <w:t xml:space="preserve"> </w:t>
      </w:r>
      <w:proofErr w:type="spellStart"/>
      <w:r>
        <w:t>poenae</w:t>
      </w:r>
      <w:proofErr w:type="spellEnd"/>
      <w:r>
        <w:t xml:space="preserve"> </w:t>
      </w:r>
      <w:proofErr w:type="spellStart"/>
      <w:r>
        <w:t>plasphemo</w:t>
      </w:r>
      <w:proofErr w:type="spellEnd"/>
      <w:r>
        <w:t xml:space="preserve">, cum nos </w:t>
      </w:r>
      <w:proofErr w:type="spellStart"/>
      <w:r>
        <w:t>sit</w:t>
      </w:r>
      <w:proofErr w:type="spellEnd"/>
      <w:r>
        <w:t xml:space="preserve"> </w:t>
      </w:r>
      <w:proofErr w:type="spellStart"/>
      <w:r>
        <w:t>eis</w:t>
      </w:r>
      <w:proofErr w:type="spellEnd"/>
      <w:r>
        <w:t xml:space="preserve"> </w:t>
      </w:r>
      <w:proofErr w:type="spellStart"/>
      <w:r>
        <w:t>facta</w:t>
      </w:r>
      <w:proofErr w:type="spellEnd"/>
      <w:r>
        <w:t xml:space="preserve"> </w:t>
      </w:r>
      <w:proofErr w:type="spellStart"/>
      <w:r>
        <w:t>iniuria</w:t>
      </w:r>
      <w:proofErr w:type="spellEnd"/>
      <w:r>
        <w:t xml:space="preserve">, </w:t>
      </w:r>
      <w:proofErr w:type="spellStart"/>
      <w:r>
        <w:t>nec</w:t>
      </w:r>
      <w:proofErr w:type="spellEnd"/>
      <w:r>
        <w:t xml:space="preserve"> </w:t>
      </w:r>
      <w:proofErr w:type="spellStart"/>
      <w:r>
        <w:t>eorum</w:t>
      </w:r>
      <w:proofErr w:type="spellEnd"/>
      <w:r>
        <w:t xml:space="preserve"> </w:t>
      </w:r>
      <w:proofErr w:type="spellStart"/>
      <w:r>
        <w:t>subditis</w:t>
      </w:r>
      <w:proofErr w:type="spellEnd"/>
      <w:r>
        <w:t xml:space="preserve">, sed Deo </w:t>
      </w:r>
      <w:proofErr w:type="spellStart"/>
      <w:r>
        <w:t>eorum</w:t>
      </w:r>
      <w:proofErr w:type="spellEnd"/>
      <w:r>
        <w:t xml:space="preserve"> </w:t>
      </w:r>
      <w:proofErr w:type="spellStart"/>
      <w:r>
        <w:t>Superiori</w:t>
      </w:r>
      <w:proofErr w:type="spellEnd"/>
      <w:r>
        <w:t xml:space="preserve">, et nos </w:t>
      </w:r>
      <w:proofErr w:type="spellStart"/>
      <w:r>
        <w:t>potest</w:t>
      </w:r>
      <w:proofErr w:type="spellEnd"/>
      <w:r>
        <w:t xml:space="preserve"> inferior </w:t>
      </w:r>
      <w:proofErr w:type="spellStart"/>
      <w:r>
        <w:t>remitie</w:t>
      </w:r>
      <w:proofErr w:type="spellEnd"/>
      <w:r>
        <w:t xml:space="preserve"> </w:t>
      </w:r>
      <w:proofErr w:type="spellStart"/>
      <w:r>
        <w:t>iniuriam</w:t>
      </w:r>
      <w:proofErr w:type="spellEnd"/>
      <w:r>
        <w:t xml:space="preserve"> </w:t>
      </w:r>
      <w:proofErr w:type="spellStart"/>
      <w:r>
        <w:t>factam</w:t>
      </w:r>
      <w:proofErr w:type="spellEnd"/>
      <w:r>
        <w:t xml:space="preserve"> </w:t>
      </w:r>
      <w:proofErr w:type="spellStart"/>
      <w:r>
        <w:t>superiori</w:t>
      </w:r>
      <w:proofErr w:type="spellEnd"/>
      <w:r>
        <w:t xml:space="preserve">”. López de Cuéllar, </w:t>
      </w:r>
      <w:r>
        <w:rPr>
          <w:i/>
        </w:rPr>
        <w:t xml:space="preserve">Tratado </w:t>
      </w:r>
      <w:proofErr w:type="spellStart"/>
      <w:r>
        <w:rPr>
          <w:i/>
        </w:rPr>
        <w:t>iuridico</w:t>
      </w:r>
      <w:proofErr w:type="spellEnd"/>
      <w:r>
        <w:rPr>
          <w:i/>
        </w:rPr>
        <w:t>-político</w:t>
      </w:r>
      <w:r>
        <w:t>, n. 1034.</w:t>
      </w:r>
    </w:p>
  </w:footnote>
  <w:footnote w:id="18">
    <w:p w:rsidR="00EA1A07" w:rsidRDefault="00EA1A07" w:rsidP="00EA1A07">
      <w:pPr>
        <w:pStyle w:val="Textonotapie"/>
      </w:pPr>
      <w:r w:rsidRPr="00E40FE9">
        <w:rPr>
          <w:rStyle w:val="Refdenotaalpie"/>
        </w:rPr>
        <w:footnoteRef/>
      </w:r>
      <w:r>
        <w:t xml:space="preserve"> Porque quien resistía a los ministros del rey lo hacía por extensión contra el príncipe y Dios. López de Cuéllar, </w:t>
      </w:r>
      <w:r>
        <w:rPr>
          <w:i/>
        </w:rPr>
        <w:t xml:space="preserve">Tratado </w:t>
      </w:r>
      <w:proofErr w:type="spellStart"/>
      <w:r>
        <w:rPr>
          <w:i/>
        </w:rPr>
        <w:t>iuridico</w:t>
      </w:r>
      <w:proofErr w:type="spellEnd"/>
      <w:r>
        <w:rPr>
          <w:i/>
        </w:rPr>
        <w:t>-político</w:t>
      </w:r>
      <w:r>
        <w:t>, n. 1144-1150.</w:t>
      </w:r>
    </w:p>
  </w:footnote>
  <w:footnote w:id="19">
    <w:p w:rsidR="00EA1A07" w:rsidRDefault="00EA1A07" w:rsidP="00EA1A07">
      <w:pPr>
        <w:pStyle w:val="Textonotapie"/>
      </w:pPr>
      <w:r w:rsidRPr="00E40FE9">
        <w:rPr>
          <w:rStyle w:val="Refdenotaalpie"/>
        </w:rPr>
        <w:footnoteRef/>
      </w:r>
      <w:r>
        <w:t xml:space="preserve"> </w:t>
      </w:r>
      <w:r w:rsidRPr="000F2D43">
        <w:rPr>
          <w:szCs w:val="24"/>
        </w:rPr>
        <w:t xml:space="preserve">Vicente Vizcaíno Pérez, </w:t>
      </w:r>
      <w:r w:rsidRPr="000F2D43">
        <w:rPr>
          <w:i/>
          <w:iCs/>
          <w:szCs w:val="24"/>
        </w:rPr>
        <w:t>Código y Práctica criminal: arreglado a las leyes de España</w:t>
      </w:r>
      <w:r w:rsidRPr="000F2D43">
        <w:rPr>
          <w:szCs w:val="24"/>
        </w:rPr>
        <w:t>,</w:t>
      </w:r>
      <w:r>
        <w:t xml:space="preserve"> tomo III, </w:t>
      </w:r>
      <w:r w:rsidRPr="00D46461">
        <w:t>n. 443.</w:t>
      </w:r>
    </w:p>
  </w:footnote>
  <w:footnote w:id="20">
    <w:p w:rsidR="00EA1A07" w:rsidRDefault="00EA1A07" w:rsidP="00EA1A07">
      <w:pPr>
        <w:pStyle w:val="Textonotapie"/>
      </w:pPr>
      <w:r w:rsidRPr="00E40FE9">
        <w:rPr>
          <w:rStyle w:val="Refdenotaalpie"/>
        </w:rPr>
        <w:footnoteRef/>
      </w:r>
      <w:r>
        <w:t xml:space="preserve"> </w:t>
      </w:r>
      <w:r>
        <w:fldChar w:fldCharType="begin"/>
      </w:r>
      <w:r w:rsidR="007700D3">
        <w:instrText xml:space="preserve"> ADDIN ZOTERO_ITEM CSL_CITATION {"citationID":"hNxk9coa","properties":{"formattedCitation":"Mar\\uc0\\u237{}a Inmaculada Rodr\\uc0\\u237{}guez Flores, {\\i{}El perd\\uc0\\u243{}n real en Castilla (siglos XIII-XVIII)} (Salamanca: Universidad de Salamanca, 1971), 114.","plainCitation":"María Inmaculada Rodríguez Flores, El perdón real en Castilla (siglos XIII-XVIII) (Salamanca: Universidad de Salamanca, 1971), 114.","noteIndex":20},"citationItems":[{"id":2654,"uris":["http://zotero.org/users/163570/items/APZE9XAC"],"uri":["http://zotero.org/users/163570/items/APZE9XAC"],"itemData":{"id":2654,"type":"book","title":"El perdón real en Castilla (siglos XIII-XVIII)","publisher":"Universidad de Salamanca","publisher-place":"Salamanca","number-of-pages":"284","source":"Google Books","event-place":"Salamanca","ISBN":"978-84-7481-917-5","shortTitle":"El perdón real","language":"es","author":[{"family":"Rodríguez Flores","given":"María Inmaculada"}],"issued":{"date-parts":[["1971"]]}},"locator":"114","label":"page"}],"schema":"https://github.com/citation-style-language/schema/raw/master/csl-citation.json"} </w:instrText>
      </w:r>
      <w:r>
        <w:fldChar w:fldCharType="separate"/>
      </w:r>
      <w:r w:rsidR="00902918" w:rsidRPr="00902918">
        <w:rPr>
          <w:rFonts w:cs="Times New Roman"/>
          <w:szCs w:val="24"/>
        </w:rPr>
        <w:t xml:space="preserve">María Inmaculada Rodríguez Flores, </w:t>
      </w:r>
      <w:r w:rsidR="00902918" w:rsidRPr="00902918">
        <w:rPr>
          <w:rFonts w:cs="Times New Roman"/>
          <w:i/>
          <w:iCs/>
          <w:szCs w:val="24"/>
        </w:rPr>
        <w:t>El perdón real en Castilla (siglos XIII-XVIII)</w:t>
      </w:r>
      <w:r w:rsidR="00902918" w:rsidRPr="00902918">
        <w:rPr>
          <w:rFonts w:cs="Times New Roman"/>
          <w:szCs w:val="24"/>
        </w:rPr>
        <w:t xml:space="preserve"> (Salamanca: Universidad de Salamanca, 1971), 114.</w:t>
      </w:r>
      <w:r>
        <w:fldChar w:fldCharType="end"/>
      </w:r>
      <w:r>
        <w:t xml:space="preserve"> Vale apuntar que el delito de traición (</w:t>
      </w:r>
      <w:proofErr w:type="spellStart"/>
      <w:r w:rsidRPr="00C52EEA">
        <w:rPr>
          <w:i/>
        </w:rPr>
        <w:t>proditionis</w:t>
      </w:r>
      <w:proofErr w:type="spellEnd"/>
      <w:r>
        <w:t>) era considerado como uno de los delitos más graves. Desde una perspectiva teológico-moral, el traidor rememoraba a Judas (</w:t>
      </w:r>
      <w:proofErr w:type="spellStart"/>
      <w:r>
        <w:rPr>
          <w:i/>
        </w:rPr>
        <w:t>Iudas</w:t>
      </w:r>
      <w:proofErr w:type="spellEnd"/>
      <w:r>
        <w:rPr>
          <w:i/>
        </w:rPr>
        <w:t xml:space="preserve"> </w:t>
      </w:r>
      <w:proofErr w:type="spellStart"/>
      <w:r>
        <w:rPr>
          <w:i/>
        </w:rPr>
        <w:t>proditor</w:t>
      </w:r>
      <w:proofErr w:type="spellEnd"/>
      <w:r>
        <w:t>) por haber traicionado a Cristo aún a pesar de estar en la cima del apostolado. Rodrigo Sánchez de Arévalo lo consideró como una fechoría de las más aberrantes: “</w:t>
      </w:r>
      <w:proofErr w:type="spellStart"/>
      <w:r>
        <w:t>Proditionis</w:t>
      </w:r>
      <w:proofErr w:type="spellEnd"/>
      <w:r>
        <w:t xml:space="preserve"> </w:t>
      </w:r>
      <w:proofErr w:type="spellStart"/>
      <w:r>
        <w:t>horrendum</w:t>
      </w:r>
      <w:proofErr w:type="spellEnd"/>
      <w:r>
        <w:t xml:space="preserve"> </w:t>
      </w:r>
      <w:proofErr w:type="spellStart"/>
      <w:r>
        <w:t>flagitium</w:t>
      </w:r>
      <w:proofErr w:type="gramStart"/>
      <w:r>
        <w:t>,ómnium</w:t>
      </w:r>
      <w:proofErr w:type="spellEnd"/>
      <w:proofErr w:type="gramEnd"/>
      <w:r>
        <w:t xml:space="preserve"> </w:t>
      </w:r>
      <w:proofErr w:type="spellStart"/>
      <w:r>
        <w:t>facinorum</w:t>
      </w:r>
      <w:proofErr w:type="spellEnd"/>
      <w:r>
        <w:t xml:space="preserve"> </w:t>
      </w:r>
      <w:proofErr w:type="spellStart"/>
      <w:r>
        <w:t>uilius</w:t>
      </w:r>
      <w:proofErr w:type="spellEnd"/>
      <w:r>
        <w:t xml:space="preserve">, </w:t>
      </w:r>
      <w:proofErr w:type="spellStart"/>
      <w:r>
        <w:t>deformius</w:t>
      </w:r>
      <w:proofErr w:type="spellEnd"/>
      <w:r>
        <w:t xml:space="preserve"> </w:t>
      </w:r>
      <w:proofErr w:type="spellStart"/>
      <w:r>
        <w:t>ac</w:t>
      </w:r>
      <w:proofErr w:type="spellEnd"/>
      <w:r>
        <w:t xml:space="preserve"> </w:t>
      </w:r>
      <w:proofErr w:type="spellStart"/>
      <w:r>
        <w:t>sceleratius</w:t>
      </w:r>
      <w:proofErr w:type="spellEnd"/>
      <w:r>
        <w:t xml:space="preserve"> </w:t>
      </w:r>
      <w:proofErr w:type="spellStart"/>
      <w:r>
        <w:t>fore</w:t>
      </w:r>
      <w:proofErr w:type="spellEnd"/>
      <w:r>
        <w:t xml:space="preserve"> </w:t>
      </w:r>
      <w:proofErr w:type="spellStart"/>
      <w:r>
        <w:t>nemo</w:t>
      </w:r>
      <w:proofErr w:type="spellEnd"/>
      <w:r>
        <w:t xml:space="preserve">, </w:t>
      </w:r>
      <w:proofErr w:type="spellStart"/>
      <w:r>
        <w:t>nisi</w:t>
      </w:r>
      <w:proofErr w:type="spellEnd"/>
      <w:r>
        <w:t xml:space="preserve"> </w:t>
      </w:r>
      <w:proofErr w:type="spellStart"/>
      <w:r>
        <w:t>insanus</w:t>
      </w:r>
      <w:proofErr w:type="spellEnd"/>
      <w:r>
        <w:t xml:space="preserve"> </w:t>
      </w:r>
      <w:proofErr w:type="spellStart"/>
      <w:r>
        <w:t>hesitat</w:t>
      </w:r>
      <w:proofErr w:type="spellEnd"/>
      <w:r>
        <w:t xml:space="preserve">, </w:t>
      </w:r>
      <w:proofErr w:type="spellStart"/>
      <w:r>
        <w:t>quippe</w:t>
      </w:r>
      <w:proofErr w:type="spellEnd"/>
      <w:r>
        <w:t xml:space="preserve"> </w:t>
      </w:r>
      <w:proofErr w:type="spellStart"/>
      <w:r>
        <w:t>quod</w:t>
      </w:r>
      <w:proofErr w:type="spellEnd"/>
      <w:r>
        <w:t xml:space="preserve"> </w:t>
      </w:r>
      <w:proofErr w:type="spellStart"/>
      <w:r>
        <w:t>omnia</w:t>
      </w:r>
      <w:proofErr w:type="spellEnd"/>
      <w:r>
        <w:t xml:space="preserve"> </w:t>
      </w:r>
      <w:proofErr w:type="spellStart"/>
      <w:r>
        <w:t>alia</w:t>
      </w:r>
      <w:proofErr w:type="spellEnd"/>
      <w:r>
        <w:t xml:space="preserve"> </w:t>
      </w:r>
      <w:proofErr w:type="spellStart"/>
      <w:r>
        <w:t>delictorum</w:t>
      </w:r>
      <w:proofErr w:type="spellEnd"/>
      <w:r>
        <w:t xml:space="preserve"> genera </w:t>
      </w:r>
      <w:proofErr w:type="spellStart"/>
      <w:r>
        <w:t>superat</w:t>
      </w:r>
      <w:proofErr w:type="spellEnd"/>
      <w:r>
        <w:t xml:space="preserve">” (“Que la horrible afrenta de la traición es la más despreciable de todas las fechorías, la más deshonrosa y malvada, nadie sino un loco lo duda, puesto que supera todos los demás tipos de delitos”). </w:t>
      </w:r>
      <w:r>
        <w:rPr>
          <w:i/>
        </w:rPr>
        <w:t>Deberes y funciones de generales, capitanes y gobernadores</w:t>
      </w:r>
      <w:r>
        <w:t>, ed. y trad. Antonio López Fonseca y José Manuel Ruiz Vila (Madrid: Escolar y Mayo editores, 2011), 266-267, Lib. II, tít. VIII.</w:t>
      </w:r>
    </w:p>
  </w:footnote>
  <w:footnote w:id="21">
    <w:p w:rsidR="00EA1A07" w:rsidRPr="005F746C" w:rsidRDefault="00EA1A07" w:rsidP="00EA1A07">
      <w:pPr>
        <w:pStyle w:val="Textonotapie"/>
      </w:pPr>
      <w:r w:rsidRPr="00E40FE9">
        <w:rPr>
          <w:rStyle w:val="Refdenotaalpie"/>
        </w:rPr>
        <w:footnoteRef/>
      </w:r>
      <w:r>
        <w:t xml:space="preserve"> </w:t>
      </w:r>
      <w:r>
        <w:rPr>
          <w:i/>
        </w:rPr>
        <w:t>Gaceta de Madrid</w:t>
      </w:r>
      <w:r>
        <w:t>, No. 5181, 19 de noviembre de 1848.</w:t>
      </w:r>
    </w:p>
  </w:footnote>
  <w:footnote w:id="22">
    <w:p w:rsidR="00EA1A07" w:rsidRDefault="00EA1A07" w:rsidP="00EA1A07">
      <w:pPr>
        <w:pStyle w:val="Textonotapie"/>
      </w:pPr>
      <w:r w:rsidRPr="00E40FE9">
        <w:rPr>
          <w:rStyle w:val="Refdenotaalpie"/>
        </w:rPr>
        <w:footnoteRef/>
      </w:r>
      <w:r>
        <w:t xml:space="preserve"> Por ejemplo, el perdón general dado por Felipe III en 1603 sólo excluía los delitos de “</w:t>
      </w:r>
      <w:proofErr w:type="spellStart"/>
      <w:r>
        <w:t>lese</w:t>
      </w:r>
      <w:proofErr w:type="spellEnd"/>
      <w:r>
        <w:t xml:space="preserve"> </w:t>
      </w:r>
      <w:proofErr w:type="spellStart"/>
      <w:r>
        <w:t>mayestatis</w:t>
      </w:r>
      <w:proofErr w:type="spellEnd"/>
      <w:r>
        <w:t xml:space="preserve">, pecado nefando, de falsedad, testigos falsos y resistencia a la nuestra justicia”, en un perdón general de 1686 sólo se daban por excluidos aquellos “presos por causas graves”, y en el dado por Felipe V en 1707 se excluyeron a “ladrones, </w:t>
      </w:r>
      <w:proofErr w:type="spellStart"/>
      <w:r>
        <w:t>jitanos</w:t>
      </w:r>
      <w:proofErr w:type="spellEnd"/>
      <w:r>
        <w:t xml:space="preserve">, las mujeres de la Galera, y los que </w:t>
      </w:r>
      <w:proofErr w:type="spellStart"/>
      <w:r>
        <w:t>estubieren</w:t>
      </w:r>
      <w:proofErr w:type="spellEnd"/>
      <w:r>
        <w:t xml:space="preserve"> por muerte donde haya parte”. En este sentido, unificar los delitos exceptuados del perdón representaría una verdadera innovación en la materia. </w:t>
      </w:r>
      <w:r>
        <w:fldChar w:fldCharType="begin"/>
      </w:r>
      <w:r w:rsidR="007700D3">
        <w:instrText xml:space="preserve"> ADDIN ZOTERO_ITEM CSL_CITATION {"citationID":"0nAv4s8C","properties":{"formattedCitation":"Rodr\\uc0\\u237{}guez Flores, {\\i{}El perd\\uc0\\u243{}n real}, 268\\uc0\\u8211{}71.","plainCitation":"Rodríguez Flores, El perdón real, 268–71.","noteIndex":22},"citationItems":[{"id":2654,"uris":["http://zotero.org/users/163570/items/APZE9XAC"],"uri":["http://zotero.org/users/163570/items/APZE9XAC"],"itemData":{"id":2654,"type":"book","title":"El perdón real en Castilla (siglos XIII-XVIII)","publisher":"Universidad de Salamanca","publisher-place":"Salamanca","number-of-pages":"284","source":"Google Books","event-place":"Salamanca","ISBN":"978-84-7481-917-5","shortTitle":"El perdón real","language":"es","author":[{"family":"Rodríguez Flores","given":"María Inmaculada"}],"issued":{"date-parts":[["1971"]]}},"locator":"268-271","label":"page"}],"schema":"https://github.com/citation-style-language/schema/raw/master/csl-citation.json"} </w:instrText>
      </w:r>
      <w:r>
        <w:fldChar w:fldCharType="separate"/>
      </w:r>
      <w:r w:rsidRPr="00EB3702">
        <w:rPr>
          <w:rFonts w:cs="Times New Roman"/>
          <w:szCs w:val="24"/>
        </w:rPr>
        <w:t xml:space="preserve">Rodríguez Flores, </w:t>
      </w:r>
      <w:r w:rsidRPr="00EB3702">
        <w:rPr>
          <w:rFonts w:cs="Times New Roman"/>
          <w:i/>
          <w:iCs/>
          <w:szCs w:val="24"/>
        </w:rPr>
        <w:t>El perdón real</w:t>
      </w:r>
      <w:r w:rsidRPr="00EB3702">
        <w:rPr>
          <w:rFonts w:cs="Times New Roman"/>
          <w:szCs w:val="24"/>
        </w:rPr>
        <w:t>, 268–71.</w:t>
      </w:r>
      <w:r>
        <w:fldChar w:fldCharType="end"/>
      </w:r>
    </w:p>
  </w:footnote>
  <w:footnote w:id="23">
    <w:p w:rsidR="00EA1A07" w:rsidRPr="00B8044F" w:rsidRDefault="00EA1A07" w:rsidP="00EA1A07">
      <w:pPr>
        <w:pStyle w:val="Textonotapie"/>
      </w:pPr>
      <w:r w:rsidRPr="00E40FE9">
        <w:rPr>
          <w:rStyle w:val="Refdenotaalpie"/>
        </w:rPr>
        <w:footnoteRef/>
      </w:r>
      <w:r w:rsidRPr="00B8044F">
        <w:t xml:space="preserve"> Vicente Vizcaíno, </w:t>
      </w:r>
      <w:r w:rsidRPr="00B8044F">
        <w:rPr>
          <w:i/>
        </w:rPr>
        <w:t>Código y práctica criminal</w:t>
      </w:r>
      <w:r>
        <w:t>, tomo III, n. 430.</w:t>
      </w:r>
    </w:p>
  </w:footnote>
  <w:footnote w:id="24">
    <w:p w:rsidR="00EA1A07" w:rsidRDefault="00EA1A07" w:rsidP="00EA1A07">
      <w:pPr>
        <w:pStyle w:val="Textonotapie"/>
      </w:pPr>
      <w:r w:rsidRPr="00E40FE9">
        <w:rPr>
          <w:rStyle w:val="Refdenotaalpie"/>
        </w:rPr>
        <w:footnoteRef/>
      </w:r>
      <w:r>
        <w:t xml:space="preserve"> </w:t>
      </w:r>
      <w:r>
        <w:fldChar w:fldCharType="begin"/>
      </w:r>
      <w:r w:rsidR="007700D3">
        <w:instrText xml:space="preserve"> ADDIN ZOTERO_ITEM CSL_CITATION {"citationID":"6ilV7eCE","properties":{"formattedCitation":"Rodr\\uc0\\u237{}guez Flores, {\\i{}El perd\\uc0\\u243{}n real}, 44\\uc0\\u8211{}79.","plainCitation":"Rodríguez Flores, El perdón real, 44–79.","noteIndex":24},"citationItems":[{"id":2654,"uris":["http://zotero.org/users/163570/items/APZE9XAC"],"uri":["http://zotero.org/users/163570/items/APZE9XAC"],"itemData":{"id":2654,"type":"book","title":"El perdón real en Castilla (siglos XIII-XVIII)","publisher":"Universidad de Salamanca","publisher-place":"Salamanca","number-of-pages":"284","source":"Google Books","event-place":"Salamanca","ISBN":"978-84-7481-917-5","shortTitle":"El perdón real","language":"es","author":[{"family":"Rodríguez Flores","given":"María Inmaculada"}],"issued":{"date-parts":[["1971"]]}},"locator":"44-79","label":"page"}],"schema":"https://github.com/citation-style-language/schema/raw/master/csl-citation.json"} </w:instrText>
      </w:r>
      <w:r>
        <w:fldChar w:fldCharType="separate"/>
      </w:r>
      <w:r w:rsidRPr="00EB3702">
        <w:rPr>
          <w:rFonts w:cs="Times New Roman"/>
          <w:szCs w:val="24"/>
        </w:rPr>
        <w:t xml:space="preserve">Rodríguez Flores, </w:t>
      </w:r>
      <w:r w:rsidRPr="00EB3702">
        <w:rPr>
          <w:rFonts w:cs="Times New Roman"/>
          <w:i/>
          <w:iCs/>
          <w:szCs w:val="24"/>
        </w:rPr>
        <w:t>El perdón real</w:t>
      </w:r>
      <w:r w:rsidRPr="00EB3702">
        <w:rPr>
          <w:rFonts w:cs="Times New Roman"/>
          <w:szCs w:val="24"/>
        </w:rPr>
        <w:t>, 44–79.</w:t>
      </w:r>
      <w:r>
        <w:fldChar w:fldCharType="end"/>
      </w:r>
    </w:p>
  </w:footnote>
  <w:footnote w:id="25">
    <w:p w:rsidR="00EA1A07" w:rsidRDefault="00EA1A07" w:rsidP="00EA1A07">
      <w:pPr>
        <w:pStyle w:val="Textonotapie"/>
      </w:pPr>
      <w:r w:rsidRPr="00E40FE9">
        <w:rPr>
          <w:rStyle w:val="Refdenotaalpie"/>
        </w:rPr>
        <w:footnoteRef/>
      </w:r>
      <w:r>
        <w:t xml:space="preserve"> </w:t>
      </w:r>
      <w:r>
        <w:fldChar w:fldCharType="begin"/>
      </w:r>
      <w:r w:rsidR="007700D3">
        <w:instrText xml:space="preserve"> ADDIN ZOTERO_ITEM CSL_CITATION {"citationID":"QJYfF2qR","properties":{"formattedCitation":"Rodr\\uc0\\u237{}guez Flores, 51; Carlos Medell\\uc0\\u237{}n Becerra, \\uc0\\u8220{}La amnist\\uc0\\u237{}a, instituci\\uc0\\u243{}n iuspol\\uc0\\u237{}tica\\uc0\\u8221{}, {\\i{}Derecho Penal y Criminolog\\uc0\\u237{}a} 11, n\\uc0\\u250{}m. 37 (1989): 259.","plainCitation":"Rodríguez Flores, 51; Carlos Medellín Becerra, “La amnistía, institución iuspolítica”, Derecho Penal y Criminología 11, núm. 37 (1989): 259.","noteIndex":25},"citationItems":[{"id":2654,"uris":["http://zotero.org/users/163570/items/APZE9XAC"],"uri":["http://zotero.org/users/163570/items/APZE9XAC"],"itemData":{"id":2654,"type":"book","title":"El perdón real en Castilla (siglos XIII-XVIII)","publisher":"Universidad de Salamanca","publisher-place":"Salamanca","number-of-pages":"284","source":"Google Books","event-place":"Salamanca","ISBN":"978-84-7481-917-5","shortTitle":"El perdón real","language":"es","author":[{"family":"Rodríguez Flores","given":"María Inmaculada"}],"issued":{"date-parts":[["1971"]]}},"locator":"51","label":"page"},{"id":5975,"uris":["http://zotero.org/users/163570/items/FDMZSZPX"],"uri":["http://zotero.org/users/163570/items/FDMZSZPX"],"itemData":{"id":5975,"type":"article-journal","title":"La amnistía, institución iuspolítica","container-title":"Derecho Penal y Criminología","page":"259-264","volume":"11","issue":"37","journalAbbreviation":"Derecho Penal y Criminología","author":[{"family":"Medellín Becerra","given":"Carlos"}],"issued":{"date-parts":[["1989"]]}},"locator":"259","label":"page"}],"schema":"https://github.com/citation-style-language/schema/raw/master/csl-citation.json"} </w:instrText>
      </w:r>
      <w:r>
        <w:fldChar w:fldCharType="separate"/>
      </w:r>
      <w:r w:rsidRPr="00B94F93">
        <w:rPr>
          <w:rFonts w:cs="Times New Roman"/>
          <w:szCs w:val="24"/>
        </w:rPr>
        <w:t xml:space="preserve">Rodríguez Flores, 51; Carlos Medellín Becerra, “La amnistía, institución iuspolítica”, </w:t>
      </w:r>
      <w:r w:rsidRPr="00B94F93">
        <w:rPr>
          <w:rFonts w:cs="Times New Roman"/>
          <w:i/>
          <w:iCs/>
          <w:szCs w:val="24"/>
        </w:rPr>
        <w:t>Derecho Penal y Criminología</w:t>
      </w:r>
      <w:r w:rsidRPr="00B94F93">
        <w:rPr>
          <w:rFonts w:cs="Times New Roman"/>
          <w:szCs w:val="24"/>
        </w:rPr>
        <w:t xml:space="preserve"> 11, núm. 37 (1989): 259.</w:t>
      </w:r>
      <w:r>
        <w:fldChar w:fldCharType="end"/>
      </w:r>
    </w:p>
  </w:footnote>
  <w:footnote w:id="26">
    <w:p w:rsidR="00EA1A07" w:rsidRPr="005D0491" w:rsidRDefault="00EA1A07" w:rsidP="00EA1A07">
      <w:pPr>
        <w:pStyle w:val="Textonotapie"/>
      </w:pPr>
      <w:r w:rsidRPr="00E40FE9">
        <w:rPr>
          <w:rStyle w:val="Refdenotaalpie"/>
        </w:rPr>
        <w:footnoteRef/>
      </w:r>
      <w:r w:rsidRPr="005D0491">
        <w:t xml:space="preserve"> Rodríguez Flores consideró que la concesi</w:t>
      </w:r>
      <w:r>
        <w:t xml:space="preserve">ón de perdones colectivos se podría explicar porque “la situación social y política del Reino, provocaba la existencia, en cada momento histórico, de un delito o delitos más frecuentes y en consecuencia, de la concesión de un tipo de perdón más que otros” </w:t>
      </w:r>
      <w:r>
        <w:fldChar w:fldCharType="begin"/>
      </w:r>
      <w:r w:rsidR="007700D3">
        <w:instrText xml:space="preserve"> ADDIN ZOTERO_ITEM CSL_CITATION {"citationID":"XK6OfaD7","properties":{"formattedCitation":"{\\i{}El perd\\uc0\\u243{}n real}, 57.","plainCitation":"El perdón real, 57.","noteIndex":26},"citationItems":[{"id":2654,"uris":["http://zotero.org/users/163570/items/APZE9XAC"],"uri":["http://zotero.org/users/163570/items/APZE9XAC"],"itemData":{"id":2654,"type":"book","title":"El perdón real en Castilla (siglos XIII-XVIII)","publisher":"Universidad de Salamanca","publisher-place":"Salamanca","number-of-pages":"284","source":"Google Books","event-place":"Salamanca","ISBN":"978-84-7481-917-5","shortTitle":"El perdón real","language":"es","author":[{"family":"Rodríguez Flores","given":"María Inmaculada"}],"issued":{"date-parts":[["1971"]]}},"locator":"57","label":"page","suppress-author":true}],"schema":"https://github.com/citation-style-language/schema/raw/master/csl-citation.json"} </w:instrText>
      </w:r>
      <w:r>
        <w:fldChar w:fldCharType="separate"/>
      </w:r>
      <w:r w:rsidRPr="00EB3702">
        <w:rPr>
          <w:rFonts w:cs="Times New Roman"/>
          <w:i/>
          <w:iCs/>
          <w:szCs w:val="24"/>
        </w:rPr>
        <w:t>El perdón real</w:t>
      </w:r>
      <w:r w:rsidRPr="00EB3702">
        <w:rPr>
          <w:rFonts w:cs="Times New Roman"/>
          <w:szCs w:val="24"/>
        </w:rPr>
        <w:t>, 57.</w:t>
      </w:r>
      <w:r>
        <w:fldChar w:fldCharType="end"/>
      </w:r>
      <w:r>
        <w:t xml:space="preserve"> Sin embargo estudios enfocados en la aplicación del perdón muestran que no existía una correlación directa entre la tendencia criminal y la concesión de perdones. </w:t>
      </w:r>
      <w:r>
        <w:fldChar w:fldCharType="begin"/>
      </w:r>
      <w:r w:rsidR="007700D3">
        <w:instrText xml:space="preserve"> ADDIN ZOTERO_ITEM CSL_CITATION {"citationID":"MNIt1u2N","properties":{"formattedCitation":"Roberto J. Gonz\\uc0\\u225{}lez Zalaca\\uc0\\u237{}n, {\\i{}El perd\\uc0\\u243{}n real en Castilla a fines de la Edad Media: el ejemplo de la Cornisa Cant\\uc0\\u225{}brica}, In\\uc0\\u233{}ditos de historia 6 (Bilbao: Universidad del Pa\\uc0\\u237{}s Vasco. Servicio Editorial, 2013), 159; Tom\\uc0\\u225{}s Antonio Mantec\\uc0\\u243{}n Movell\\uc0\\u225{}n, \\uc0\\u8220{}Los criminales ante la concesi\\uc0\\u243{}n del indulto en la Espa\\uc0\\u241{}a del Siglo XVIII\\uc0\\u8221{}, {\\i{}Prohistoria} 5, n\\uc0\\u250{}m. 5 (2001): 68.","plainCitation":"Roberto J. González Zalacaín, El perdón real en Castilla a fines de la Edad Media: el ejemplo de la Cornisa Cantábrica, Inéditos de historia 6 (Bilbao: Universidad del País Vasco. Servicio Editorial, 2013), 159; Tomás Antonio Mantecón Movellán, “Los criminales ante la concesión del indulto en la España del Siglo XVIII”, Prohistoria 5, núm. 5 (2001): 68.","noteIndex":26},"citationItems":[{"id":5855,"uris":["http://zotero.org/users/163570/items/7TPAMXM8"],"uri":["http://zotero.org/users/163570/items/7TPAMXM8"],"itemData":{"id":5855,"type":"book","title":"El perdón real en Castilla a fines de la Edad Media: el ejemplo de la Cornisa Cantábrica","collection-title":"Inéditos de historia","collection-number":"6","publisher":"Universidad del País Vasco. Servicio Editorial","publisher-place":"Bilbao","number-of-pages":"175","source":"Library of Congress ISBN","event-place":"Bilbao","ISBN":"978-84-9860-794-9","call-number":"HV8532.S7 G66 2013","shortTitle":"El perdón real en Castilla","author":[{"family":"González Zalacaín","given":"Roberto J."}],"issued":{"date-parts":[["2013"]]}},"locator":"159","label":"page"},{"id":3803,"uris":["http://zotero.org/users/163570/items/VNN59XQ4"],"uri":["http://zotero.org/users/163570/items/VNN59XQ4"],"itemData":{"id":3803,"type":"article-journal","title":"Los criminales ante la concesión del indulto en la España del Siglo XVIII","container-title":"Prohistoria","page":"55-82","volume":"5","issue":"5","shortTitle":"Los criminales ante la concesión","author":[{"family":"Mantecón Movellán","given":"Tomás Antonio"}],"issued":{"date-parts":[["2001"]]}},"locator":"68","label":"page"}],"schema":"https://github.com/citation-style-language/schema/raw/master/csl-citation.json"} </w:instrText>
      </w:r>
      <w:r>
        <w:fldChar w:fldCharType="separate"/>
      </w:r>
      <w:r w:rsidRPr="00EB3702">
        <w:rPr>
          <w:rFonts w:cs="Times New Roman"/>
          <w:szCs w:val="24"/>
        </w:rPr>
        <w:t xml:space="preserve">Roberto J. González Zalacaín, </w:t>
      </w:r>
      <w:r w:rsidRPr="00EB3702">
        <w:rPr>
          <w:rFonts w:cs="Times New Roman"/>
          <w:i/>
          <w:iCs/>
          <w:szCs w:val="24"/>
        </w:rPr>
        <w:t>El perdón real en Castilla a fines de la Edad Media: el ejemplo de la Cornisa Cantábrica</w:t>
      </w:r>
      <w:r w:rsidRPr="00EB3702">
        <w:rPr>
          <w:rFonts w:cs="Times New Roman"/>
          <w:szCs w:val="24"/>
        </w:rPr>
        <w:t xml:space="preserve">, Inéditos de historia 6 (Bilbao: Universidad del País Vasco. Servicio Editorial, 2013), 159; Tomás Antonio Mantecón Movellán, “Los criminales ante la concesión del indulto en la España del Siglo XVIII”, </w:t>
      </w:r>
      <w:r w:rsidRPr="00EB3702">
        <w:rPr>
          <w:rFonts w:cs="Times New Roman"/>
          <w:i/>
          <w:iCs/>
          <w:szCs w:val="24"/>
        </w:rPr>
        <w:t>Prohistoria</w:t>
      </w:r>
      <w:r w:rsidRPr="00EB3702">
        <w:rPr>
          <w:rFonts w:cs="Times New Roman"/>
          <w:szCs w:val="24"/>
        </w:rPr>
        <w:t xml:space="preserve"> 5, núm. 5 (2001): 68.</w:t>
      </w:r>
      <w:r>
        <w:fldChar w:fldCharType="end"/>
      </w:r>
      <w:r>
        <w:t xml:space="preserve"> </w:t>
      </w:r>
    </w:p>
  </w:footnote>
  <w:footnote w:id="27">
    <w:p w:rsidR="00EA1A07" w:rsidRDefault="00EA1A07" w:rsidP="00EA1A07">
      <w:pPr>
        <w:pStyle w:val="Textonotapie"/>
      </w:pPr>
      <w:r w:rsidRPr="00E40FE9">
        <w:rPr>
          <w:rStyle w:val="Refdenotaalpie"/>
        </w:rPr>
        <w:footnoteRef/>
      </w:r>
      <w:r>
        <w:t xml:space="preserve"> </w:t>
      </w:r>
      <w:r>
        <w:fldChar w:fldCharType="begin"/>
      </w:r>
      <w:r w:rsidR="007700D3">
        <w:instrText xml:space="preserve"> ADDIN ZOTERO_ITEM CSL_CITATION {"citationID":"tueY0Peh","properties":{"formattedCitation":"Rodr\\uc0\\u237{}guez Flores, {\\i{}El perd\\uc0\\u243{}n real}, 58; Victoria Sandoval Parra, {\\i{}Manera de galard\\uc0\\u243{}n: merced pecuniaria y extranjer\\uc0\\u237{}a en el siglo XVII}, Secci\\uc0\\u243{}n de obras de historia (Madrid: Fondo de Cultura Econ\\uc0\\u243{}mica\\uc0\\u8239{}: Red Columnaria, 2014), 26.","plainCitation":"Rodríguez Flores, El perdón real, 58; Victoria Sandoval Parra, Manera de galardón: merced pecuniaria y extranjería en el siglo XVII, Sección de obras de historia (Madrid: Fondo de Cultura Económica : Red Columnaria, 2014), 26.","noteIndex":27},"citationItems":[{"id":2654,"uris":["http://zotero.org/users/163570/items/APZE9XAC"],"uri":["http://zotero.org/users/163570/items/APZE9XAC"],"itemData":{"id":2654,"type":"book","title":"El perdón real en Castilla (siglos XIII-XVIII)","publisher":"Universidad de Salamanca","publisher-place":"Salamanca","number-of-pages":"284","source":"Google Books","event-place":"Salamanca","ISBN":"978-84-7481-917-5","shortTitle":"El perdón real","language":"es","author":[{"family":"Rodríguez Flores","given":"María Inmaculada"}],"issued":{"date-parts":[["1971"]]}},"locator":"58","label":"page"},{"id":7785,"uris":["http://zotero.org/users/163570/items/83GJ79B9"],"uri":["http://zotero.org/users/163570/items/83GJ79B9"],"itemData":{"id":7785,"type":"book","title":"Manera de galardón: merced pecuniaria y extranjería en el siglo XVII","collection-title":"Sección de obras de historia","publisher":"Fondo de Cultura Económica : Red Columnaria","publisher-place":"Madrid","number-of-pages":"428","source":"Library of Congress ISBN","event-place":"Madrid","ISBN":"978-84-375-0695-1","call-number":"DP171 .S36 2014","note":"OCLC: ocn889935631","shortTitle":"Manera de galardón","author":[{"family":"Sandoval Parra","given":"Victoria"}],"issued":{"date-parts":[["2014"]]}},"locator":"26","label":"page"}],"schema":"https://github.com/citation-style-language/schema/raw/master/csl-citation.json"} </w:instrText>
      </w:r>
      <w:r>
        <w:fldChar w:fldCharType="separate"/>
      </w:r>
      <w:r w:rsidRPr="00B94F93">
        <w:rPr>
          <w:rFonts w:cs="Times New Roman"/>
          <w:szCs w:val="24"/>
        </w:rPr>
        <w:t xml:space="preserve">Rodríguez Flores, </w:t>
      </w:r>
      <w:r w:rsidRPr="00B94F93">
        <w:rPr>
          <w:rFonts w:cs="Times New Roman"/>
          <w:i/>
          <w:iCs/>
          <w:szCs w:val="24"/>
        </w:rPr>
        <w:t>El perdón real</w:t>
      </w:r>
      <w:r w:rsidRPr="00B94F93">
        <w:rPr>
          <w:rFonts w:cs="Times New Roman"/>
          <w:szCs w:val="24"/>
        </w:rPr>
        <w:t xml:space="preserve">, 58; Victoria Sandoval Parra, </w:t>
      </w:r>
      <w:r w:rsidRPr="00B94F93">
        <w:rPr>
          <w:rFonts w:cs="Times New Roman"/>
          <w:i/>
          <w:iCs/>
          <w:szCs w:val="24"/>
        </w:rPr>
        <w:t>Manera de galardón: merced pecuniaria y extranjería en el siglo XVII</w:t>
      </w:r>
      <w:r w:rsidRPr="00B94F93">
        <w:rPr>
          <w:rFonts w:cs="Times New Roman"/>
          <w:szCs w:val="24"/>
        </w:rPr>
        <w:t>, Sección de obras de historia (Madrid: Fondo de Cultura Económica : Red Columnaria, 2014), 26.</w:t>
      </w:r>
      <w:r>
        <w:fldChar w:fldCharType="end"/>
      </w:r>
    </w:p>
  </w:footnote>
  <w:footnote w:id="28">
    <w:p w:rsidR="00EA1A07" w:rsidRPr="0042444A" w:rsidRDefault="00EA1A07" w:rsidP="00EA1A07">
      <w:pPr>
        <w:pStyle w:val="Textonotapie"/>
      </w:pPr>
      <w:r w:rsidRPr="00E40FE9">
        <w:rPr>
          <w:rStyle w:val="Refdenotaalpie"/>
        </w:rPr>
        <w:footnoteRef/>
      </w:r>
      <w:r>
        <w:t xml:space="preserve"> </w:t>
      </w:r>
      <w:r>
        <w:rPr>
          <w:i/>
        </w:rPr>
        <w:t>Partidas</w:t>
      </w:r>
      <w:r>
        <w:t xml:space="preserve"> 7, </w:t>
      </w:r>
      <w:proofErr w:type="spellStart"/>
      <w:r>
        <w:t>tit</w:t>
      </w:r>
      <w:proofErr w:type="spellEnd"/>
      <w:r>
        <w:t xml:space="preserve">. 32, ley 3. </w:t>
      </w:r>
    </w:p>
  </w:footnote>
  <w:footnote w:id="29">
    <w:p w:rsidR="00EA1A07" w:rsidRPr="00B773D2" w:rsidRDefault="00EA1A07" w:rsidP="00EA1A07">
      <w:pPr>
        <w:pStyle w:val="Textonotapie"/>
      </w:pPr>
      <w:r w:rsidRPr="00E40FE9">
        <w:rPr>
          <w:rStyle w:val="Refdenotaalpie"/>
        </w:rPr>
        <w:footnoteRef/>
      </w:r>
      <w:r>
        <w:t xml:space="preserve"> López de Cuéllar, </w:t>
      </w:r>
      <w:r>
        <w:rPr>
          <w:i/>
        </w:rPr>
        <w:t xml:space="preserve">Tratado </w:t>
      </w:r>
      <w:proofErr w:type="spellStart"/>
      <w:r>
        <w:rPr>
          <w:i/>
        </w:rPr>
        <w:t>iuridico-politico</w:t>
      </w:r>
      <w:proofErr w:type="spellEnd"/>
      <w:r>
        <w:t xml:space="preserve">, n. 65 y 67. </w:t>
      </w:r>
      <w:r w:rsidRPr="00B773D2">
        <w:t xml:space="preserve">“Semper prínceps favores et </w:t>
      </w:r>
      <w:proofErr w:type="spellStart"/>
      <w:r w:rsidRPr="00B773D2">
        <w:t>gratias</w:t>
      </w:r>
      <w:proofErr w:type="spellEnd"/>
      <w:r w:rsidRPr="00B773D2">
        <w:t xml:space="preserve"> </w:t>
      </w:r>
      <w:proofErr w:type="spellStart"/>
      <w:r w:rsidRPr="00B773D2">
        <w:t>subditis</w:t>
      </w:r>
      <w:proofErr w:type="spellEnd"/>
      <w:r w:rsidRPr="00B773D2">
        <w:t xml:space="preserve"> </w:t>
      </w:r>
      <w:proofErr w:type="spellStart"/>
      <w:r w:rsidRPr="00B773D2">
        <w:t>pollicetur</w:t>
      </w:r>
      <w:proofErr w:type="spellEnd"/>
      <w:r w:rsidRPr="00B773D2">
        <w:t xml:space="preserve">”, Gregorio López, glosa </w:t>
      </w:r>
      <w:proofErr w:type="spellStart"/>
      <w:r>
        <w:rPr>
          <w:i/>
        </w:rPr>
        <w:t>Faziendoles</w:t>
      </w:r>
      <w:proofErr w:type="spellEnd"/>
      <w:r>
        <w:rPr>
          <w:i/>
        </w:rPr>
        <w:t xml:space="preserve"> merced</w:t>
      </w:r>
      <w:r>
        <w:t xml:space="preserve"> a </w:t>
      </w:r>
      <w:r>
        <w:rPr>
          <w:i/>
        </w:rPr>
        <w:t>Partidas</w:t>
      </w:r>
      <w:r>
        <w:t xml:space="preserve"> 2, tít. 10, ley 2.</w:t>
      </w:r>
    </w:p>
  </w:footnote>
  <w:footnote w:id="30">
    <w:p w:rsidR="00EA1A07" w:rsidRDefault="00EA1A07" w:rsidP="00EA1A07">
      <w:pPr>
        <w:pStyle w:val="Textonotapie"/>
      </w:pPr>
      <w:r w:rsidRPr="00E40FE9">
        <w:rPr>
          <w:rStyle w:val="Refdenotaalpie"/>
        </w:rPr>
        <w:footnoteRef/>
      </w:r>
      <w:r>
        <w:t xml:space="preserve"> “Porque los </w:t>
      </w:r>
      <w:proofErr w:type="spellStart"/>
      <w:r>
        <w:t>meritos</w:t>
      </w:r>
      <w:proofErr w:type="spellEnd"/>
      <w:r>
        <w:t xml:space="preserve"> </w:t>
      </w:r>
      <w:proofErr w:type="spellStart"/>
      <w:r>
        <w:t>passados</w:t>
      </w:r>
      <w:proofErr w:type="spellEnd"/>
      <w:r>
        <w:t xml:space="preserve">, </w:t>
      </w:r>
      <w:proofErr w:type="spellStart"/>
      <w:r>
        <w:t>hazen</w:t>
      </w:r>
      <w:proofErr w:type="spellEnd"/>
      <w:r>
        <w:t xml:space="preserve"> olvidar delitos presentes, </w:t>
      </w:r>
      <w:proofErr w:type="spellStart"/>
      <w:r>
        <w:t>Tit</w:t>
      </w:r>
      <w:proofErr w:type="spellEnd"/>
      <w:r>
        <w:t xml:space="preserve">. </w:t>
      </w:r>
      <w:proofErr w:type="spellStart"/>
      <w:r>
        <w:t>Livi</w:t>
      </w:r>
      <w:proofErr w:type="spellEnd"/>
      <w:r>
        <w:t xml:space="preserve">. </w:t>
      </w:r>
      <w:proofErr w:type="spellStart"/>
      <w:r>
        <w:t>deca</w:t>
      </w:r>
      <w:proofErr w:type="spellEnd"/>
      <w:r>
        <w:t xml:space="preserve">. I, </w:t>
      </w:r>
      <w:proofErr w:type="spellStart"/>
      <w:r>
        <w:t>lib</w:t>
      </w:r>
      <w:proofErr w:type="spellEnd"/>
      <w:r>
        <w:t xml:space="preserve"> 7, </w:t>
      </w:r>
      <w:proofErr w:type="spellStart"/>
      <w:r>
        <w:t>fol</w:t>
      </w:r>
      <w:proofErr w:type="spellEnd"/>
      <w:r>
        <w:t xml:space="preserve"> </w:t>
      </w:r>
      <w:proofErr w:type="spellStart"/>
      <w:r>
        <w:t>mihi</w:t>
      </w:r>
      <w:proofErr w:type="spellEnd"/>
      <w:r>
        <w:t xml:space="preserve"> 166.ibi: </w:t>
      </w:r>
      <w:proofErr w:type="spellStart"/>
      <w:r>
        <w:t>Movit</w:t>
      </w:r>
      <w:proofErr w:type="spellEnd"/>
      <w:r>
        <w:t xml:space="preserve"> </w:t>
      </w:r>
      <w:proofErr w:type="spellStart"/>
      <w:r>
        <w:t>Populum</w:t>
      </w:r>
      <w:proofErr w:type="spellEnd"/>
      <w:r>
        <w:t xml:space="preserve"> non </w:t>
      </w:r>
      <w:proofErr w:type="spellStart"/>
      <w:r>
        <w:t>tamca</w:t>
      </w:r>
      <w:proofErr w:type="spellEnd"/>
      <w:r>
        <w:t xml:space="preserve"> fa </w:t>
      </w:r>
      <w:proofErr w:type="spellStart"/>
      <w:r>
        <w:t>præsens</w:t>
      </w:r>
      <w:proofErr w:type="spellEnd"/>
      <w:r>
        <w:t xml:space="preserve"> </w:t>
      </w:r>
      <w:proofErr w:type="spellStart"/>
      <w:r>
        <w:t>quam</w:t>
      </w:r>
      <w:proofErr w:type="spellEnd"/>
      <w:r>
        <w:t xml:space="preserve"> </w:t>
      </w:r>
      <w:proofErr w:type="spellStart"/>
      <w:r>
        <w:t>vetus</w:t>
      </w:r>
      <w:proofErr w:type="spellEnd"/>
      <w:r>
        <w:t xml:space="preserve"> </w:t>
      </w:r>
      <w:proofErr w:type="spellStart"/>
      <w:r>
        <w:t>meritum</w:t>
      </w:r>
      <w:proofErr w:type="spellEnd"/>
      <w:r>
        <w:t xml:space="preserve">, ut </w:t>
      </w:r>
      <w:proofErr w:type="spellStart"/>
      <w:r>
        <w:t>maleficii</w:t>
      </w:r>
      <w:proofErr w:type="spellEnd"/>
      <w:r>
        <w:t xml:space="preserve"> </w:t>
      </w:r>
      <w:proofErr w:type="spellStart"/>
      <w:r>
        <w:t>quam</w:t>
      </w:r>
      <w:proofErr w:type="spellEnd"/>
      <w:r>
        <w:t xml:space="preserve"> </w:t>
      </w:r>
      <w:proofErr w:type="spellStart"/>
      <w:r>
        <w:t>beneficii</w:t>
      </w:r>
      <w:proofErr w:type="spellEnd"/>
      <w:r>
        <w:t xml:space="preserve"> </w:t>
      </w:r>
      <w:proofErr w:type="spellStart"/>
      <w:r>
        <w:t>potius</w:t>
      </w:r>
      <w:proofErr w:type="spellEnd"/>
      <w:r>
        <w:t xml:space="preserve"> </w:t>
      </w:r>
      <w:proofErr w:type="spellStart"/>
      <w:r>
        <w:t>immemores</w:t>
      </w:r>
      <w:proofErr w:type="spellEnd"/>
      <w:r>
        <w:t xml:space="preserve"> </w:t>
      </w:r>
      <w:proofErr w:type="spellStart"/>
      <w:r>
        <w:t>essent</w:t>
      </w:r>
      <w:proofErr w:type="spellEnd"/>
      <w:r>
        <w:t xml:space="preserve">. Y con </w:t>
      </w:r>
      <w:proofErr w:type="spellStart"/>
      <w:r>
        <w:t>razon</w:t>
      </w:r>
      <w:proofErr w:type="spellEnd"/>
      <w:r>
        <w:t xml:space="preserve">, pues los que han adquirido </w:t>
      </w:r>
      <w:proofErr w:type="spellStart"/>
      <w:r>
        <w:t>creditos</w:t>
      </w:r>
      <w:proofErr w:type="spellEnd"/>
      <w:r>
        <w:t xml:space="preserve"> con sus procedimientos merecen, que sus errores, se presuman aciertos. […]Y aunque es verdad que la causa publica pide contra todos el castigo, es </w:t>
      </w:r>
      <w:proofErr w:type="spellStart"/>
      <w:r>
        <w:t>vtilizada</w:t>
      </w:r>
      <w:proofErr w:type="spellEnd"/>
      <w:r>
        <w:t xml:space="preserve"> mas en el </w:t>
      </w:r>
      <w:proofErr w:type="spellStart"/>
      <w:r>
        <w:t>perdon</w:t>
      </w:r>
      <w:proofErr w:type="spellEnd"/>
      <w:r>
        <w:t xml:space="preserve"> de semejantes personas.” López de Cuéllar, </w:t>
      </w:r>
      <w:r>
        <w:rPr>
          <w:i/>
        </w:rPr>
        <w:t xml:space="preserve">Tratado </w:t>
      </w:r>
      <w:proofErr w:type="spellStart"/>
      <w:r>
        <w:rPr>
          <w:i/>
        </w:rPr>
        <w:t>iuridico-politico</w:t>
      </w:r>
      <w:proofErr w:type="spellEnd"/>
      <w:r>
        <w:t>, n. 70-71 y 74.</w:t>
      </w:r>
    </w:p>
  </w:footnote>
  <w:footnote w:id="31">
    <w:p w:rsidR="00EA1A07" w:rsidRDefault="00EA1A07" w:rsidP="00EA1A07">
      <w:pPr>
        <w:pStyle w:val="Textonotapie"/>
      </w:pPr>
      <w:r w:rsidRPr="00E40FE9">
        <w:rPr>
          <w:rStyle w:val="Refdenotaalpie"/>
        </w:rPr>
        <w:footnoteRef/>
      </w:r>
      <w:r>
        <w:t xml:space="preserve"> </w:t>
      </w:r>
      <w:r>
        <w:fldChar w:fldCharType="begin"/>
      </w:r>
      <w:r w:rsidR="007700D3">
        <w:instrText xml:space="preserve"> ADDIN ZOTERO_ITEM CSL_CITATION {"citationID":"0yRxC5FU","properties":{"formattedCitation":"Sandoval Parra, {\\i{}Manera de galard\\uc0\\u243{}n}, 29; Rodr\\uc0\\u237{}guez Flores, {\\i{}El perd\\uc0\\u243{}n real}, 25.","plainCitation":"Sandoval Parra, Manera de galardón, 29; Rodríguez Flores, El perdón real, 25.","noteIndex":31},"citationItems":[{"id":7785,"uris":["http://zotero.org/users/163570/items/83GJ79B9"],"uri":["http://zotero.org/users/163570/items/83GJ79B9"],"itemData":{"id":7785,"type":"book","title":"Manera de galardón: merced pecuniaria y extranjería en el siglo XVII","collection-title":"Sección de obras de historia","publisher":"Fondo de Cultura Económica : Red Columnaria","publisher-place":"Madrid","number-of-pages":"428","source":"Library of Congress ISBN","event-place":"Madrid","ISBN":"978-84-375-0695-1","call-number":"DP171 .S36 2014","note":"OCLC: ocn889935631","shortTitle":"Manera de galardón","author":[{"family":"Sandoval Parra","given":"Victoria"}],"issued":{"date-parts":[["2014"]]}},"locator":"29","label":"page"},{"id":2654,"uris":["http://zotero.org/users/163570/items/APZE9XAC"],"uri":["http://zotero.org/users/163570/items/APZE9XAC"],"itemData":{"id":2654,"type":"book","title":"El perdón real en Castilla (siglos XIII-XVIII)","publisher":"Universidad de Salamanca","publisher-place":"Salamanca","number-of-pages":"284","source":"Google Books","event-place":"Salamanca","ISBN":"978-84-7481-917-5","shortTitle":"El perdón real","language":"es","author":[{"family":"Rodríguez Flores","given":"María Inmaculada"}],"issued":{"date-parts":[["1971"]]}},"locator":"25","label":"page"}],"schema":"https://github.com/citation-style-language/schema/raw/master/csl-citation.json"} </w:instrText>
      </w:r>
      <w:r>
        <w:fldChar w:fldCharType="separate"/>
      </w:r>
      <w:r w:rsidRPr="00EB3702">
        <w:rPr>
          <w:rFonts w:cs="Times New Roman"/>
          <w:szCs w:val="24"/>
        </w:rPr>
        <w:t xml:space="preserve">Sandoval Parra, </w:t>
      </w:r>
      <w:r w:rsidRPr="00EB3702">
        <w:rPr>
          <w:rFonts w:cs="Times New Roman"/>
          <w:i/>
          <w:iCs/>
          <w:szCs w:val="24"/>
        </w:rPr>
        <w:t>Manera de galardón</w:t>
      </w:r>
      <w:r w:rsidRPr="00EB3702">
        <w:rPr>
          <w:rFonts w:cs="Times New Roman"/>
          <w:szCs w:val="24"/>
        </w:rPr>
        <w:t xml:space="preserve">, 29; Rodríguez Flores, </w:t>
      </w:r>
      <w:r w:rsidRPr="00EB3702">
        <w:rPr>
          <w:rFonts w:cs="Times New Roman"/>
          <w:i/>
          <w:iCs/>
          <w:szCs w:val="24"/>
        </w:rPr>
        <w:t>El perdón real</w:t>
      </w:r>
      <w:r w:rsidRPr="00EB3702">
        <w:rPr>
          <w:rFonts w:cs="Times New Roman"/>
          <w:szCs w:val="24"/>
        </w:rPr>
        <w:t>, 25.</w:t>
      </w:r>
      <w:r>
        <w:fldChar w:fldCharType="end"/>
      </w:r>
    </w:p>
  </w:footnote>
  <w:footnote w:id="32">
    <w:p w:rsidR="00EA1A07" w:rsidRDefault="00EA1A07" w:rsidP="00EA1A07">
      <w:pPr>
        <w:pStyle w:val="Textonotapie"/>
      </w:pPr>
      <w:r w:rsidRPr="00E40FE9">
        <w:rPr>
          <w:rStyle w:val="Refdenotaalpie"/>
        </w:rPr>
        <w:footnoteRef/>
      </w:r>
      <w:r>
        <w:t xml:space="preserve"> “E gracia non es perdonamiento, mas es don que </w:t>
      </w:r>
      <w:proofErr w:type="spellStart"/>
      <w:r>
        <w:t>faze</w:t>
      </w:r>
      <w:proofErr w:type="spellEnd"/>
      <w:r>
        <w:t xml:space="preserve"> el Rey a algunos que con derecho se puede </w:t>
      </w:r>
      <w:proofErr w:type="spellStart"/>
      <w:r>
        <w:t>escusar</w:t>
      </w:r>
      <w:proofErr w:type="spellEnd"/>
      <w:r>
        <w:t xml:space="preserve"> de lo </w:t>
      </w:r>
      <w:proofErr w:type="spellStart"/>
      <w:r>
        <w:t>fazer</w:t>
      </w:r>
      <w:proofErr w:type="spellEnd"/>
      <w:r>
        <w:t xml:space="preserve">, si quisiere.” </w:t>
      </w:r>
      <w:r>
        <w:rPr>
          <w:i/>
        </w:rPr>
        <w:t>Partidas</w:t>
      </w:r>
      <w:r>
        <w:t xml:space="preserve"> 7, tít. 32, ley 3. </w:t>
      </w:r>
      <w:r>
        <w:fldChar w:fldCharType="begin"/>
      </w:r>
      <w:r w:rsidR="007700D3">
        <w:instrText xml:space="preserve"> ADDIN ZOTERO_ITEM CSL_CITATION {"citationID":"YG84meGw","properties":{"formattedCitation":"Sandoval Parra, {\\i{}Manera de galard\\uc0\\u243{}n}, 28.","plainCitation":"Sandoval Parra, Manera de galardón, 28.","noteIndex":32},"citationItems":[{"id":7785,"uris":["http://zotero.org/users/163570/items/83GJ79B9"],"uri":["http://zotero.org/users/163570/items/83GJ79B9"],"itemData":{"id":7785,"type":"book","title":"Manera de galardón: merced pecuniaria y extranjería en el siglo XVII","collection-title":"Sección de obras de historia","publisher":"Fondo de Cultura Económica : Red Columnaria","publisher-place":"Madrid","number-of-pages":"428","source":"Library of Congress ISBN","event-place":"Madrid","ISBN":"978-84-375-0695-1","call-number":"DP171 .S36 2014","note":"OCLC: ocn889935631","shortTitle":"Manera de galardón","author":[{"family":"Sandoval Parra","given":"Victoria"}],"issued":{"date-parts":[["2014"]]}},"locator":"28","label":"page"}],"schema":"https://github.com/citation-style-language/schema/raw/master/csl-citation.json"} </w:instrText>
      </w:r>
      <w:r>
        <w:fldChar w:fldCharType="separate"/>
      </w:r>
      <w:r w:rsidRPr="00EB3702">
        <w:rPr>
          <w:rFonts w:cs="Times New Roman"/>
          <w:szCs w:val="24"/>
        </w:rPr>
        <w:t xml:space="preserve">Sandoval Parra, </w:t>
      </w:r>
      <w:r w:rsidRPr="00EB3702">
        <w:rPr>
          <w:rFonts w:cs="Times New Roman"/>
          <w:i/>
          <w:iCs/>
          <w:szCs w:val="24"/>
        </w:rPr>
        <w:t>Manera de galardón</w:t>
      </w:r>
      <w:r w:rsidRPr="00EB3702">
        <w:rPr>
          <w:rFonts w:cs="Times New Roman"/>
          <w:szCs w:val="24"/>
        </w:rPr>
        <w:t>, 28.</w:t>
      </w:r>
      <w:r>
        <w:fldChar w:fldCharType="end"/>
      </w:r>
    </w:p>
  </w:footnote>
  <w:footnote w:id="33">
    <w:p w:rsidR="00EA1A07" w:rsidRPr="00131A0A" w:rsidRDefault="00EA1A07" w:rsidP="00EA1A07">
      <w:pPr>
        <w:pStyle w:val="Textonotapie"/>
      </w:pPr>
      <w:r w:rsidRPr="00E40FE9">
        <w:rPr>
          <w:rStyle w:val="Refdenotaalpie"/>
        </w:rPr>
        <w:footnoteRef/>
      </w:r>
      <w:r>
        <w:t xml:space="preserve"> Rodríguez Flores encontró que durante el siglo XVII la mayor parte de los perdones concedidos en Castilla lo fueron “al sacar”, emulando las llamadas “gracias al sacar” utilizadas para obtener mercedes reales. </w:t>
      </w:r>
      <w:r>
        <w:fldChar w:fldCharType="begin"/>
      </w:r>
      <w:r w:rsidR="007700D3">
        <w:instrText xml:space="preserve"> ADDIN ZOTERO_ITEM CSL_CITATION {"citationID":"lrIt9cXN","properties":{"formattedCitation":"Rodr\\uc0\\u237{}guez Flores, {\\i{}El perd\\uc0\\u243{}n real}, 66\\uc0\\u8211{}69.","plainCitation":"Rodríguez Flores, El perdón real, 66–69.","noteIndex":33},"citationItems":[{"id":2654,"uris":["http://zotero.org/users/163570/items/APZE9XAC"],"uri":["http://zotero.org/users/163570/items/APZE9XAC"],"itemData":{"id":2654,"type":"book","title":"El perdón real en Castilla (siglos XIII-XVIII)","publisher":"Universidad de Salamanca","publisher-place":"Salamanca","number-of-pages":"284","source":"Google Books","event-place":"Salamanca","ISBN":"978-84-7481-917-5","shortTitle":"El perdón real","language":"es","author":[{"family":"Rodríguez Flores","given":"María Inmaculada"}],"issued":{"date-parts":[["1971"]]}},"locator":"66-69","label":"page"}],"schema":"https://github.com/citation-style-language/schema/raw/master/csl-citation.json"} </w:instrText>
      </w:r>
      <w:r>
        <w:fldChar w:fldCharType="separate"/>
      </w:r>
      <w:r w:rsidRPr="00EB3702">
        <w:rPr>
          <w:rFonts w:cs="Times New Roman"/>
          <w:szCs w:val="24"/>
        </w:rPr>
        <w:t xml:space="preserve">Rodríguez Flores, </w:t>
      </w:r>
      <w:r w:rsidRPr="00EB3702">
        <w:rPr>
          <w:rFonts w:cs="Times New Roman"/>
          <w:i/>
          <w:iCs/>
          <w:szCs w:val="24"/>
        </w:rPr>
        <w:t>El perdón real</w:t>
      </w:r>
      <w:r w:rsidRPr="00EB3702">
        <w:rPr>
          <w:rFonts w:cs="Times New Roman"/>
          <w:szCs w:val="24"/>
        </w:rPr>
        <w:t>, 66–69.</w:t>
      </w:r>
      <w:r>
        <w:fldChar w:fldCharType="end"/>
      </w:r>
      <w:r>
        <w:t xml:space="preserve"> Rudy </w:t>
      </w:r>
      <w:proofErr w:type="spellStart"/>
      <w:r>
        <w:t>Chaulet</w:t>
      </w:r>
      <w:proofErr w:type="spellEnd"/>
      <w:r>
        <w:t xml:space="preserve"> precisó que este tipo de perdones se extendieron durante el periodo de 1600 a 1660, con un mayor auge entre 1615 y 1635, coincidiendo con la crisis financiera que vivió la monarquía durante los reinados de Felipe III y IV. </w:t>
      </w:r>
      <w:r>
        <w:fldChar w:fldCharType="begin"/>
      </w:r>
      <w:r w:rsidR="007700D3">
        <w:instrText xml:space="preserve"> ADDIN ZOTERO_ITEM CSL_CITATION {"citationID":"kPCBGvHa","properties":{"formattedCitation":"{\\i{}Crimes, rixes et bruits d\\uc0\\u8217{}\\uc0\\u233{}p\\uc0\\u233{}es: homicides pardonn\\uc0\\u233{}s en Castille au si\\uc0\\u232{}cle d\\uc0\\u8217{}or}, Espagne m\\uc0\\u233{}di\\uc0\\u233{}vale et moderne 11 (Montpellier: Presses Universitaires de la M\\uc0\\u233{}diterran\\uc0\\u233{}e, 2007), 375\\uc0\\u8211{}76.","plainCitation":"Crimes, rixes et bruits d’épées: homicides pardonnés en Castille au siècle d’or, Espagne médiévale et moderne 11 (Montpellier: Presses Universitaires de la Méditerranée, 2007), 375–76.","noteIndex":33},"citationItems":[{"id":8002,"uris":["http://zotero.org/users/163570/items/GERVJL77"],"uri":["http://zotero.org/users/163570/items/GERVJL77"],"itemData":{"id":8002,"type":"book","title":"Crimes, rixes et bruits d'épées: homicides pardonnés en Castille au siècle d'or","collection-title":"Espagne médiévale et moderne","collection-number":"11","publisher":"Presses Universitaires de la Méditerranée","publisher-place":"Montpellier","number-of-pages":"473","source":"Open WorldCat","event-place":"Montpellier","ISBN":"978-2-84269-817-1","note":"OCLC: 837032490","shortTitle":"Crimes, rixes et bruits d'épées","language":"fre","author":[{"family":"Chaulet","given":"Rudy"}],"issued":{"date-parts":[["2007"]]}},"locator":"375-376","label":"page","suppress-author":true}],"schema":"https://github.com/citation-style-language/schema/raw/master/csl-citation.json"} </w:instrText>
      </w:r>
      <w:r>
        <w:fldChar w:fldCharType="separate"/>
      </w:r>
      <w:r w:rsidR="00902918" w:rsidRPr="00902918">
        <w:rPr>
          <w:rFonts w:cs="Times New Roman"/>
          <w:i/>
          <w:iCs/>
          <w:szCs w:val="24"/>
          <w:lang w:val="fr-FR"/>
        </w:rPr>
        <w:t>Crimes, rixes et bruits d’épées: homicides pardonnés en Castille au siècle d’or</w:t>
      </w:r>
      <w:r w:rsidR="00902918" w:rsidRPr="00902918">
        <w:rPr>
          <w:rFonts w:cs="Times New Roman"/>
          <w:szCs w:val="24"/>
          <w:lang w:val="fr-FR"/>
        </w:rPr>
        <w:t>, Espagne médiévale et moderne 11 (Montpellier: Presses Universitaires de la Méditerranée, 2007), 375–76.</w:t>
      </w:r>
      <w:r>
        <w:fldChar w:fldCharType="end"/>
      </w:r>
      <w:r w:rsidRPr="00902918">
        <w:rPr>
          <w:lang w:val="fr-FR"/>
        </w:rPr>
        <w:t xml:space="preserve"> </w:t>
      </w:r>
      <w:r w:rsidRPr="00131A0A">
        <w:t>Sin embargo</w:t>
      </w:r>
      <w:r>
        <w:t xml:space="preserve">, </w:t>
      </w:r>
      <w:proofErr w:type="spellStart"/>
      <w:r>
        <w:t>Tamar</w:t>
      </w:r>
      <w:proofErr w:type="spellEnd"/>
      <w:r>
        <w:t xml:space="preserve"> </w:t>
      </w:r>
      <w:proofErr w:type="spellStart"/>
      <w:r>
        <w:t>Herzog</w:t>
      </w:r>
      <w:proofErr w:type="spellEnd"/>
      <w:r>
        <w:t xml:space="preserve"> mostró que para el caso de Quito</w:t>
      </w:r>
      <w:r w:rsidRPr="00131A0A">
        <w:t xml:space="preserve"> </w:t>
      </w:r>
      <w:r>
        <w:t>“</w:t>
      </w:r>
      <w:r w:rsidRPr="00131A0A">
        <w:t>Su venta</w:t>
      </w:r>
      <w:r>
        <w:t xml:space="preserve"> [de los indultos]</w:t>
      </w:r>
      <w:r w:rsidRPr="00131A0A">
        <w:t>, si se fue prac</w:t>
      </w:r>
      <w:r>
        <w:t xml:space="preserve">ticada, no dejó huellas en los autos.” </w:t>
      </w:r>
      <w:r>
        <w:fldChar w:fldCharType="begin"/>
      </w:r>
      <w:r w:rsidR="007700D3">
        <w:instrText xml:space="preserve"> ADDIN ZOTERO_ITEM CSL_CITATION {"citationID":"ZHpyylZT","properties":{"formattedCitation":"{\\i{}La administraci\\uc0\\u243{}n como un fen\\uc0\\u243{}meno social: la justicia penal de la ciudad de Quito (1650 - 1750)}, Historia de la sociedad pol\\uc0\\u237{}tica (Madrid: Centro de Estudios Constitucionales, 1995), 249\\uc0\\u8211{}50.","plainCitation":"La administración como un fenómeno social: la justicia penal de la ciudad de Quito (1650 - 1750), Historia de la sociedad política (Madrid: Centro de Estudios Constitucionales, 1995), 249–50.","noteIndex":33},"citationItems":[{"id":8027,"uris":["http://zotero.org/users/163570/items/WNQSRIKP"],"uri":["http://zotero.org/users/163570/items/WNQSRIKP"],"itemData":{"id":8027,"type":"book","title":"La administración como un fenómeno social: la justicia penal de la ciudad de Quito (1650 - 1750)","collection-title":"Historia de la sociedad política","publisher":"Centro de Estudios Constitucionales","publisher-place":"Madrid","number-of-pages":"352","source":"Open WorldCat","event-place":"Madrid","ISBN":"978-84-259-0984-9","note":"OCLC: 833160334","shortTitle":"La administración como un fenómeno social","language":"spa","author":[{"family":"Herzog","given":"Tamar"}],"issued":{"date-parts":[["1995"]]}},"locator":"249-250","label":"page","suppress-author":true}],"schema":"https://github.com/citation-style-language/schema/raw/master/csl-citation.json"} </w:instrText>
      </w:r>
      <w:r>
        <w:fldChar w:fldCharType="separate"/>
      </w:r>
      <w:r w:rsidR="00902918" w:rsidRPr="00902918">
        <w:rPr>
          <w:rFonts w:cs="Times New Roman"/>
          <w:i/>
          <w:iCs/>
          <w:szCs w:val="24"/>
        </w:rPr>
        <w:t>La administración como un fenómeno social: la justicia penal de la ciudad de Quito (1650 - 1750)</w:t>
      </w:r>
      <w:r w:rsidR="00902918" w:rsidRPr="00902918">
        <w:rPr>
          <w:rFonts w:cs="Times New Roman"/>
          <w:szCs w:val="24"/>
        </w:rPr>
        <w:t>, Historia de la sociedad política (Madrid: Centro de Estudios Constitucionales, 1995), 249–50.</w:t>
      </w:r>
      <w:r>
        <w:fldChar w:fldCharType="end"/>
      </w:r>
    </w:p>
  </w:footnote>
  <w:footnote w:id="34">
    <w:p w:rsidR="00EA1A07" w:rsidRPr="00AD7363" w:rsidRDefault="00EA1A07" w:rsidP="00EA1A07">
      <w:pPr>
        <w:pStyle w:val="Textonotapie"/>
      </w:pPr>
      <w:r w:rsidRPr="00E40FE9">
        <w:rPr>
          <w:rStyle w:val="Refdenotaalpie"/>
        </w:rPr>
        <w:footnoteRef/>
      </w:r>
      <w:r w:rsidRPr="00AD7363">
        <w:t xml:space="preserve"> </w:t>
      </w:r>
      <w:proofErr w:type="spellStart"/>
      <w:r w:rsidRPr="00AD7363">
        <w:t>Matheu</w:t>
      </w:r>
      <w:proofErr w:type="spellEnd"/>
      <w:r w:rsidRPr="00AD7363">
        <w:t xml:space="preserve"> i Sanz, </w:t>
      </w:r>
      <w:proofErr w:type="spellStart"/>
      <w:r w:rsidRPr="00AD7363">
        <w:rPr>
          <w:i/>
        </w:rPr>
        <w:t>Tractatus</w:t>
      </w:r>
      <w:proofErr w:type="spellEnd"/>
      <w:r w:rsidRPr="00AD7363">
        <w:rPr>
          <w:i/>
        </w:rPr>
        <w:t xml:space="preserve"> de re </w:t>
      </w:r>
      <w:proofErr w:type="spellStart"/>
      <w:r w:rsidRPr="00AD7363">
        <w:rPr>
          <w:i/>
        </w:rPr>
        <w:t>criminali</w:t>
      </w:r>
      <w:proofErr w:type="spellEnd"/>
      <w:r w:rsidRPr="00AD7363">
        <w:t>, controversia XXI, n. 47.</w:t>
      </w:r>
    </w:p>
  </w:footnote>
  <w:footnote w:id="35">
    <w:p w:rsidR="00EA1A07" w:rsidRDefault="00EA1A07" w:rsidP="00EA1A07">
      <w:pPr>
        <w:pStyle w:val="Textonotapie"/>
      </w:pPr>
      <w:r w:rsidRPr="00E40FE9">
        <w:rPr>
          <w:rStyle w:val="Refdenotaalpie"/>
        </w:rPr>
        <w:footnoteRef/>
      </w:r>
      <w:r>
        <w:t xml:space="preserve"> Esta conmutación habría sido implementada por Carlos V para delitos graves como hurtos, robos, salteamientos y fuerza. </w:t>
      </w:r>
      <w:r>
        <w:fldChar w:fldCharType="begin"/>
      </w:r>
      <w:r w:rsidR="007700D3">
        <w:instrText xml:space="preserve"> ADDIN ZOTERO_ITEM CSL_CITATION {"citationID":"Me8tgtYU","properties":{"formattedCitation":"Jos\\uc0\\u233{} Luis de las Heras Santos, {\\i{}La justicia penal de los Austrias en la Corona de Castilla} (Salamanca: Universidad de Salamanca, 1991), 304.","plainCitation":"José Luis de las Heras Santos, La justicia penal de los Austrias en la Corona de Castilla (Salamanca: Universidad de Salamanca, 1991), 304.","noteIndex":35},"citationItems":[{"id":8000,"uris":["http://zotero.org/users/163570/items/Y72FNGC9"],"uri":["http://zotero.org/users/163570/items/Y72FNGC9"],"itemData":{"id":8000,"type":"book","title":"La justicia penal de los Austrias en la Corona de Castilla","publisher":"Universidad de Salamanca","publisher-place":"Salamanca","number-of-pages":"382","source":"Google Books","event-place":"Salamanca","ISBN":"978-84-7481-653-2","note":"Google-Books-ID: vSXkTntm6vYC","language":"es","author":[{"family":"Heras Santos","given":"José Luis","dropping-particle":"de las"}],"issued":{"date-parts":[["1991"]]}},"locator":"304","label":"page"}],"schema":"https://github.com/citation-style-language/schema/raw/master/csl-citation.json"} </w:instrText>
      </w:r>
      <w:r>
        <w:fldChar w:fldCharType="separate"/>
      </w:r>
      <w:r w:rsidRPr="00EB3702">
        <w:rPr>
          <w:rFonts w:cs="Times New Roman"/>
          <w:szCs w:val="24"/>
        </w:rPr>
        <w:t xml:space="preserve">José Luis de las Heras Santos, </w:t>
      </w:r>
      <w:r w:rsidRPr="00EB3702">
        <w:rPr>
          <w:rFonts w:cs="Times New Roman"/>
          <w:i/>
          <w:iCs/>
          <w:szCs w:val="24"/>
        </w:rPr>
        <w:t>La justicia penal de los Austrias en la Corona de Castilla</w:t>
      </w:r>
      <w:r w:rsidRPr="00EB3702">
        <w:rPr>
          <w:rFonts w:cs="Times New Roman"/>
          <w:szCs w:val="24"/>
        </w:rPr>
        <w:t xml:space="preserve"> (Salamanca: Universidad de Salamanca, 1991), 304.</w:t>
      </w:r>
      <w:r>
        <w:fldChar w:fldCharType="end"/>
      </w:r>
      <w:r>
        <w:t xml:space="preserve"> </w:t>
      </w:r>
    </w:p>
  </w:footnote>
  <w:footnote w:id="36">
    <w:p w:rsidR="00EA1A07" w:rsidRDefault="00EA1A07" w:rsidP="00EA1A07">
      <w:pPr>
        <w:pStyle w:val="Textonotapie"/>
      </w:pPr>
      <w:r w:rsidRPr="00E40FE9">
        <w:rPr>
          <w:rStyle w:val="Refdenotaalpie"/>
        </w:rPr>
        <w:footnoteRef/>
      </w:r>
      <w:r>
        <w:t xml:space="preserve"> </w:t>
      </w:r>
      <w:r>
        <w:fldChar w:fldCharType="begin"/>
      </w:r>
      <w:r w:rsidR="007700D3">
        <w:instrText xml:space="preserve"> ADDIN ZOTERO_ITEM CSL_CITATION {"citationID":"OhiVZDue","properties":{"formattedCitation":"Rodr\\uc0\\u237{}guez Flores, {\\i{}El perd\\uc0\\u243{}n real}, 90.","plainCitation":"Rodríguez Flores, El perdón real, 90.","noteIndex":36},"citationItems":[{"id":2654,"uris":["http://zotero.org/users/163570/items/APZE9XAC"],"uri":["http://zotero.org/users/163570/items/APZE9XAC"],"itemData":{"id":2654,"type":"book","title":"El perdón real en Castilla (siglos XIII-XVIII)","publisher":"Universidad de Salamanca","publisher-place":"Salamanca","number-of-pages":"284","source":"Google Books","event-place":"Salamanca","ISBN":"978-84-7481-917-5","shortTitle":"El perdón real","language":"es","author":[{"family":"Rodríguez Flores","given":"María Inmaculada"}],"issued":{"date-parts":[["1971"]]}},"locator":"90","label":"page"}],"schema":"https://github.com/citation-style-language/schema/raw/master/csl-citation.json"} </w:instrText>
      </w:r>
      <w:r>
        <w:fldChar w:fldCharType="separate"/>
      </w:r>
      <w:r w:rsidRPr="00EB3702">
        <w:rPr>
          <w:rFonts w:cs="Times New Roman"/>
          <w:szCs w:val="24"/>
        </w:rPr>
        <w:t xml:space="preserve">Rodríguez Flores, </w:t>
      </w:r>
      <w:r w:rsidRPr="00EB3702">
        <w:rPr>
          <w:rFonts w:cs="Times New Roman"/>
          <w:i/>
          <w:iCs/>
          <w:szCs w:val="24"/>
        </w:rPr>
        <w:t>El perdón real</w:t>
      </w:r>
      <w:r w:rsidRPr="00EB3702">
        <w:rPr>
          <w:rFonts w:cs="Times New Roman"/>
          <w:szCs w:val="24"/>
        </w:rPr>
        <w:t>, 90.</w:t>
      </w:r>
      <w:r>
        <w:fldChar w:fldCharType="end"/>
      </w:r>
      <w:r>
        <w:t xml:space="preserve"> </w:t>
      </w:r>
      <w:proofErr w:type="spellStart"/>
      <w:r>
        <w:t>Tamar</w:t>
      </w:r>
      <w:proofErr w:type="spellEnd"/>
      <w:r>
        <w:t xml:space="preserve"> </w:t>
      </w:r>
      <w:proofErr w:type="spellStart"/>
      <w:r>
        <w:t>Herzog</w:t>
      </w:r>
      <w:proofErr w:type="spellEnd"/>
      <w:r>
        <w:t xml:space="preserve"> habla del “enfoque utilitario de los indultos” para el caso quiteño entre 1650 y 1750, ya que en la mayoría de los casos el indulto se otorgaba en forma de conmutación para servir como soldados a Chile y Guayaquil. </w:t>
      </w:r>
      <w:proofErr w:type="spellStart"/>
      <w:r>
        <w:t>Herzog</w:t>
      </w:r>
      <w:proofErr w:type="spellEnd"/>
      <w:r>
        <w:t xml:space="preserve"> encontró que “El indulto dado a delincuentes soldados [sic] respondía a las necesidades de la administración más que al carácter del crimen o del criminal. Se otorgaba en años de mayor tensión militar y en los que los ataques de los piratas parecían eminentes”. </w:t>
      </w:r>
      <w:r>
        <w:fldChar w:fldCharType="begin"/>
      </w:r>
      <w:r w:rsidR="007700D3">
        <w:instrText xml:space="preserve"> ADDIN ZOTERO_ITEM CSL_CITATION {"citationID":"qujkLk2Y","properties":{"formattedCitation":"Herzog, {\\i{}La administraci\\uc0\\u243{}n como un fen\\uc0\\u243{}meno social}, 248\\uc0\\u8211{}49.","plainCitation":"Herzog, La administración como un fenómeno social, 248–49.","noteIndex":36},"citationItems":[{"id":8027,"uris":["http://zotero.org/users/163570/items/WNQSRIKP"],"uri":["http://zotero.org/users/163570/items/WNQSRIKP"],"itemData":{"id":8027,"type":"book","title":"La administración como un fenómeno social: la justicia penal de la ciudad de Quito (1650 - 1750)","collection-title":"Historia de la sociedad política","publisher":"Centro de Estudios Constitucionales","publisher-place":"Madrid","number-of-pages":"352","source":"Open WorldCat","event-place":"Madrid","ISBN":"978-84-259-0984-9","note":"OCLC: 833160334","shortTitle":"La administración como un fenómeno social","language":"spa","author":[{"family":"Herzog","given":"Tamar"}],"issued":{"date-parts":[["1995"]]}},"locator":"248-249","label":"page"}],"schema":"https://github.com/citation-style-language/schema/raw/master/csl-citation.json"} </w:instrText>
      </w:r>
      <w:r>
        <w:fldChar w:fldCharType="separate"/>
      </w:r>
      <w:r w:rsidRPr="00EB3702">
        <w:rPr>
          <w:rFonts w:cs="Times New Roman"/>
          <w:szCs w:val="24"/>
        </w:rPr>
        <w:t xml:space="preserve">Herzog, </w:t>
      </w:r>
      <w:r w:rsidRPr="00EB3702">
        <w:rPr>
          <w:rFonts w:cs="Times New Roman"/>
          <w:i/>
          <w:iCs/>
          <w:szCs w:val="24"/>
        </w:rPr>
        <w:t>La administración como un fenómeno social</w:t>
      </w:r>
      <w:r w:rsidRPr="00EB3702">
        <w:rPr>
          <w:rFonts w:cs="Times New Roman"/>
          <w:szCs w:val="24"/>
        </w:rPr>
        <w:t>, 248–49.</w:t>
      </w:r>
      <w:r>
        <w:fldChar w:fldCharType="end"/>
      </w:r>
    </w:p>
  </w:footnote>
  <w:footnote w:id="37">
    <w:p w:rsidR="00EA1A07" w:rsidRPr="005A745D" w:rsidRDefault="00EA1A07" w:rsidP="00EA1A07">
      <w:pPr>
        <w:pStyle w:val="Textonotapie"/>
      </w:pPr>
      <w:r w:rsidRPr="00E40FE9">
        <w:rPr>
          <w:rStyle w:val="Refdenotaalpie"/>
        </w:rPr>
        <w:footnoteRef/>
      </w:r>
      <w:r>
        <w:t xml:space="preserve"> “Causa publica </w:t>
      </w:r>
      <w:proofErr w:type="spellStart"/>
      <w:r>
        <w:t>utilitatis</w:t>
      </w:r>
      <w:proofErr w:type="spellEnd"/>
      <w:r>
        <w:t xml:space="preserve"> </w:t>
      </w:r>
      <w:proofErr w:type="spellStart"/>
      <w:r>
        <w:t>prevalet</w:t>
      </w:r>
      <w:proofErr w:type="spellEnd"/>
      <w:r>
        <w:t xml:space="preserve"> </w:t>
      </w:r>
      <w:proofErr w:type="spellStart"/>
      <w:r>
        <w:t>particulari</w:t>
      </w:r>
      <w:proofErr w:type="spellEnd"/>
      <w:r>
        <w:t xml:space="preserve">”, </w:t>
      </w:r>
      <w:proofErr w:type="spellStart"/>
      <w:r>
        <w:t>Matheu</w:t>
      </w:r>
      <w:proofErr w:type="spellEnd"/>
      <w:r>
        <w:t xml:space="preserve"> i Sanz, </w:t>
      </w:r>
      <w:proofErr w:type="spellStart"/>
      <w:r>
        <w:rPr>
          <w:i/>
        </w:rPr>
        <w:t>Tractatus</w:t>
      </w:r>
      <w:proofErr w:type="spellEnd"/>
      <w:r>
        <w:rPr>
          <w:i/>
        </w:rPr>
        <w:t xml:space="preserve"> de re </w:t>
      </w:r>
      <w:proofErr w:type="spellStart"/>
      <w:r>
        <w:rPr>
          <w:i/>
        </w:rPr>
        <w:t>criminali</w:t>
      </w:r>
      <w:proofErr w:type="spellEnd"/>
      <w:r>
        <w:t xml:space="preserve">, controversia XXI, n. 47. “Dos preceptos dio Platón en su República </w:t>
      </w:r>
      <w:proofErr w:type="spellStart"/>
      <w:r>
        <w:t>á</w:t>
      </w:r>
      <w:proofErr w:type="spellEnd"/>
      <w:r>
        <w:t xml:space="preserve"> los </w:t>
      </w:r>
      <w:proofErr w:type="spellStart"/>
      <w:r>
        <w:t>Principes</w:t>
      </w:r>
      <w:proofErr w:type="spellEnd"/>
      <w:r>
        <w:t xml:space="preserve">, y Gobernadores: el uno fue, que cuidasen en universal de todo el cuerpo de la República, porque el respeto, y </w:t>
      </w:r>
      <w:proofErr w:type="spellStart"/>
      <w:r>
        <w:t>consideracion</w:t>
      </w:r>
      <w:proofErr w:type="spellEnd"/>
      <w:r>
        <w:t xml:space="preserve"> particular para con unos, no causase olvido, y daño para con los </w:t>
      </w:r>
      <w:proofErr w:type="spellStart"/>
      <w:r>
        <w:t>demas</w:t>
      </w:r>
      <w:proofErr w:type="spellEnd"/>
      <w:r>
        <w:t xml:space="preserve">: y el otro precepto era, que todas sus obras, y acciones enderezasen al bien público, olvidados de sus comodidades”. Castillo de </w:t>
      </w:r>
      <w:proofErr w:type="spellStart"/>
      <w:r>
        <w:t>Bovadilla</w:t>
      </w:r>
      <w:proofErr w:type="spellEnd"/>
      <w:r>
        <w:t xml:space="preserve">, </w:t>
      </w:r>
      <w:r>
        <w:rPr>
          <w:i/>
        </w:rPr>
        <w:t>Política para corregidores</w:t>
      </w:r>
      <w:r>
        <w:t>, Lib. II, Cap. I, n. 1.</w:t>
      </w:r>
    </w:p>
  </w:footnote>
  <w:footnote w:id="38">
    <w:p w:rsidR="00EA1A07" w:rsidRPr="00277DED" w:rsidRDefault="00EA1A07" w:rsidP="00EA1A07">
      <w:pPr>
        <w:pStyle w:val="Textonotapie"/>
      </w:pPr>
      <w:r w:rsidRPr="00E40FE9">
        <w:rPr>
          <w:rStyle w:val="Refdenotaalpie"/>
        </w:rPr>
        <w:footnoteRef/>
      </w:r>
      <w:r w:rsidRPr="00277DED">
        <w:t xml:space="preserve"> “</w:t>
      </w:r>
      <w:proofErr w:type="spellStart"/>
      <w:r w:rsidRPr="00277DED">
        <w:t>quando</w:t>
      </w:r>
      <w:proofErr w:type="spellEnd"/>
      <w:r w:rsidRPr="00277DED">
        <w:t xml:space="preserve"> </w:t>
      </w:r>
      <w:proofErr w:type="spellStart"/>
      <w:r w:rsidRPr="00277DED">
        <w:t>vertitur</w:t>
      </w:r>
      <w:proofErr w:type="spellEnd"/>
      <w:r w:rsidRPr="00277DED">
        <w:t xml:space="preserve"> </w:t>
      </w:r>
      <w:proofErr w:type="spellStart"/>
      <w:r w:rsidRPr="00277DED">
        <w:t>interesse</w:t>
      </w:r>
      <w:proofErr w:type="spellEnd"/>
      <w:r w:rsidRPr="00277DED">
        <w:t xml:space="preserve"> </w:t>
      </w:r>
      <w:proofErr w:type="spellStart"/>
      <w:r w:rsidRPr="00277DED">
        <w:t>solius</w:t>
      </w:r>
      <w:proofErr w:type="spellEnd"/>
      <w:r w:rsidRPr="00277DED">
        <w:t xml:space="preserve"> </w:t>
      </w:r>
      <w:proofErr w:type="spellStart"/>
      <w:r w:rsidRPr="00277DED">
        <w:t>fisci</w:t>
      </w:r>
      <w:proofErr w:type="spellEnd"/>
      <w:r w:rsidRPr="00277DED">
        <w:t xml:space="preserve">, </w:t>
      </w:r>
      <w:proofErr w:type="spellStart"/>
      <w:r w:rsidRPr="00277DED">
        <w:t>potest</w:t>
      </w:r>
      <w:proofErr w:type="spellEnd"/>
      <w:r w:rsidRPr="00277DED">
        <w:t xml:space="preserve"> </w:t>
      </w:r>
      <w:proofErr w:type="spellStart"/>
      <w:r w:rsidRPr="00277DED">
        <w:t>Princeps</w:t>
      </w:r>
      <w:proofErr w:type="spellEnd"/>
      <w:r w:rsidRPr="00277DED">
        <w:t xml:space="preserve"> </w:t>
      </w:r>
      <w:proofErr w:type="spellStart"/>
      <w:r w:rsidRPr="00277DED">
        <w:t>indulgere</w:t>
      </w:r>
      <w:proofErr w:type="spellEnd"/>
      <w:r w:rsidRPr="00277DED">
        <w:t xml:space="preserve"> </w:t>
      </w:r>
      <w:proofErr w:type="spellStart"/>
      <w:r w:rsidRPr="00277DED">
        <w:t>etiam</w:t>
      </w:r>
      <w:proofErr w:type="spellEnd"/>
      <w:r w:rsidRPr="00277DED">
        <w:t xml:space="preserve"> sine causa”, Gregorio López, glosa </w:t>
      </w:r>
      <w:r w:rsidRPr="00277DED">
        <w:rPr>
          <w:i/>
        </w:rPr>
        <w:t>el Rey</w:t>
      </w:r>
      <w:r w:rsidRPr="00277DED">
        <w:t xml:space="preserve"> a </w:t>
      </w:r>
      <w:r w:rsidRPr="00277DED">
        <w:rPr>
          <w:i/>
        </w:rPr>
        <w:t>Partida</w:t>
      </w:r>
      <w:r w:rsidRPr="00277DED">
        <w:t xml:space="preserve"> 7, tít. 32, ley 1. </w:t>
      </w:r>
      <w:r>
        <w:fldChar w:fldCharType="begin"/>
      </w:r>
      <w:r w:rsidR="007700D3">
        <w:instrText xml:space="preserve"> ADDIN ZOTERO_ITEM CSL_CITATION {"citationID":"k3hkFBdr","properties":{"formattedCitation":"Rodr\\uc0\\u237{}guez Flores, {\\i{}El perd\\uc0\\u243{}n real}, 90.","plainCitation":"Rodríguez Flores, El perdón real, 90.","noteIndex":38},"citationItems":[{"id":2654,"uris":["http://zotero.org/users/163570/items/APZE9XAC"],"uri":["http://zotero.org/users/163570/items/APZE9XAC"],"itemData":{"id":2654,"type":"book","title":"El perdón real en Castilla (siglos XIII-XVIII)","publisher":"Universidad de Salamanca","publisher-place":"Salamanca","number-of-pages":"284","source":"Google Books","event-place":"Salamanca","ISBN":"978-84-7481-917-5","shortTitle":"El perdón real","language":"es","author":[{"family":"Rodríguez Flores","given":"María Inmaculada"}],"issued":{"date-parts":[["1971"]]}},"locator":"90","label":"page"}],"schema":"https://github.com/citation-style-language/schema/raw/master/csl-citation.json"} </w:instrText>
      </w:r>
      <w:r>
        <w:fldChar w:fldCharType="separate"/>
      </w:r>
      <w:r w:rsidRPr="00EB3702">
        <w:rPr>
          <w:rFonts w:cs="Times New Roman"/>
          <w:szCs w:val="24"/>
        </w:rPr>
        <w:t xml:space="preserve">Rodríguez Flores, </w:t>
      </w:r>
      <w:r w:rsidRPr="00EB3702">
        <w:rPr>
          <w:rFonts w:cs="Times New Roman"/>
          <w:i/>
          <w:iCs/>
          <w:szCs w:val="24"/>
        </w:rPr>
        <w:t>El perdón real</w:t>
      </w:r>
      <w:r w:rsidRPr="00EB3702">
        <w:rPr>
          <w:rFonts w:cs="Times New Roman"/>
          <w:szCs w:val="24"/>
        </w:rPr>
        <w:t>, 90.</w:t>
      </w:r>
      <w:r>
        <w:fldChar w:fldCharType="end"/>
      </w:r>
    </w:p>
  </w:footnote>
  <w:footnote w:id="39">
    <w:p w:rsidR="00EA1A07" w:rsidRPr="00C377A3" w:rsidRDefault="00EA1A07" w:rsidP="00EA1A07">
      <w:pPr>
        <w:pStyle w:val="Textonotapie"/>
      </w:pPr>
      <w:r w:rsidRPr="00E40FE9">
        <w:rPr>
          <w:rStyle w:val="Refdenotaalpie"/>
        </w:rPr>
        <w:footnoteRef/>
      </w:r>
      <w:r w:rsidRPr="00C377A3">
        <w:t xml:space="preserve"> </w:t>
      </w:r>
      <w:r>
        <w:t xml:space="preserve">Este tipo de indultos y conmutaciones como mecanismo para fomentar el poblamiento de españoles a Indias fue un lugar común durante todo el periodo monárquico. Un ejemplo de ello fue el perdón ofrecido por los reyes Católicos en 1497 a todos aquellos reos por delitos de cualquier tipo, incluidos aquellos condenados a muerte o pérdida de miembros, que se alistasen en la tripulación del tercer viaje colombino y estuvieran dispuestos a poblar durante diez años La Española, quienes a cambio, además de la conmutación de la pena serían restituidos a su buena fama. </w:t>
      </w:r>
      <w:r>
        <w:fldChar w:fldCharType="begin"/>
      </w:r>
      <w:r w:rsidR="007700D3">
        <w:instrText xml:space="preserve"> ADDIN ZOTERO_ITEM CSL_CITATION {"citationID":"clFmZmrr","properties":{"formattedCitation":"Rafael Diego-Fern\\uc0\\u225{}ndez Sotelo, {\\i{}Capitulaciones colombinas (1492-1506)} (Zamora, Mich.: Colegio de Michoac\\uc0\\u225{}n, 1987), 137\\uc0\\u8211{}38.","plainCitation":"Rafael Diego-Fernández Sotelo, Capitulaciones colombinas (1492-1506) (Zamora, Mich.: Colegio de Michoacán, 1987), 137–38.","noteIndex":39},"citationItems":[{"id":7916,"uris":["http://zotero.org/users/163570/items/PX7YHS6K"],"uri":["http://zotero.org/users/163570/items/PX7YHS6K"],"itemData":{"id":7916,"type":"book","title":"Capitulaciones colombinas (1492-1506)","publisher":"Colegio de Michoacán","publisher-place":"Zamora, Mich.","number-of-pages":"434","source":"Library of Congress ISBN","event-place":"Zamora, Mich.","ISBN":"978-968-7230-30-6","call-number":"F1411 .F36 1987","author":[{"family":"Diego-Fernández Sotelo","given":"Rafael"}],"issued":{"date-parts":[["1987"]]}},"locator":"137-138","label":"page"}],"schema":"https://github.com/citation-style-language/schema/raw/master/csl-citation.json"} </w:instrText>
      </w:r>
      <w:r>
        <w:fldChar w:fldCharType="separate"/>
      </w:r>
      <w:r w:rsidRPr="00EB3702">
        <w:rPr>
          <w:rFonts w:cs="Times New Roman"/>
          <w:szCs w:val="24"/>
        </w:rPr>
        <w:t xml:space="preserve">Rafael Diego-Fernández Sotelo, </w:t>
      </w:r>
      <w:r w:rsidRPr="00EB3702">
        <w:rPr>
          <w:rFonts w:cs="Times New Roman"/>
          <w:i/>
          <w:iCs/>
          <w:szCs w:val="24"/>
        </w:rPr>
        <w:t>Capitulaciones colombinas (1492-1506)</w:t>
      </w:r>
      <w:r w:rsidRPr="00EB3702">
        <w:rPr>
          <w:rFonts w:cs="Times New Roman"/>
          <w:szCs w:val="24"/>
        </w:rPr>
        <w:t xml:space="preserve"> (Zamora, Mich.: Colegio de Michoacán, 1987), 137–38.</w:t>
      </w:r>
      <w:r>
        <w:fldChar w:fldCharType="end"/>
      </w:r>
    </w:p>
  </w:footnote>
  <w:footnote w:id="40">
    <w:p w:rsidR="00EA1A07" w:rsidRPr="005613F2" w:rsidRDefault="00EA1A07" w:rsidP="00EA1A07">
      <w:pPr>
        <w:pStyle w:val="Textonotapie"/>
      </w:pPr>
      <w:r>
        <w:rPr>
          <w:rStyle w:val="Refdenotaalpie"/>
        </w:rPr>
        <w:footnoteRef/>
      </w:r>
      <w:r>
        <w:t xml:space="preserve"> Ambas obras pueden visualizarse en alta resolución en el sitio del Museo del Prado. </w:t>
      </w:r>
      <w:proofErr w:type="spellStart"/>
      <w:r w:rsidRPr="005613F2">
        <w:t>Maíno</w:t>
      </w:r>
      <w:proofErr w:type="spellEnd"/>
      <w:r w:rsidRPr="005613F2">
        <w:t xml:space="preserve"> </w:t>
      </w:r>
      <w:hyperlink r:id="rId1" w:history="1">
        <w:r w:rsidRPr="00716F52">
          <w:rPr>
            <w:rStyle w:val="Hipervnculo"/>
          </w:rPr>
          <w:t>http://bit.ly/2soBaPw</w:t>
        </w:r>
      </w:hyperlink>
      <w:r>
        <w:t xml:space="preserve"> </w:t>
      </w:r>
      <w:r w:rsidRPr="005613F2">
        <w:t>y Velázquez</w:t>
      </w:r>
      <w:r>
        <w:t xml:space="preserve"> </w:t>
      </w:r>
      <w:hyperlink r:id="rId2" w:history="1">
        <w:r w:rsidRPr="00716F52">
          <w:rPr>
            <w:rStyle w:val="Hipervnculo"/>
          </w:rPr>
          <w:t>http://bit.ly/2LPuySh</w:t>
        </w:r>
      </w:hyperlink>
      <w:r>
        <w:t>. Sitio consultado y enlaces creados el 1 de junio de 2018.</w:t>
      </w:r>
    </w:p>
  </w:footnote>
  <w:footnote w:id="41">
    <w:p w:rsidR="00EA1A07" w:rsidRPr="00B223FE" w:rsidRDefault="00EA1A07" w:rsidP="00EA1A07">
      <w:pPr>
        <w:pStyle w:val="Textonotapie"/>
      </w:pPr>
      <w:r>
        <w:rPr>
          <w:rStyle w:val="Refdenotaalpie"/>
        </w:rPr>
        <w:footnoteRef/>
      </w:r>
      <w:r w:rsidRPr="005613F2">
        <w:t xml:space="preserve"> </w:t>
      </w:r>
      <w:r>
        <w:fldChar w:fldCharType="begin"/>
      </w:r>
      <w:r w:rsidR="007700D3">
        <w:instrText xml:space="preserve"> ADDIN ZOTERO_ITEM CSL_CITATION {"citationID":"WTun4sa6","properties":{"formattedCitation":"Jonathan Brown y John Huxtable Elliott, {\\i{}Un palacio para el Rey: El Buen Retiro y la corte de Felipe IV}, trad. Vicente Lle\\uc0\\u243{} y Mar\\uc0\\u237{}a Luisa Balseiro, Edici\\uc0\\u243{}n actualizada en e-book (Madrid: Taurus, 2016), sec. \\uc0\\u8220{}La rendici\\uc0\\u243{}n de Breda\" y \"La recuperaci\\uc0\\u243{}n de Bah\\uc0\\u237{}a\\uc0\\u8221{}.","plainCitation":"Jonathan Brown y John Huxtable Elliott, Un palacio para el Rey: El Buen Retiro y la corte de Felipe IV, trad. Vicente Lleó y María Luisa Balseiro, Edición actualizada en e-book (Madrid: Taurus, 2016), sec. “La rendición de Breda\" y \"La recuperación de Bahía”.","noteIndex":41},"citationItems":[{"id":8270,"uris":["http://zotero.org/users/163570/items/984AF7GY"],"uri":["http://zotero.org/users/163570/items/984AF7GY"],"itemData":{"id":8270,"type":"book","title":"Un palacio para el Rey: El Buen Retiro y la corte de Felipe IV","publisher":"Taurus","publisher-place":"Madrid","edition":"Edición actualizada en e-book","source":"Open WorldCat","event-place":"Madrid","abstract":"Taurus reedita esta obra sobre la construcción del palacio del Buen Retiro firmada por dos de los más prestigiosos hispanistas del mundo: Jonathan Brown y sir John Elliot. Una obra profusamente ilustrada en la que se entremezclan el arte y la política del siglo XVII y el Palacio pasa a ser un escaparate del Siglo de Oro español. El palacio del Buen Retiro, un palacio de recreo y de descanso real, fue construido en las afueras de Madrid durante la década de 1630. Gracias a su espléndida colección de cuadros de Velázquez y de otros artistas de la época, el palacio se convirtió en escaparate del arte y de la cultura del Siglo de Oro español. Un palacio para el rey, publicado por primera vez en 1980 con excelentes críticas, fue un libro pionero en el que se proporcionaba una visión global de la historia de la construcción, la decoración y los usos de un gran palacio real, a la vez que se subrayaba la relación entre el arte y la política en un momento crítico de la historia europea. La publicación de esta obra cobra hoy mayor relevancia por el proyecto de ampliación del Museo del Prado, que incluye la restauración del Salón de Reinos para que recupere su aspecto original, tal como se refleja en este libro. En la rivalidad entre los monarcas del siglo XVII la cultura, el coleccionismo, el mecenazgo, valían tanto como los ejércitos . Reseña: Un acontecimiento cultural de primer orden. Francisco Calvo Serraller, El País","ISBN":"978-84-306-1866-8","note":"OCLC: 962260929","shortTitle":"Un palacio para el Rey","language":"Spanish","author":[{"family":"Brown","given":"Jonathan"},{"family":"Elliott","given":"John Huxtable"}],"translator":[{"family":"Lleó","given":"Vicente"},{"family":"Balseiro","given":"María Luisa"}],"issued":{"date-parts":[["2016"]]},"accessed":{"date-parts":[["2018",6,1]]}},"locator":"\"La rendición de Breda\" y \"La recuperación de Bahía\"","label":"section"}],"schema":"https://github.com/citation-style-language/schema/raw/master/csl-citation.json"} </w:instrText>
      </w:r>
      <w:r>
        <w:fldChar w:fldCharType="separate"/>
      </w:r>
      <w:r w:rsidRPr="00C17281">
        <w:rPr>
          <w:rFonts w:cs="Times New Roman"/>
          <w:szCs w:val="24"/>
        </w:rPr>
        <w:t xml:space="preserve">Jonathan Brown y John Huxtable Elliott, </w:t>
      </w:r>
      <w:r w:rsidRPr="00C17281">
        <w:rPr>
          <w:rFonts w:cs="Times New Roman"/>
          <w:i/>
          <w:iCs/>
          <w:szCs w:val="24"/>
        </w:rPr>
        <w:t>Un palacio para el Rey: El Buen Retiro y la corte de Felipe IV</w:t>
      </w:r>
      <w:r w:rsidRPr="00C17281">
        <w:rPr>
          <w:rFonts w:cs="Times New Roman"/>
          <w:szCs w:val="24"/>
        </w:rPr>
        <w:t>, trad. Vicente Lleó y María Luisa Balseiro, Edición actualizada en e-book (Madrid: Taurus, 2016), sec. “La rendición de Breda" y "La recuperación de Bahía”.</w:t>
      </w:r>
      <w:r>
        <w:fldChar w:fldCharType="end"/>
      </w:r>
    </w:p>
  </w:footnote>
  <w:footnote w:id="42">
    <w:p w:rsidR="00EA1A07" w:rsidRDefault="00EA1A07" w:rsidP="00EA1A07">
      <w:pPr>
        <w:pStyle w:val="Textonotapie"/>
      </w:pPr>
      <w:r>
        <w:rPr>
          <w:rStyle w:val="Refdenotaalpie"/>
        </w:rPr>
        <w:footnoteRef/>
      </w:r>
      <w:r>
        <w:t xml:space="preserve"> </w:t>
      </w:r>
      <w:r>
        <w:fldChar w:fldCharType="begin"/>
      </w:r>
      <w:r w:rsidR="007700D3">
        <w:instrText xml:space="preserve"> ADDIN ZOTERO_ITEM CSL_CITATION {"citationID":"hvAz7Hwl","properties":{"formattedCitation":"Lygia Rodr\\uc0\\u237{}guez Vianna P\\uc0\\u233{}rez, \\uc0\\u8220{}\\uc0\\u8216{}El Brasil restituido\\uc0\\u8217{} de Lope de Vega y \\uc0\\u8216{}La p\\uc0\\u233{}rdida y restauraci\\uc0\\u243{}n de la Bah\\uc0\\u237{}a de Todos los Santos\\uc0\\u8217{}, de Juan Antonio Correa\\uc0\\u8221{}, en {\\i{}Estudios de teatro \\uc0\\u225{}ureo: texto, espacio y representaci\\uc0\\u243{}n} (X Congreso de la Asociaci\\uc0\\u243{}n Internacional de Teatro Espa\\uc0\\u241{}ol y Novohispano de los Siglos de Oro, M\\uc0\\u233{}xico: Universidad Aut\\uc0\\u243{}noma Metropolitana, 2003), 245\\uc0\\u8211{}61; Brown y Elliott, {\\i{}Un palacio para el Rey}, sec. \\uc0\\u8220{}H\\uc0\\u233{}rcules Hispanicus\\uc0\\u8221{}.","plainCitation":"Lygia Rodríguez Vianna Pérez, “‘El Brasil restituido’ de Lope de Vega y ‘La pérdida y restauración de la Bahía de Todos los Santos’, de Juan Antonio Correa”, en Estudios de teatro áureo: texto, espacio y representación (X Congreso de la Asociación Internacional de Teatro Español y Novohispano de los Siglos de Oro, México: Universidad Autónoma Metropolitana, 2003), 245–61; Brown y Elliott, Un palacio para el Rey, sec. “Hércules Hispanicus”.","noteIndex":42},"citationItems":[{"id":8271,"uris":["http://zotero.org/users/163570/items/L8N3TAHX"],"uri":["http://zotero.org/users/163570/items/L8N3TAHX"],"itemData":{"id":8271,"type":"paper-conference","title":"\"El Brasil restituido\" de Lope de Vega y \"La pérdida y restauración de la Bahía de Todos los Santos\", de Juan Antonio Correa","container-title":"Estudios de teatro áureo: texto, espacio y representación","publisher":"Universidad Autónoma Metropolitana","publisher-place":"México","page":"245-261","event":"X Congreso de la Asociación Internacional de Teatro Español y Novohispano de los Siglos de Oro","event-place":"México","ISBN":"970-31-0115-1","author":[{"family":"Rodríguez Vianna Pérez","given":"Lygia"}],"issued":{"date-parts":[["2003"]]}},"label":"page"},{"id":8270,"uris":["http://zotero.org/users/163570/items/984AF7GY"],"uri":["http://zotero.org/users/163570/items/984AF7GY"],"itemData":{"id":8270,"type":"book","title":"Un palacio para el Rey: El Buen Retiro y la corte de Felipe IV","publisher":"Taurus","publisher-place":"Madrid","edition":"Edición actualizada en e-book","source":"Open WorldCat","event-place":"Madrid","abstract":"Taurus reedita esta obra sobre la construcción del palacio del Buen Retiro firmada por dos de los más prestigiosos hispanistas del mundo: Jonathan Brown y sir John Elliot. Una obra profusamente ilustrada en la que se entremezclan el arte y la política del siglo XVII y el Palacio pasa a ser un escaparate del Siglo de Oro español. El palacio del Buen Retiro, un palacio de recreo y de descanso real, fue construido en las afueras de Madrid durante la década de 1630. Gracias a su espléndida colección de cuadros de Velázquez y de otros artistas de la época, el palacio se convirtió en escaparate del arte y de la cultura del Siglo de Oro español. Un palacio para el rey, publicado por primera vez en 1980 con excelentes críticas, fue un libro pionero en el que se proporcionaba una visión global de la historia de la construcción, la decoración y los usos de un gran palacio real, a la vez que se subrayaba la relación entre el arte y la política en un momento crítico de la historia europea. La publicación de esta obra cobra hoy mayor relevancia por el proyecto de ampliación del Museo del Prado, que incluye la restauración del Salón de Reinos para que recupere su aspecto original, tal como se refleja en este libro. En la rivalidad entre los monarcas del siglo XVII la cultura, el coleccionismo, el mecenazgo, valían tanto como los ejércitos . Reseña: Un acontecimiento cultural de primer orden. Francisco Calvo Serraller, El País","ISBN":"978-84-306-1866-8","note":"OCLC: 962260929","shortTitle":"Un palacio para el Rey","language":"Spanish","author":[{"family":"Brown","given":"Jonathan"},{"family":"Elliott","given":"John Huxtable"}],"translator":[{"family":"Lleó","given":"Vicente"},{"family":"Balseiro","given":"María Luisa"}],"issued":{"date-parts":[["2016"]]},"accessed":{"date-parts":[["2018",6,1]]}},"locator":"\"Hércules Hispanicus\"","label":"section"}],"schema":"https://github.com/citation-style-language/schema/raw/master/csl-citation.json"} </w:instrText>
      </w:r>
      <w:r>
        <w:fldChar w:fldCharType="separate"/>
      </w:r>
      <w:r w:rsidRPr="00C17281">
        <w:rPr>
          <w:rFonts w:cs="Times New Roman"/>
          <w:szCs w:val="24"/>
        </w:rPr>
        <w:t xml:space="preserve">Lygia Rodríguez Vianna Pérez, “‘El Brasil restituido’ de Lope de Vega y ‘La pérdida y restauración de la Bahía de Todos los Santos’, de Juan Antonio Correa”, en </w:t>
      </w:r>
      <w:r w:rsidRPr="00C17281">
        <w:rPr>
          <w:rFonts w:cs="Times New Roman"/>
          <w:i/>
          <w:iCs/>
          <w:szCs w:val="24"/>
        </w:rPr>
        <w:t>Estudios de teatro áureo: texto, espacio y representación</w:t>
      </w:r>
      <w:r w:rsidRPr="00C17281">
        <w:rPr>
          <w:rFonts w:cs="Times New Roman"/>
          <w:szCs w:val="24"/>
        </w:rPr>
        <w:t xml:space="preserve"> (X Congreso de la Asociación Internacional de Teatro Español y Novohispano de los Siglos de Oro, México: Universidad Autónoma Metropolitana, 2003), 245–61; Brown y Elliott, </w:t>
      </w:r>
      <w:r w:rsidRPr="00C17281">
        <w:rPr>
          <w:rFonts w:cs="Times New Roman"/>
          <w:i/>
          <w:iCs/>
          <w:szCs w:val="24"/>
        </w:rPr>
        <w:t>Un palacio para el Rey</w:t>
      </w:r>
      <w:r w:rsidRPr="00C17281">
        <w:rPr>
          <w:rFonts w:cs="Times New Roman"/>
          <w:szCs w:val="24"/>
        </w:rPr>
        <w:t>, sec. “Hércules Hispanicus”.</w:t>
      </w:r>
      <w:r>
        <w:fldChar w:fldCharType="end"/>
      </w:r>
    </w:p>
  </w:footnote>
  <w:footnote w:id="43">
    <w:p w:rsidR="00902918" w:rsidRDefault="00902918">
      <w:pPr>
        <w:pStyle w:val="Textonotapie"/>
      </w:pPr>
      <w:r>
        <w:rPr>
          <w:rStyle w:val="Refdenotaalpie"/>
        </w:rPr>
        <w:footnoteRef/>
      </w:r>
      <w:r>
        <w:t xml:space="preserve"> </w:t>
      </w:r>
      <w:r>
        <w:fldChar w:fldCharType="begin"/>
      </w:r>
      <w:r w:rsidR="007700D3">
        <w:instrText xml:space="preserve"> ADDIN ZOTERO_ITEM CSL_CITATION {"citationID":"oYAxB8j1","properties":{"formattedCitation":"Abelardo Levaggi, \\uc0\\u8220{}Los tratados con los indios en la \\uc0\\u233{}poca borb\\uc0\\u243{}nica. Reafirmaci\\uc0\\u243{}n de la pol\\uc0\\u237{}tica de conquista pac\\uc0\\u237{}fica\\uc0\\u8221{}, en {\\i{}XI Congreso del Instituto Internacional de Historia del Derecho Indiano. Buenos Aires, 4 al 9 de septiembre de 1995: actas y estudios}, vol. 2 (Buenos Aires: Instituto de Investigaciones de Historia del Derecho, 1997), 106.","plainCitation":"Abelardo Levaggi, “Los tratados con los indios en la época borbónica. Reafirmación de la política de conquista pacífica”, en XI Congreso del Instituto Internacional de Historia del Derecho Indiano. Buenos Aires, 4 al 9 de septiembre de 1995: actas y estudios, vol. 2 (Buenos Aires: Instituto de Investigaciones de Historia del Derecho, 1997), 106.","noteIndex":43},"citationItems":[{"id":7842,"uris":["http://zotero.org/users/163570/items/2KEL7H68"],"uri":["http://zotero.org/users/163570/items/2KEL7H68"],"itemData":{"id":7842,"type":"chapter","title":"Los tratados con los indios en la época borbónica. Reafirmación de la política de conquista pacífica","container-title":"XI Congreso del Instituto Internacional de Historia del Derecho Indiano. Buenos Aires, 4 al 9 de septiembre de 1995: actas y estudios","publisher":"Instituto de Investigaciones de Historia del Derecho","publisher-place":"Buenos Aires","page":"103-118","volume":"2","number-of-volumes":"2","source":"Gemeinsamer Bibliotheksverbund ISBN","event-place":"Buenos Aires","ISBN":"978-950-9494-14-5","note":"OCLC: 252865808","language":"spa","author":[{"family":"Levaggi","given":"Abelardo"}],"issued":{"date-parts":[["1997"]]}},"locator":"106","label":"page"}],"schema":"https://github.com/citation-style-language/schema/raw/master/csl-citation.json"} </w:instrText>
      </w:r>
      <w:r>
        <w:fldChar w:fldCharType="separate"/>
      </w:r>
      <w:r w:rsidRPr="00902918">
        <w:rPr>
          <w:rFonts w:cs="Times New Roman"/>
          <w:szCs w:val="24"/>
        </w:rPr>
        <w:t xml:space="preserve">Abelardo Levaggi, “Los tratados con los indios en la época borbónica. Reafirmación de la política de conquista pacífica”, en </w:t>
      </w:r>
      <w:r w:rsidRPr="00902918">
        <w:rPr>
          <w:rFonts w:cs="Times New Roman"/>
          <w:i/>
          <w:iCs/>
          <w:szCs w:val="24"/>
        </w:rPr>
        <w:t>XI Congreso del Instituto Internacional de Historia del Derecho Indiano. Buenos Aires, 4 al 9 de septiembre de 1995: actas y estudios</w:t>
      </w:r>
      <w:r w:rsidRPr="00902918">
        <w:rPr>
          <w:rFonts w:cs="Times New Roman"/>
          <w:szCs w:val="24"/>
        </w:rPr>
        <w:t>, vol. 2 (Buenos Aires: Instituto de Investigaciones de Historia del Derecho, 1997), 106.</w:t>
      </w:r>
      <w:r>
        <w:fldChar w:fldCharType="end"/>
      </w:r>
    </w:p>
  </w:footnote>
  <w:footnote w:id="44">
    <w:p w:rsidR="00EA1A07" w:rsidRPr="00755E15" w:rsidRDefault="00EA1A07" w:rsidP="00EA1A07">
      <w:pPr>
        <w:pStyle w:val="Textonotapie"/>
      </w:pPr>
      <w:r>
        <w:rPr>
          <w:rStyle w:val="Refdenotaalpie"/>
        </w:rPr>
        <w:footnoteRef/>
      </w:r>
      <w:r>
        <w:t xml:space="preserve"> </w:t>
      </w:r>
      <w:r w:rsidRPr="006211F4">
        <w:rPr>
          <w:highlight w:val="yellow"/>
        </w:rPr>
        <w:t xml:space="preserve">Alonso de Zorita, </w:t>
      </w:r>
      <w:r w:rsidRPr="006211F4">
        <w:rPr>
          <w:i/>
          <w:iCs/>
          <w:highlight w:val="yellow"/>
        </w:rPr>
        <w:t>Breve y sumaria relación de los señores de la Nueva España</w:t>
      </w:r>
      <w:r w:rsidRPr="006211F4">
        <w:rPr>
          <w:highlight w:val="yellow"/>
        </w:rPr>
        <w:t>, ed. Joaquín Ramírez Cabañas, Segunda edición (México: Universidad Nacional Autónoma de México, 1963), 56-57</w:t>
      </w:r>
    </w:p>
  </w:footnote>
  <w:footnote w:id="45">
    <w:p w:rsidR="00EA1A07" w:rsidRDefault="00EA1A07" w:rsidP="00EA1A07">
      <w:pPr>
        <w:pStyle w:val="Textonotapie"/>
      </w:pPr>
      <w:r>
        <w:rPr>
          <w:rStyle w:val="Refdenotaalpie"/>
        </w:rPr>
        <w:footnoteRef/>
      </w:r>
      <w:r>
        <w:t xml:space="preserve"> Zorita, 59.</w:t>
      </w:r>
    </w:p>
  </w:footnote>
  <w:footnote w:id="46">
    <w:p w:rsidR="00EA1A07" w:rsidRDefault="00EA1A07" w:rsidP="00EA1A07">
      <w:pPr>
        <w:pStyle w:val="Textonotapie"/>
      </w:pPr>
      <w:r>
        <w:rPr>
          <w:rStyle w:val="Refdenotaalpie"/>
        </w:rPr>
        <w:footnoteRef/>
      </w:r>
      <w:r>
        <w:t xml:space="preserve"> Zorita, 65.</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1A07"/>
    <w:rsid w:val="00101A86"/>
    <w:rsid w:val="00244C42"/>
    <w:rsid w:val="0033081D"/>
    <w:rsid w:val="00432FBA"/>
    <w:rsid w:val="00464785"/>
    <w:rsid w:val="006F3DB5"/>
    <w:rsid w:val="007700D3"/>
    <w:rsid w:val="008C716F"/>
    <w:rsid w:val="009002A6"/>
    <w:rsid w:val="00902918"/>
    <w:rsid w:val="00967F83"/>
    <w:rsid w:val="00AB670C"/>
    <w:rsid w:val="00AD25BD"/>
    <w:rsid w:val="00BD62DD"/>
    <w:rsid w:val="00CD4A8A"/>
    <w:rsid w:val="00E02848"/>
    <w:rsid w:val="00EA1A07"/>
    <w:rsid w:val="00EB4E32"/>
    <w:rsid w:val="00EB63D0"/>
    <w:rsid w:val="00F13B86"/>
    <w:rsid w:val="00F84C9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AAD240-0E40-46DB-B91D-B249374E1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line="480" w:lineRule="auto"/>
        <w:ind w:firstLine="56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A1A07"/>
    <w:pPr>
      <w:keepNext/>
      <w:keepLines/>
      <w:spacing w:before="240" w:line="360" w:lineRule="auto"/>
      <w:ind w:firstLine="0"/>
      <w:jc w:val="center"/>
      <w:outlineLvl w:val="0"/>
    </w:pPr>
    <w:rPr>
      <w:rFonts w:ascii="Times New Roman" w:eastAsiaTheme="majorEastAsia" w:hAnsi="Times New Roman" w:cstheme="majorBidi"/>
      <w:b/>
      <w:smallCaps/>
      <w:sz w:val="24"/>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unhideWhenUsed/>
    <w:rsid w:val="00967F83"/>
    <w:pPr>
      <w:spacing w:line="240" w:lineRule="auto"/>
      <w:ind w:firstLine="0"/>
    </w:pPr>
    <w:rPr>
      <w:rFonts w:ascii="Times New Roman" w:hAnsi="Times New Roman"/>
      <w:sz w:val="20"/>
      <w:szCs w:val="20"/>
    </w:rPr>
  </w:style>
  <w:style w:type="character" w:customStyle="1" w:styleId="TextonotapieCar">
    <w:name w:val="Texto nota pie Car"/>
    <w:basedOn w:val="Fuentedeprrafopredeter"/>
    <w:link w:val="Textonotapie"/>
    <w:uiPriority w:val="99"/>
    <w:rsid w:val="00967F83"/>
    <w:rPr>
      <w:rFonts w:ascii="Times New Roman" w:hAnsi="Times New Roman"/>
      <w:sz w:val="20"/>
      <w:szCs w:val="20"/>
    </w:rPr>
  </w:style>
  <w:style w:type="character" w:styleId="Refdenotaalpie">
    <w:name w:val="footnote reference"/>
    <w:basedOn w:val="Fuentedeprrafopredeter"/>
    <w:uiPriority w:val="99"/>
    <w:semiHidden/>
    <w:unhideWhenUsed/>
    <w:rsid w:val="00EA1A07"/>
    <w:rPr>
      <w:vertAlign w:val="superscript"/>
    </w:rPr>
  </w:style>
  <w:style w:type="character" w:styleId="Hipervnculo">
    <w:name w:val="Hyperlink"/>
    <w:basedOn w:val="Fuentedeprrafopredeter"/>
    <w:uiPriority w:val="99"/>
    <w:unhideWhenUsed/>
    <w:rsid w:val="00EA1A07"/>
    <w:rPr>
      <w:color w:val="0563C1" w:themeColor="hyperlink"/>
      <w:u w:val="single"/>
    </w:rPr>
  </w:style>
  <w:style w:type="character" w:customStyle="1" w:styleId="Ttulo1Car">
    <w:name w:val="Título 1 Car"/>
    <w:basedOn w:val="Fuentedeprrafopredeter"/>
    <w:link w:val="Ttulo1"/>
    <w:uiPriority w:val="9"/>
    <w:rsid w:val="00EA1A07"/>
    <w:rPr>
      <w:rFonts w:ascii="Times New Roman" w:eastAsiaTheme="majorEastAsia" w:hAnsi="Times New Roman" w:cstheme="majorBidi"/>
      <w:b/>
      <w:smallCaps/>
      <w:sz w:val="24"/>
      <w:szCs w:val="32"/>
    </w:rPr>
  </w:style>
  <w:style w:type="character" w:styleId="Hipervnculovisitado">
    <w:name w:val="FollowedHyperlink"/>
    <w:basedOn w:val="Fuentedeprrafopredeter"/>
    <w:uiPriority w:val="99"/>
    <w:semiHidden/>
    <w:unhideWhenUsed/>
    <w:rsid w:val="00244C4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ocalhost/fichero/items/show/325"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bit.ly/2LPuySh" TargetMode="External"/><Relationship Id="rId1" Type="http://schemas.openxmlformats.org/officeDocument/2006/relationships/hyperlink" Target="http://bit.ly/2soBaPw"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0A0EAEDD-2E5F-4365-B1C7-EEDDB3E600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12</Pages>
  <Words>2984</Words>
  <Characters>15757</Characters>
  <Application>Microsoft Office Word</Application>
  <DocSecurity>0</DocSecurity>
  <Lines>242</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jairo melo</dc:creator>
  <cp:keywords/>
  <dc:description/>
  <cp:lastModifiedBy>jairo melo</cp:lastModifiedBy>
  <cp:revision>9</cp:revision>
  <dcterms:created xsi:type="dcterms:W3CDTF">2018-06-01T23:49:00Z</dcterms:created>
  <dcterms:modified xsi:type="dcterms:W3CDTF">2018-06-13T00:41:00Z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zotero-version="5.0.47"&gt;&lt;session id="YarFDm35"/&gt;&lt;style id="http://www.zotero.org/styles/chicago-fullnote-bibliography" locale="es-MX" hasBibliography="1" bibliographyStyleHasBeenSet="0"/&gt;&lt;prefs&gt;&lt;pref name="fieldType" value="Field"/&gt;</vt:lpwstr>
  </property>
  <property fmtid="{D5CDD505-2E9C-101B-9397-08002B2CF9AE}" pid="3" name="ZOTERO_PREF_2">
    <vt:lpwstr>&lt;pref name="noteType" value="1"/&gt;&lt;/prefs&gt;&lt;/data&gt;</vt:lpwstr>
  </property>
</Properties>
</file>