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07" w:rsidRPr="00EA1A07" w:rsidRDefault="00EA1A07" w:rsidP="00EA1A07">
      <w:pPr>
        <w:keepNext/>
        <w:keepLines/>
        <w:spacing w:before="240" w:line="360" w:lineRule="auto"/>
        <w:ind w:firstLine="0"/>
        <w:jc w:val="center"/>
        <w:outlineLvl w:val="0"/>
        <w:rPr>
          <w:rFonts w:ascii="Times New Roman" w:eastAsiaTheme="majorEastAsia" w:hAnsi="Times New Roman" w:cstheme="majorBidi"/>
          <w:b/>
          <w:smallCaps/>
          <w:sz w:val="24"/>
          <w:szCs w:val="32"/>
        </w:rPr>
      </w:pPr>
      <w:r w:rsidRPr="00EA1A07">
        <w:rPr>
          <w:rFonts w:ascii="Times New Roman" w:eastAsiaTheme="majorEastAsia" w:hAnsi="Times New Roman" w:cstheme="majorBidi"/>
          <w:b/>
          <w:smallCaps/>
          <w:sz w:val="24"/>
          <w:szCs w:val="32"/>
        </w:rPr>
        <w:t xml:space="preserve">Capítulo II. </w:t>
      </w:r>
      <w:r w:rsidR="000A09BE">
        <w:rPr>
          <w:rFonts w:ascii="Times New Roman" w:eastAsiaTheme="majorEastAsia" w:hAnsi="Times New Roman" w:cstheme="majorBidi"/>
          <w:b/>
          <w:smallCaps/>
          <w:sz w:val="24"/>
          <w:szCs w:val="32"/>
        </w:rPr>
        <w:t>El perdón como expresión de la potestad</w:t>
      </w:r>
    </w:p>
    <w:p w:rsidR="000A09BE" w:rsidRDefault="000A09BE" w:rsidP="00EA1A07">
      <w:pPr>
        <w:spacing w:line="360" w:lineRule="auto"/>
        <w:rPr>
          <w:rFonts w:ascii="Times New Roman" w:hAnsi="Times New Roman"/>
          <w:sz w:val="24"/>
        </w:rPr>
      </w:pPr>
    </w:p>
    <w:p w:rsidR="000A09BE" w:rsidRDefault="000A09BE" w:rsidP="00EA1A07">
      <w:pPr>
        <w:spacing w:line="360" w:lineRule="auto"/>
        <w:rPr>
          <w:rFonts w:ascii="Times New Roman" w:hAnsi="Times New Roman"/>
          <w:sz w:val="24"/>
        </w:rPr>
      </w:pPr>
      <w:r>
        <w:rPr>
          <w:rFonts w:ascii="Times New Roman" w:hAnsi="Times New Roman"/>
          <w:sz w:val="24"/>
        </w:rPr>
        <w:t xml:space="preserve">La clemencia se consideró como la virtud por excelencia de los reyes cristianos, aquella por la cual lograba atraer el amor de sus vasallos a la vez que los protegía de los malvados con el temor al castigo. Aunque no se consideraba una expresión de justicia, la clemencia (como la gracia) empezó a formar parte del aparato de justicia como un derecho del monarca que como </w:t>
      </w:r>
      <w:proofErr w:type="spellStart"/>
      <w:r>
        <w:rPr>
          <w:rFonts w:ascii="Times New Roman" w:hAnsi="Times New Roman"/>
          <w:i/>
          <w:sz w:val="24"/>
        </w:rPr>
        <w:t>legibus</w:t>
      </w:r>
      <w:proofErr w:type="spellEnd"/>
      <w:r>
        <w:rPr>
          <w:rFonts w:ascii="Times New Roman" w:hAnsi="Times New Roman"/>
          <w:i/>
          <w:sz w:val="24"/>
        </w:rPr>
        <w:t xml:space="preserve"> </w:t>
      </w:r>
      <w:proofErr w:type="spellStart"/>
      <w:r>
        <w:rPr>
          <w:rFonts w:ascii="Times New Roman" w:hAnsi="Times New Roman"/>
          <w:i/>
          <w:sz w:val="24"/>
        </w:rPr>
        <w:t>solutus</w:t>
      </w:r>
      <w:proofErr w:type="spellEnd"/>
      <w:r>
        <w:rPr>
          <w:rFonts w:ascii="Times New Roman" w:hAnsi="Times New Roman"/>
          <w:sz w:val="24"/>
        </w:rPr>
        <w:t xml:space="preserve"> estaba más allá de las leyes comunes. El importante avance del </w:t>
      </w:r>
      <w:proofErr w:type="spellStart"/>
      <w:r>
        <w:rPr>
          <w:rFonts w:ascii="Times New Roman" w:hAnsi="Times New Roman"/>
          <w:sz w:val="24"/>
        </w:rPr>
        <w:t>antimaquiavelismo</w:t>
      </w:r>
      <w:proofErr w:type="spellEnd"/>
      <w:r>
        <w:rPr>
          <w:rFonts w:ascii="Times New Roman" w:hAnsi="Times New Roman"/>
          <w:sz w:val="24"/>
        </w:rPr>
        <w:t xml:space="preserve"> y de la doctrina contra la tiranía, desarrollaron </w:t>
      </w:r>
      <w:r w:rsidR="00E177AA">
        <w:rPr>
          <w:rFonts w:ascii="Times New Roman" w:hAnsi="Times New Roman"/>
          <w:sz w:val="24"/>
        </w:rPr>
        <w:t xml:space="preserve">en el siglo XVI </w:t>
      </w:r>
      <w:r>
        <w:rPr>
          <w:rFonts w:ascii="Times New Roman" w:hAnsi="Times New Roman"/>
          <w:sz w:val="24"/>
        </w:rPr>
        <w:t>la idea de una facultad de gracia y perdón real con la cual el príncipe podía canalizar sus deseos de clemencia para reinstaurar el orden y la paz.</w:t>
      </w:r>
      <w:r w:rsidR="00E177AA">
        <w:rPr>
          <w:rStyle w:val="Refdenotaalpie"/>
          <w:rFonts w:ascii="Times New Roman" w:hAnsi="Times New Roman"/>
          <w:sz w:val="24"/>
        </w:rPr>
        <w:footnoteReference w:id="1"/>
      </w:r>
      <w:r w:rsidR="00354F27">
        <w:rPr>
          <w:rFonts w:ascii="Times New Roman" w:hAnsi="Times New Roman"/>
          <w:sz w:val="24"/>
        </w:rPr>
        <w:t xml:space="preserve"> </w:t>
      </w:r>
      <w:bookmarkStart w:id="0" w:name="_GoBack"/>
      <w:bookmarkEnd w:id="0"/>
    </w:p>
    <w:p w:rsidR="00354F27" w:rsidRDefault="00354F2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Lo que se podía considerar como costumbre y buen actuar en el perdón. Una buena política de clemencia debería seguir los siguientes preceptos:</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Promulgación: parte de la voluntad de hacer el bien, liberar de las cadenas a aquellos que sufren y no representan una amenaza para las repúblicas. </w:t>
      </w:r>
    </w:p>
    <w:p w:rsidR="0033081D" w:rsidRDefault="0033081D" w:rsidP="00EA1A07">
      <w:pPr>
        <w:spacing w:line="360" w:lineRule="auto"/>
        <w:rPr>
          <w:rFonts w:ascii="Times New Roman" w:hAnsi="Times New Roman"/>
          <w:sz w:val="24"/>
        </w:rPr>
      </w:pPr>
    </w:p>
    <w:p w:rsidR="0033081D" w:rsidRDefault="0033081D" w:rsidP="00EA1A07">
      <w:pPr>
        <w:spacing w:line="360" w:lineRule="auto"/>
        <w:rPr>
          <w:rFonts w:ascii="Times New Roman" w:hAnsi="Times New Roman"/>
          <w:sz w:val="24"/>
        </w:rPr>
      </w:pPr>
      <w:r>
        <w:rPr>
          <w:rFonts w:ascii="Times New Roman" w:hAnsi="Times New Roman"/>
          <w:sz w:val="24"/>
        </w:rPr>
        <w:t>El imperio (</w:t>
      </w:r>
      <w:proofErr w:type="spellStart"/>
      <w:r w:rsidRPr="0033081D">
        <w:rPr>
          <w:rFonts w:ascii="Times New Roman" w:hAnsi="Times New Roman"/>
          <w:i/>
          <w:sz w:val="24"/>
        </w:rPr>
        <w:t>imperium</w:t>
      </w:r>
      <w:proofErr w:type="spellEnd"/>
      <w:r>
        <w:rPr>
          <w:rFonts w:ascii="Times New Roman" w:hAnsi="Times New Roman"/>
          <w:sz w:val="24"/>
        </w:rPr>
        <w:t xml:space="preserve">) señalaba la potestad para ejercer la jurisdicción, el mero imperio indicaba el más alto grado de jurisdicción, la </w:t>
      </w:r>
      <w:proofErr w:type="spellStart"/>
      <w:r>
        <w:rPr>
          <w:rFonts w:ascii="Times New Roman" w:hAnsi="Times New Roman"/>
          <w:i/>
          <w:sz w:val="24"/>
        </w:rPr>
        <w:t>potestas</w:t>
      </w:r>
      <w:proofErr w:type="spellEnd"/>
      <w:r>
        <w:rPr>
          <w:rFonts w:ascii="Times New Roman" w:hAnsi="Times New Roman"/>
          <w:i/>
          <w:sz w:val="24"/>
        </w:rPr>
        <w:t xml:space="preserve"> </w:t>
      </w:r>
      <w:proofErr w:type="spellStart"/>
      <w:r>
        <w:rPr>
          <w:rFonts w:ascii="Times New Roman" w:hAnsi="Times New Roman"/>
          <w:i/>
          <w:sz w:val="24"/>
        </w:rPr>
        <w:t>gladii</w:t>
      </w:r>
      <w:proofErr w:type="spellEnd"/>
      <w:r>
        <w:rPr>
          <w:rFonts w:ascii="Times New Roman" w:hAnsi="Times New Roman"/>
          <w:sz w:val="24"/>
        </w:rPr>
        <w:t xml:space="preserve">, dueña de las causas mayores y de la pena de muerte. </w:t>
      </w:r>
      <w:r w:rsidR="00F13B86">
        <w:rPr>
          <w:rFonts w:ascii="Times New Roman" w:hAnsi="Times New Roman"/>
          <w:sz w:val="24"/>
        </w:rPr>
        <w:t>El</w:t>
      </w:r>
      <w:r>
        <w:rPr>
          <w:rFonts w:ascii="Times New Roman" w:hAnsi="Times New Roman"/>
          <w:sz w:val="24"/>
        </w:rPr>
        <w:t xml:space="preserve"> </w:t>
      </w:r>
      <w:r w:rsidR="00F13B86">
        <w:rPr>
          <w:rFonts w:ascii="Times New Roman" w:hAnsi="Times New Roman"/>
          <w:i/>
          <w:sz w:val="24"/>
        </w:rPr>
        <w:t>mero imperio</w:t>
      </w:r>
      <w:r>
        <w:rPr>
          <w:rFonts w:ascii="Times New Roman" w:hAnsi="Times New Roman"/>
          <w:sz w:val="24"/>
        </w:rPr>
        <w:t>, como se indicó en el capítulo anterior</w:t>
      </w:r>
      <w:r w:rsidR="00F13B86">
        <w:rPr>
          <w:rFonts w:ascii="Times New Roman" w:hAnsi="Times New Roman"/>
          <w:sz w:val="24"/>
        </w:rPr>
        <w:t xml:space="preserve"> según López de Cuéllar</w:t>
      </w:r>
      <w:r>
        <w:rPr>
          <w:rFonts w:ascii="Times New Roman" w:hAnsi="Times New Roman"/>
          <w:sz w:val="24"/>
        </w:rPr>
        <w:t xml:space="preserve">, </w:t>
      </w:r>
      <w:r w:rsidR="00F13B86">
        <w:rPr>
          <w:rFonts w:ascii="Times New Roman" w:hAnsi="Times New Roman"/>
          <w:sz w:val="24"/>
        </w:rPr>
        <w:t xml:space="preserve">también representaba la absoluta voluntad para perdonar las penas que se consideraban justas. Ahora bien, el ejercicio del indulto conllevaba igualmente el problema de hasta qué punto el príncipe podía actuar válidamente en derecho, también en el capítulo pasado se señaló que el rey como juez y legislador no podía castigarse a sí mismo en el plano terreno, aunque siempre quedaba el juicio divino para reprender el alma de los tiranos. En este sentido, el perdón hacía parte del ejercicio de la potestad absoluta del rey, al lado de las </w:t>
      </w:r>
      <w:proofErr w:type="gramStart"/>
      <w:r w:rsidR="00F13B86">
        <w:rPr>
          <w:rFonts w:ascii="Times New Roman" w:hAnsi="Times New Roman"/>
          <w:sz w:val="24"/>
        </w:rPr>
        <w:t>gracias</w:t>
      </w:r>
      <w:proofErr w:type="gramEnd"/>
      <w:r w:rsidR="00F13B86">
        <w:rPr>
          <w:rFonts w:ascii="Times New Roman" w:hAnsi="Times New Roman"/>
          <w:sz w:val="24"/>
        </w:rPr>
        <w:t>, mercedes así como otros privilegios y dispensas.</w:t>
      </w:r>
      <w:r w:rsidR="007700D3">
        <w:rPr>
          <w:rStyle w:val="Refdenotaalpie"/>
          <w:rFonts w:ascii="Times New Roman" w:hAnsi="Times New Roman"/>
          <w:sz w:val="24"/>
        </w:rPr>
        <w:footnoteReference w:id="2"/>
      </w:r>
      <w:r w:rsidR="00F13B86">
        <w:rPr>
          <w:rFonts w:ascii="Times New Roman" w:hAnsi="Times New Roman"/>
          <w:sz w:val="24"/>
        </w:rPr>
        <w:t xml:space="preserve"> La naturaleza volitiva de la </w:t>
      </w:r>
      <w:r w:rsidR="00F13B86">
        <w:rPr>
          <w:rFonts w:ascii="Times New Roman" w:hAnsi="Times New Roman"/>
          <w:sz w:val="24"/>
        </w:rPr>
        <w:lastRenderedPageBreak/>
        <w:t xml:space="preserve">potestad regia para conceder perdones no significa que hubiese sido conducida de manera caprichosa, aún tenía como restricciones el derecho divino, natural y de gentes, esferas de derecho que su jurisdicción no </w:t>
      </w:r>
      <w:r w:rsidR="00F84C9E">
        <w:rPr>
          <w:rFonts w:ascii="Times New Roman" w:hAnsi="Times New Roman"/>
          <w:sz w:val="24"/>
        </w:rPr>
        <w:t>debía</w:t>
      </w:r>
      <w:r w:rsidR="00F13B86">
        <w:rPr>
          <w:rFonts w:ascii="Times New Roman" w:hAnsi="Times New Roman"/>
          <w:sz w:val="24"/>
        </w:rPr>
        <w:t xml:space="preserve"> sobrepasar.</w:t>
      </w:r>
      <w:r w:rsidR="00F13B86">
        <w:rPr>
          <w:rStyle w:val="Refdenotaalpie"/>
          <w:rFonts w:ascii="Times New Roman" w:hAnsi="Times New Roman"/>
          <w:sz w:val="24"/>
        </w:rPr>
        <w:footnoteReference w:id="3"/>
      </w:r>
      <w:r w:rsidR="00F84C9E">
        <w:rPr>
          <w:rFonts w:ascii="Times New Roman" w:hAnsi="Times New Roman"/>
          <w:sz w:val="24"/>
        </w:rPr>
        <w:t xml:space="preserve"> </w:t>
      </w:r>
      <w:r w:rsidR="00101A86">
        <w:rPr>
          <w:rFonts w:ascii="Times New Roman" w:hAnsi="Times New Roman"/>
          <w:sz w:val="24"/>
        </w:rPr>
        <w:t xml:space="preserve">En este sentido, era necesario evitar que el exceso de clemencia conllevara la contradicción con dichos derechos, por lo cual, la estrategia escogida como la más indicada sería actuar de acuerdo con la costumbre, con el sentido del casuismo que permitiría ajustarse a ciertos límites de la clemencia que se consideraban </w:t>
      </w:r>
      <w:r w:rsidR="008C716F">
        <w:rPr>
          <w:rFonts w:ascii="Times New Roman" w:hAnsi="Times New Roman"/>
          <w:sz w:val="24"/>
        </w:rPr>
        <w:t>garantía para sacar de esta virtud</w:t>
      </w:r>
      <w:r w:rsidR="00101A86">
        <w:rPr>
          <w:rFonts w:ascii="Times New Roman" w:hAnsi="Times New Roman"/>
          <w:sz w:val="24"/>
        </w:rPr>
        <w:t xml:space="preserve"> de sus efectos más benéficos. </w:t>
      </w:r>
    </w:p>
    <w:p w:rsidR="007700D3" w:rsidRPr="00101A86" w:rsidRDefault="00AB670C" w:rsidP="00EA1A07">
      <w:pPr>
        <w:spacing w:line="360" w:lineRule="auto"/>
        <w:rPr>
          <w:rFonts w:ascii="Times New Roman" w:hAnsi="Times New Roman"/>
          <w:sz w:val="24"/>
        </w:rPr>
      </w:pPr>
      <w:r>
        <w:rPr>
          <w:rFonts w:ascii="Times New Roman" w:hAnsi="Times New Roman"/>
          <w:sz w:val="24"/>
        </w:rPr>
        <w:t xml:space="preserve">El presente capítulo explora estas “buenas costumbres” de los reyes para otorgar indultos, iniciando con los delitos que se consideraba debían excluirse de la gracia real, la tipología de perdones que indicaban su amplitud o </w:t>
      </w:r>
      <w:r w:rsidR="00AD25BD">
        <w:rPr>
          <w:rFonts w:ascii="Times New Roman" w:hAnsi="Times New Roman"/>
          <w:sz w:val="24"/>
        </w:rPr>
        <w:t>estrechez, la posibilidad del ejercicio de la clemencia con los enemigos extranjeros, y las particularidades del uso del perdón dentro del ámbito meramente indiano, con lo cual se abordará la potestad que comúnmente se otorgaba a corregidores, virreyes y jueces en América para conceder indultos o usar la clemencia. Con lo anterior, se pretende cubrir las generalidades del ejercicio de la potestad regia del indulto, para desarrollar desde el capítulo tercero la práctica de la clemencia desde el ámbito específico del virrein</w:t>
      </w:r>
      <w:r w:rsidR="006F3DB5">
        <w:rPr>
          <w:rFonts w:ascii="Times New Roman" w:hAnsi="Times New Roman"/>
          <w:sz w:val="24"/>
        </w:rPr>
        <w:t>ato del Nuevo Reino de Granada.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2.1. Delitos exceptuados</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EA1A07">
        <w:rPr>
          <w:rFonts w:ascii="Times New Roman" w:hAnsi="Times New Roman"/>
          <w:sz w:val="24"/>
          <w:vertAlign w:val="superscript"/>
          <w:lang w:eastAsia="es-ES"/>
        </w:rPr>
        <w:footnoteReference w:id="4"/>
      </w:r>
      <w:r w:rsidRPr="00EA1A07">
        <w:rPr>
          <w:rFonts w:ascii="Times New Roman" w:hAnsi="Times New Roman"/>
          <w:sz w:val="24"/>
          <w:lang w:eastAsia="es-ES"/>
        </w:rPr>
        <w:t>, la injuria causada por una bofetada</w:t>
      </w:r>
      <w:r w:rsidRPr="00EA1A07">
        <w:rPr>
          <w:rFonts w:ascii="Times New Roman" w:hAnsi="Times New Roman"/>
          <w:sz w:val="24"/>
          <w:vertAlign w:val="superscript"/>
          <w:lang w:eastAsia="es-ES"/>
        </w:rPr>
        <w:footnoteReference w:id="5"/>
      </w:r>
      <w:r w:rsidRPr="00EA1A07">
        <w:rPr>
          <w:rFonts w:ascii="Times New Roman" w:hAnsi="Times New Roman"/>
          <w:sz w:val="24"/>
          <w:lang w:eastAsia="es-ES"/>
        </w:rPr>
        <w:t xml:space="preserve">, el asesinato </w:t>
      </w:r>
      <w:r w:rsidRPr="00EA1A07">
        <w:rPr>
          <w:rFonts w:ascii="Times New Roman" w:hAnsi="Times New Roman"/>
          <w:sz w:val="24"/>
          <w:lang w:eastAsia="es-ES"/>
        </w:rPr>
        <w:lastRenderedPageBreak/>
        <w:t>de sacerdote y la alevosía</w:t>
      </w:r>
      <w:r w:rsidRPr="00EA1A07">
        <w:rPr>
          <w:rFonts w:ascii="Times New Roman" w:hAnsi="Times New Roman"/>
          <w:sz w:val="24"/>
          <w:vertAlign w:val="superscript"/>
          <w:lang w:eastAsia="es-ES"/>
        </w:rPr>
        <w:footnoteReference w:id="6"/>
      </w:r>
      <w:r w:rsidRPr="00EA1A07">
        <w:rPr>
          <w:rFonts w:ascii="Times New Roman" w:hAnsi="Times New Roman"/>
          <w:sz w:val="24"/>
          <w:lang w:eastAsia="es-ES"/>
        </w:rPr>
        <w:t>, la fabricación de moneda falsa</w:t>
      </w:r>
      <w:r w:rsidRPr="00EA1A07">
        <w:rPr>
          <w:rFonts w:ascii="Times New Roman" w:hAnsi="Times New Roman"/>
          <w:sz w:val="24"/>
          <w:vertAlign w:val="superscript"/>
          <w:lang w:eastAsia="es-ES"/>
        </w:rPr>
        <w:footnoteReference w:id="7"/>
      </w:r>
      <w:r w:rsidRPr="00EA1A07">
        <w:rPr>
          <w:rFonts w:ascii="Times New Roman" w:hAnsi="Times New Roman"/>
          <w:sz w:val="24"/>
          <w:lang w:eastAsia="es-ES"/>
        </w:rPr>
        <w:t>,  los que usurparan pastos y bosques públicos</w:t>
      </w:r>
      <w:r w:rsidRPr="00EA1A07">
        <w:rPr>
          <w:rFonts w:ascii="Times New Roman" w:hAnsi="Times New Roman"/>
          <w:sz w:val="24"/>
          <w:vertAlign w:val="superscript"/>
          <w:lang w:eastAsia="es-ES"/>
        </w:rPr>
        <w:footnoteReference w:id="8"/>
      </w:r>
      <w:r w:rsidRPr="00EA1A07">
        <w:rPr>
          <w:rFonts w:ascii="Times New Roman" w:hAnsi="Times New Roman"/>
          <w:sz w:val="24"/>
          <w:lang w:eastAsia="es-ES"/>
        </w:rPr>
        <w:t>; aquellos que los reinos requirieron a los reyes para que no perdonara: la plantación de viñas</w:t>
      </w:r>
      <w:r w:rsidRPr="00EA1A07">
        <w:rPr>
          <w:rFonts w:ascii="Times New Roman" w:hAnsi="Times New Roman"/>
          <w:sz w:val="24"/>
          <w:vertAlign w:val="superscript"/>
          <w:lang w:eastAsia="es-ES"/>
        </w:rPr>
        <w:footnoteReference w:id="9"/>
      </w:r>
      <w:r w:rsidRPr="00EA1A07">
        <w:rPr>
          <w:rFonts w:ascii="Times New Roman" w:hAnsi="Times New Roman"/>
          <w:sz w:val="24"/>
          <w:lang w:eastAsia="es-ES"/>
        </w:rPr>
        <w:t>, cohecho</w:t>
      </w:r>
      <w:r w:rsidRPr="00EA1A07">
        <w:rPr>
          <w:rFonts w:ascii="Times New Roman" w:hAnsi="Times New Roman"/>
          <w:sz w:val="24"/>
          <w:vertAlign w:val="superscript"/>
          <w:lang w:eastAsia="es-ES"/>
        </w:rPr>
        <w:footnoteReference w:id="10"/>
      </w:r>
      <w:r w:rsidRPr="00EA1A07">
        <w:rPr>
          <w:rFonts w:ascii="Times New Roman" w:hAnsi="Times New Roman"/>
          <w:sz w:val="24"/>
          <w:lang w:eastAsia="es-ES"/>
        </w:rPr>
        <w:t>, baratería</w:t>
      </w:r>
      <w:r w:rsidRPr="00EA1A07">
        <w:rPr>
          <w:rFonts w:ascii="Times New Roman" w:hAnsi="Times New Roman"/>
          <w:sz w:val="24"/>
          <w:vertAlign w:val="superscript"/>
          <w:lang w:eastAsia="es-ES"/>
        </w:rPr>
        <w:footnoteReference w:id="11"/>
      </w:r>
      <w:r w:rsidRPr="00EA1A07">
        <w:rPr>
          <w:rFonts w:ascii="Times New Roman" w:hAnsi="Times New Roman"/>
          <w:sz w:val="24"/>
          <w:lang w:eastAsia="es-ES"/>
        </w:rPr>
        <w:t>, retención de propios y hacienda de los pueblos</w:t>
      </w:r>
      <w:r w:rsidRPr="00EA1A07">
        <w:rPr>
          <w:rFonts w:ascii="Times New Roman" w:hAnsi="Times New Roman"/>
          <w:sz w:val="24"/>
          <w:vertAlign w:val="superscript"/>
          <w:lang w:eastAsia="es-ES"/>
        </w:rPr>
        <w:footnoteReference w:id="12"/>
      </w:r>
      <w:r w:rsidRPr="00EA1A07">
        <w:rPr>
          <w:rFonts w:ascii="Times New Roman" w:hAnsi="Times New Roman"/>
          <w:sz w:val="24"/>
          <w:lang w:eastAsia="es-ES"/>
        </w:rPr>
        <w:t>; y los que se acostumbraba excluir de los indultos generales: crimen de lesa majestad divina (herejía, blasfemia, apostasía, adivinación, encantadores y hechiceros)</w:t>
      </w:r>
      <w:r w:rsidRPr="00EA1A07">
        <w:rPr>
          <w:rFonts w:ascii="Times New Roman" w:hAnsi="Times New Roman"/>
          <w:sz w:val="24"/>
          <w:vertAlign w:val="superscript"/>
          <w:lang w:eastAsia="es-ES"/>
        </w:rPr>
        <w:footnoteReference w:id="13"/>
      </w:r>
      <w:r w:rsidRPr="00EA1A07">
        <w:rPr>
          <w:rFonts w:ascii="Times New Roman" w:hAnsi="Times New Roman"/>
          <w:sz w:val="24"/>
          <w:lang w:eastAsia="es-ES"/>
        </w:rPr>
        <w:t xml:space="preserve"> o humana (sedición, </w:t>
      </w:r>
      <w:r w:rsidRPr="00EA1A07">
        <w:rPr>
          <w:rFonts w:ascii="Times New Roman" w:hAnsi="Times New Roman"/>
          <w:sz w:val="24"/>
          <w:lang w:eastAsia="es-ES"/>
        </w:rPr>
        <w:lastRenderedPageBreak/>
        <w:t>conspiración y conjuración)</w:t>
      </w:r>
      <w:r w:rsidRPr="00EA1A07">
        <w:rPr>
          <w:rFonts w:ascii="Times New Roman" w:hAnsi="Times New Roman"/>
          <w:sz w:val="24"/>
          <w:vertAlign w:val="superscript"/>
          <w:lang w:eastAsia="es-ES"/>
        </w:rPr>
        <w:footnoteReference w:id="14"/>
      </w:r>
      <w:r w:rsidRPr="00EA1A07">
        <w:rPr>
          <w:rFonts w:ascii="Times New Roman" w:hAnsi="Times New Roman"/>
          <w:sz w:val="24"/>
          <w:lang w:eastAsia="es-ES"/>
        </w:rPr>
        <w:t>, sodomía</w:t>
      </w:r>
      <w:r w:rsidRPr="00EA1A07">
        <w:rPr>
          <w:rFonts w:ascii="Times New Roman" w:hAnsi="Times New Roman"/>
          <w:sz w:val="24"/>
          <w:vertAlign w:val="superscript"/>
          <w:lang w:eastAsia="es-ES"/>
        </w:rPr>
        <w:footnoteReference w:id="15"/>
      </w:r>
      <w:r w:rsidRPr="00EA1A07">
        <w:rPr>
          <w:rFonts w:ascii="Times New Roman" w:hAnsi="Times New Roman"/>
          <w:sz w:val="24"/>
          <w:lang w:eastAsia="es-ES"/>
        </w:rPr>
        <w:t>, hurto</w:t>
      </w:r>
      <w:r w:rsidRPr="00EA1A07">
        <w:rPr>
          <w:rFonts w:ascii="Times New Roman" w:hAnsi="Times New Roman"/>
          <w:sz w:val="24"/>
          <w:vertAlign w:val="superscript"/>
          <w:lang w:eastAsia="es-ES"/>
        </w:rPr>
        <w:footnoteReference w:id="16"/>
      </w:r>
      <w:r w:rsidRPr="00EA1A07">
        <w:rPr>
          <w:rFonts w:ascii="Times New Roman" w:hAnsi="Times New Roman"/>
          <w:sz w:val="24"/>
          <w:lang w:eastAsia="es-ES"/>
        </w:rPr>
        <w:t>, falsedad</w:t>
      </w:r>
      <w:r w:rsidRPr="00EA1A07">
        <w:rPr>
          <w:rFonts w:ascii="Times New Roman" w:hAnsi="Times New Roman"/>
          <w:sz w:val="24"/>
          <w:vertAlign w:val="superscript"/>
          <w:lang w:eastAsia="es-ES"/>
        </w:rPr>
        <w:footnoteReference w:id="17"/>
      </w:r>
      <w:r w:rsidRPr="00EA1A07">
        <w:rPr>
          <w:rFonts w:ascii="Times New Roman" w:hAnsi="Times New Roman"/>
          <w:sz w:val="24"/>
          <w:lang w:eastAsia="es-ES"/>
        </w:rPr>
        <w:t>, blasfemia</w:t>
      </w:r>
      <w:r w:rsidRPr="00EA1A07">
        <w:rPr>
          <w:rFonts w:ascii="Times New Roman" w:hAnsi="Times New Roman"/>
          <w:sz w:val="24"/>
          <w:vertAlign w:val="superscript"/>
          <w:lang w:eastAsia="es-ES"/>
        </w:rPr>
        <w:footnoteReference w:id="18"/>
      </w:r>
      <w:r w:rsidRPr="00EA1A07">
        <w:rPr>
          <w:rFonts w:ascii="Times New Roman" w:hAnsi="Times New Roman"/>
          <w:sz w:val="24"/>
          <w:lang w:eastAsia="es-ES"/>
        </w:rPr>
        <w:t xml:space="preserve"> y resistencia a la justicia</w:t>
      </w:r>
      <w:r w:rsidRPr="00EA1A07">
        <w:rPr>
          <w:rFonts w:ascii="Times New Roman" w:hAnsi="Times New Roman"/>
          <w:sz w:val="24"/>
          <w:vertAlign w:val="superscript"/>
          <w:lang w:eastAsia="es-ES"/>
        </w:rPr>
        <w:footnoteReference w:id="19"/>
      </w:r>
      <w:r w:rsidRPr="00EA1A07">
        <w:rPr>
          <w:rFonts w:ascii="Times New Roman" w:hAnsi="Times New Roman"/>
          <w:sz w:val="24"/>
          <w:lang w:eastAsia="es-ES"/>
        </w:rPr>
        <w:t>. Además de los anteriores, la mayoría de indultos generales del siglo XVIII excluyeron del perdón a los delitos de incendiario y la malversación de la Real Hacienda</w:t>
      </w:r>
      <w:r w:rsidRPr="00EA1A07">
        <w:rPr>
          <w:rFonts w:ascii="Times New Roman" w:hAnsi="Times New Roman"/>
          <w:sz w:val="24"/>
          <w:vertAlign w:val="superscript"/>
          <w:lang w:eastAsia="es-ES"/>
        </w:rPr>
        <w:footnoteReference w:id="20"/>
      </w:r>
      <w:r w:rsidRPr="00EA1A07">
        <w:rPr>
          <w:rFonts w:ascii="Times New Roman" w:hAnsi="Times New Roman"/>
          <w:sz w:val="24"/>
          <w:lang w:eastAsia="es-ES"/>
        </w:rPr>
        <w:t>, los cuales podrían comprenderse dentro del amplio espectro de la traición</w:t>
      </w:r>
      <w:r w:rsidRPr="00EA1A07">
        <w:rPr>
          <w:rFonts w:ascii="Times New Roman" w:hAnsi="Times New Roman"/>
          <w:sz w:val="24"/>
          <w:vertAlign w:val="superscript"/>
          <w:lang w:eastAsia="es-ES"/>
        </w:rPr>
        <w:footnoteReference w:id="21"/>
      </w:r>
      <w:r w:rsidRPr="00EA1A07">
        <w:rPr>
          <w:rFonts w:ascii="Times New Roman" w:hAnsi="Times New Roman"/>
          <w:sz w:val="24"/>
          <w:lang w:eastAsia="es-ES"/>
        </w:rPr>
        <w:t xml:space="preserve">. </w:t>
      </w:r>
    </w:p>
    <w:p w:rsidR="00EA1A07" w:rsidRPr="00EA1A07" w:rsidRDefault="00EA1A07" w:rsidP="00EA1A07">
      <w:pPr>
        <w:spacing w:line="360" w:lineRule="auto"/>
        <w:rPr>
          <w:rFonts w:ascii="Times New Roman" w:hAnsi="Times New Roman"/>
          <w:sz w:val="24"/>
          <w:lang w:eastAsia="es-ES"/>
        </w:rPr>
      </w:pPr>
      <w:r w:rsidRPr="00EA1A07">
        <w:rPr>
          <w:rFonts w:ascii="Times New Roman" w:hAnsi="Times New Roman"/>
          <w:sz w:val="24"/>
          <w:lang w:eastAsia="es-ES"/>
        </w:rPr>
        <w:t>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1848</w:t>
      </w:r>
      <w:r w:rsidRPr="00EA1A07">
        <w:rPr>
          <w:rFonts w:ascii="Times New Roman" w:hAnsi="Times New Roman"/>
          <w:sz w:val="24"/>
          <w:vertAlign w:val="superscript"/>
          <w:lang w:eastAsia="es-ES"/>
        </w:rPr>
        <w:footnoteReference w:id="22"/>
      </w:r>
      <w:r w:rsidRPr="00EA1A07">
        <w:rPr>
          <w:rFonts w:ascii="Times New Roman" w:hAnsi="Times New Roman"/>
          <w:sz w:val="24"/>
          <w:lang w:eastAsia="es-ES"/>
        </w:rPr>
        <w:t>) y que fue tomada como prototipo por Vicente Vizcaíno para ejemplificar los delitos exceptuados del perdón general</w:t>
      </w:r>
      <w:r w:rsidRPr="00EA1A07">
        <w:rPr>
          <w:rFonts w:ascii="Times New Roman" w:hAnsi="Times New Roman"/>
          <w:sz w:val="24"/>
          <w:vertAlign w:val="superscript"/>
          <w:lang w:eastAsia="es-ES"/>
        </w:rPr>
        <w:footnoteReference w:id="23"/>
      </w:r>
      <w:r w:rsidRPr="00EA1A07">
        <w:rPr>
          <w:rFonts w:ascii="Times New Roman" w:hAnsi="Times New Roman"/>
          <w:sz w:val="24"/>
          <w:lang w:eastAsia="es-ES"/>
        </w:rPr>
        <w:t>. La fórmula que aparecería en todas estas cédulas sería:</w:t>
      </w:r>
    </w:p>
    <w:p w:rsidR="00EA1A07" w:rsidRPr="00EA1A07" w:rsidRDefault="00EA1A07" w:rsidP="00EA1A07">
      <w:pPr>
        <w:spacing w:line="240" w:lineRule="auto"/>
        <w:ind w:left="709" w:firstLine="0"/>
        <w:rPr>
          <w:rFonts w:ascii="Times New Roman" w:hAnsi="Times New Roman"/>
          <w:iCs/>
          <w:sz w:val="24"/>
          <w:lang w:eastAsia="es-ES"/>
        </w:rPr>
      </w:pPr>
      <w:r w:rsidRPr="00EA1A07">
        <w:rPr>
          <w:rFonts w:ascii="Times New Roman" w:hAnsi="Times New Roman"/>
          <w:iCs/>
          <w:sz w:val="24"/>
          <w:lang w:eastAsia="es-ES"/>
        </w:rPr>
        <w:lastRenderedPageBreak/>
        <w:t xml:space="preserve">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w:t>
      </w:r>
      <w:proofErr w:type="spellStart"/>
      <w:r w:rsidRPr="00EA1A07">
        <w:rPr>
          <w:rFonts w:ascii="Times New Roman" w:hAnsi="Times New Roman"/>
          <w:iCs/>
          <w:sz w:val="24"/>
          <w:lang w:eastAsia="es-ES"/>
        </w:rPr>
        <w:t>Reyno</w:t>
      </w:r>
      <w:proofErr w:type="spellEnd"/>
      <w:r w:rsidRPr="00EA1A07">
        <w:rPr>
          <w:rFonts w:ascii="Times New Roman" w:hAnsi="Times New Roman"/>
          <w:iCs/>
          <w:sz w:val="24"/>
          <w:lang w:eastAsia="es-ES"/>
        </w:rPr>
        <w:t>, el de blasfemia, el de sodomía, el hurto, el cohecho y baratería, el de falsedad, el de resistencia a la Justicia, el de desafío, y el de mala versación de mi Real  Hacienda”</w:t>
      </w:r>
      <w:r w:rsidRPr="00EA1A07">
        <w:rPr>
          <w:rFonts w:ascii="Times New Roman" w:hAnsi="Times New Roman"/>
          <w:iCs/>
          <w:sz w:val="24"/>
          <w:vertAlign w:val="superscript"/>
          <w:lang w:eastAsia="es-ES"/>
        </w:rPr>
        <w:footnoteReference w:id="24"/>
      </w:r>
    </w:p>
    <w:p w:rsidR="00EA1A07" w:rsidRPr="00EA1A07" w:rsidRDefault="00EA1A07" w:rsidP="00EA1A07">
      <w:pPr>
        <w:spacing w:line="360" w:lineRule="auto"/>
        <w:rPr>
          <w:rFonts w:ascii="Times New Roman" w:hAnsi="Times New Roman"/>
          <w:sz w:val="24"/>
          <w:lang w:eastAsia="es-ES"/>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Delitos exceptuados: ciertos delitos son exceptuados, basándose en el sentido de ser tan aberrantes que no podrían estar incluidos en la clemencia sin representar un daño al orden de la república.</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2.2. Clasificación de los indultos: generales, particulares, etc.</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EA1A07">
        <w:rPr>
          <w:rFonts w:ascii="Times New Roman" w:hAnsi="Times New Roman"/>
          <w:sz w:val="24"/>
          <w:vertAlign w:val="superscript"/>
        </w:rPr>
        <w:footnoteReference w:id="25"/>
      </w:r>
      <w:r w:rsidRPr="00EA1A07">
        <w:rPr>
          <w:rFonts w:ascii="Times New Roman" w:hAnsi="Times New Roman"/>
          <w:sz w:val="24"/>
        </w:rPr>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EA1A07">
        <w:rPr>
          <w:rFonts w:ascii="Times New Roman" w:hAnsi="Times New Roman"/>
          <w:sz w:val="24"/>
          <w:vertAlign w:val="superscript"/>
        </w:rPr>
        <w:footnoteReference w:id="26"/>
      </w:r>
      <w:r w:rsidRPr="00EA1A07">
        <w:rPr>
          <w:rFonts w:ascii="Times New Roman" w:hAnsi="Times New Roman"/>
          <w:sz w:val="24"/>
        </w:rPr>
        <w:t xml:space="preserve">. Esta distinción es fundamental en tanto permite 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w:t>
      </w:r>
      <w:r w:rsidRPr="00EA1A07">
        <w:rPr>
          <w:rFonts w:ascii="Times New Roman" w:hAnsi="Times New Roman"/>
          <w:sz w:val="24"/>
        </w:rPr>
        <w:lastRenderedPageBreak/>
        <w:t>o ganar combatientes del bando contrario</w:t>
      </w:r>
      <w:r w:rsidRPr="00EA1A07">
        <w:rPr>
          <w:rFonts w:ascii="Times New Roman" w:hAnsi="Times New Roman"/>
          <w:sz w:val="24"/>
          <w:vertAlign w:val="superscript"/>
        </w:rPr>
        <w:footnoteReference w:id="27"/>
      </w:r>
      <w:r w:rsidRPr="00EA1A07">
        <w:rPr>
          <w:rFonts w:ascii="Times New Roman" w:hAnsi="Times New Roman"/>
          <w:sz w:val="24"/>
        </w:rPr>
        <w:t>. Por otra parte, los reos presentes y ausentes aprovecharon la costumbre celebratoria para acogerse al indulto general más amplio y con ello pretender su posible libertad y restauración de la honra perdida tras el crimen.</w:t>
      </w:r>
    </w:p>
    <w:p w:rsidR="00EA1A07" w:rsidRPr="00EA1A07" w:rsidRDefault="00EA1A07" w:rsidP="00EA1A07">
      <w:pPr>
        <w:spacing w:line="360" w:lineRule="auto"/>
        <w:rPr>
          <w:rFonts w:ascii="Times New Roman" w:hAnsi="Times New Roman"/>
          <w:iCs/>
          <w:sz w:val="24"/>
        </w:rPr>
      </w:pPr>
      <w:r w:rsidRPr="00EA1A07">
        <w:rPr>
          <w:rFonts w:ascii="Times New Roman" w:hAnsi="Times New Roman"/>
          <w:sz w:val="24"/>
        </w:rPr>
        <w:t>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reo</w:t>
      </w:r>
      <w:r w:rsidRPr="00EA1A07">
        <w:rPr>
          <w:rFonts w:ascii="Times New Roman" w:hAnsi="Times New Roman"/>
          <w:sz w:val="24"/>
          <w:vertAlign w:val="superscript"/>
        </w:rPr>
        <w:footnoteReference w:id="28"/>
      </w:r>
      <w:r w:rsidRPr="00EA1A07">
        <w:rPr>
          <w:rFonts w:ascii="Times New Roman" w:hAnsi="Times New Roman"/>
          <w:sz w:val="24"/>
        </w:rPr>
        <w:t xml:space="preserve">. En este sentido, se trata de una correlación entre el perdón y la merced, cuyo fundamento legal estaba anclado en la ley de </w:t>
      </w:r>
      <w:r w:rsidRPr="00EA1A07">
        <w:rPr>
          <w:rFonts w:ascii="Times New Roman" w:hAnsi="Times New Roman"/>
          <w:i/>
          <w:sz w:val="24"/>
        </w:rPr>
        <w:t>Partidas</w:t>
      </w:r>
      <w:r w:rsidRPr="00EA1A07">
        <w:rPr>
          <w:rFonts w:ascii="Times New Roman" w:hAnsi="Times New Roman"/>
          <w:sz w:val="24"/>
        </w:rPr>
        <w:t xml:space="preserve"> que decía: “</w:t>
      </w:r>
      <w:r w:rsidRPr="00EA1A07">
        <w:rPr>
          <w:rFonts w:ascii="Times New Roman" w:hAnsi="Times New Roman"/>
          <w:iCs/>
          <w:sz w:val="24"/>
        </w:rPr>
        <w:t xml:space="preserve">Merced, es </w:t>
      </w:r>
      <w:proofErr w:type="spellStart"/>
      <w:r w:rsidRPr="00EA1A07">
        <w:rPr>
          <w:rFonts w:ascii="Times New Roman" w:hAnsi="Times New Roman"/>
          <w:iCs/>
          <w:sz w:val="24"/>
        </w:rPr>
        <w:t>perdon</w:t>
      </w:r>
      <w:proofErr w:type="spellEnd"/>
      <w:r w:rsidRPr="00EA1A07">
        <w:rPr>
          <w:rFonts w:ascii="Times New Roman" w:hAnsi="Times New Roman"/>
          <w:iCs/>
          <w:sz w:val="24"/>
        </w:rPr>
        <w:t xml:space="preserve"> que el Rey </w:t>
      </w:r>
      <w:proofErr w:type="spellStart"/>
      <w:r w:rsidRPr="00EA1A07">
        <w:rPr>
          <w:rFonts w:ascii="Times New Roman" w:hAnsi="Times New Roman"/>
          <w:iCs/>
          <w:sz w:val="24"/>
        </w:rPr>
        <w:t>faze</w:t>
      </w:r>
      <w:proofErr w:type="spellEnd"/>
      <w:r w:rsidRPr="00EA1A07">
        <w:rPr>
          <w:rFonts w:ascii="Times New Roman" w:hAnsi="Times New Roman"/>
          <w:iCs/>
          <w:sz w:val="24"/>
        </w:rPr>
        <w:t xml:space="preserve"> a otro, por </w:t>
      </w:r>
      <w:proofErr w:type="spellStart"/>
      <w:r w:rsidRPr="00EA1A07">
        <w:rPr>
          <w:rFonts w:ascii="Times New Roman" w:hAnsi="Times New Roman"/>
          <w:iCs/>
          <w:sz w:val="24"/>
        </w:rPr>
        <w:t>merescimiento</w:t>
      </w:r>
      <w:proofErr w:type="spellEnd"/>
      <w:r w:rsidRPr="00EA1A07">
        <w:rPr>
          <w:rFonts w:ascii="Times New Roman" w:hAnsi="Times New Roman"/>
          <w:iCs/>
          <w:sz w:val="24"/>
        </w:rPr>
        <w:t xml:space="preserve"> de servicio que le fizo aquel a quien perdona, o aquellos de quien el desciende, e es como manera de </w:t>
      </w:r>
      <w:proofErr w:type="spellStart"/>
      <w:r w:rsidRPr="00EA1A07">
        <w:rPr>
          <w:rFonts w:ascii="Times New Roman" w:hAnsi="Times New Roman"/>
          <w:iCs/>
          <w:sz w:val="24"/>
        </w:rPr>
        <w:t>galardon</w:t>
      </w:r>
      <w:proofErr w:type="spellEnd"/>
      <w:r w:rsidRPr="00EA1A07">
        <w:rPr>
          <w:rFonts w:ascii="Times New Roman" w:hAnsi="Times New Roman"/>
          <w:iCs/>
          <w:sz w:val="24"/>
        </w:rPr>
        <w:t>.”</w:t>
      </w:r>
      <w:r w:rsidRPr="00EA1A07">
        <w:rPr>
          <w:rFonts w:ascii="Times New Roman" w:hAnsi="Times New Roman"/>
          <w:sz w:val="24"/>
          <w:vertAlign w:val="superscript"/>
        </w:rPr>
        <w:footnoteReference w:id="29"/>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El perdón por merced involucraría a aquellos que tuviesen una calidad de nobleza o que si no la tuvieran fueran capaces de demostrar sus servicios al príncipe</w:t>
      </w:r>
      <w:r w:rsidRPr="00EA1A07">
        <w:rPr>
          <w:rFonts w:ascii="Times New Roman" w:hAnsi="Times New Roman"/>
          <w:sz w:val="24"/>
          <w:vertAlign w:val="superscript"/>
        </w:rPr>
        <w:footnoteReference w:id="30"/>
      </w:r>
      <w:r w:rsidRPr="00EA1A07">
        <w:rPr>
          <w:rFonts w:ascii="Times New Roman" w:hAnsi="Times New Roman"/>
          <w:sz w:val="24"/>
        </w:rPr>
        <w:t>. En este tenor, la misericordia funciona como recompensa del mérito propio o heredado</w:t>
      </w:r>
      <w:r w:rsidRPr="00EA1A07">
        <w:rPr>
          <w:rFonts w:ascii="Times New Roman" w:hAnsi="Times New Roman"/>
          <w:sz w:val="24"/>
          <w:vertAlign w:val="superscript"/>
        </w:rPr>
        <w:footnoteReference w:id="31"/>
      </w:r>
      <w:r w:rsidRPr="00EA1A07">
        <w:rPr>
          <w:rFonts w:ascii="Times New Roman" w:hAnsi="Times New Roman"/>
          <w:sz w:val="24"/>
        </w:rPr>
        <w:t>, ya que la retribución al servicio prestado a la corona era considerada justicia, por lo cual, la moderación o anulación del castigo sustentado en el merecimiento no se consideraba injusta, antes bien, era esperada por aquel que solicitaba la misericordia del rey</w:t>
      </w:r>
      <w:r w:rsidRPr="00EA1A07">
        <w:rPr>
          <w:rFonts w:ascii="Times New Roman" w:hAnsi="Times New Roman"/>
          <w:sz w:val="24"/>
          <w:vertAlign w:val="superscript"/>
        </w:rPr>
        <w:footnoteReference w:id="32"/>
      </w:r>
      <w:r w:rsidRPr="00EA1A07">
        <w:rPr>
          <w:rFonts w:ascii="Times New Roman" w:hAnsi="Times New Roman"/>
          <w:sz w:val="24"/>
        </w:rPr>
        <w:t xml:space="preserve">. La diferencia entre el perdón </w:t>
      </w:r>
      <w:r w:rsidRPr="00EA1A07">
        <w:rPr>
          <w:rFonts w:ascii="Times New Roman" w:hAnsi="Times New Roman"/>
          <w:sz w:val="24"/>
        </w:rPr>
        <w:lastRenderedPageBreak/>
        <w:t>otorgado por merced y por gracia radicaría solamente en que la donación graciosa surge de la liberalidad del monarca y no presume la existencia de un mérito en quien la recibe</w:t>
      </w:r>
      <w:r w:rsidRPr="00EA1A07">
        <w:rPr>
          <w:rFonts w:ascii="Times New Roman" w:hAnsi="Times New Roman"/>
          <w:sz w:val="24"/>
          <w:vertAlign w:val="superscript"/>
        </w:rPr>
        <w:footnoteReference w:id="33"/>
      </w:r>
      <w:r w:rsidRPr="00EA1A07">
        <w:rPr>
          <w:rFonts w:ascii="Times New Roman" w:hAnsi="Times New Roman"/>
          <w:sz w:val="24"/>
        </w:rPr>
        <w:t xml:space="preserve">. </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EA1A07">
        <w:rPr>
          <w:rFonts w:ascii="Times New Roman" w:hAnsi="Times New Roman"/>
          <w:sz w:val="24"/>
          <w:vertAlign w:val="superscript"/>
        </w:rPr>
        <w:footnoteReference w:id="34"/>
      </w:r>
      <w:r w:rsidRPr="00EA1A07">
        <w:rPr>
          <w:rFonts w:ascii="Times New Roman" w:hAnsi="Times New Roman"/>
          <w:sz w:val="24"/>
        </w:rPr>
        <w:t>. En este sentido, se apelaba al principio de la utilidad pública según el cual era posible excusar la vindicta, incluso el perdón de parte y permitía la remisión de la pena de muerte en delitos atroces</w:t>
      </w:r>
      <w:r w:rsidRPr="00EA1A07">
        <w:rPr>
          <w:rFonts w:ascii="Times New Roman" w:hAnsi="Times New Roman"/>
          <w:sz w:val="24"/>
          <w:vertAlign w:val="superscript"/>
        </w:rPr>
        <w:footnoteReference w:id="35"/>
      </w:r>
      <w:r w:rsidRPr="00EA1A07">
        <w:rPr>
          <w:rFonts w:ascii="Times New Roman" w:hAnsi="Times New Roman"/>
          <w:sz w:val="24"/>
        </w:rPr>
        <w:t>. La utilidad más común consistía en la conmutación de la pena capital por el trabajo en galeras</w:t>
      </w:r>
      <w:r w:rsidRPr="00EA1A07">
        <w:rPr>
          <w:rFonts w:ascii="Times New Roman" w:hAnsi="Times New Roman"/>
          <w:sz w:val="24"/>
          <w:vertAlign w:val="superscript"/>
        </w:rPr>
        <w:footnoteReference w:id="36"/>
      </w:r>
      <w:r w:rsidRPr="00EA1A07">
        <w:rPr>
          <w:rFonts w:ascii="Times New Roman" w:hAnsi="Times New Roman"/>
          <w:sz w:val="24"/>
        </w:rPr>
        <w:t>, con lo cual se fortalecía el comercio y los navíos de guerra. Por lo tanto, hay una idea de conveniencia que por una parte salvaba la clemencia del rey y por otra servía a la república</w:t>
      </w:r>
      <w:r w:rsidRPr="00EA1A07">
        <w:rPr>
          <w:rFonts w:ascii="Times New Roman" w:hAnsi="Times New Roman"/>
          <w:sz w:val="24"/>
          <w:vertAlign w:val="superscript"/>
        </w:rPr>
        <w:footnoteReference w:id="37"/>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Siguiendo la tratadística castellana, uno de los preceptos del gobierno de los príncipes consistía en que el bien público estaba por encima del bien particular</w:t>
      </w:r>
      <w:r w:rsidRPr="00EA1A07">
        <w:rPr>
          <w:rFonts w:ascii="Times New Roman" w:hAnsi="Times New Roman"/>
          <w:sz w:val="24"/>
          <w:vertAlign w:val="superscript"/>
        </w:rPr>
        <w:footnoteReference w:id="38"/>
      </w:r>
      <w:r w:rsidRPr="00EA1A07">
        <w:rPr>
          <w:rFonts w:ascii="Times New Roman" w:hAnsi="Times New Roman"/>
          <w:sz w:val="24"/>
        </w:rPr>
        <w:t xml:space="preserve">, en ese sentido, todos </w:t>
      </w:r>
      <w:r w:rsidRPr="00EA1A07">
        <w:rPr>
          <w:rFonts w:ascii="Times New Roman" w:hAnsi="Times New Roman"/>
          <w:sz w:val="24"/>
        </w:rPr>
        <w:lastRenderedPageBreak/>
        <w:t>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EA1A07">
        <w:rPr>
          <w:rFonts w:ascii="Times New Roman" w:hAnsi="Times New Roman"/>
          <w:sz w:val="24"/>
          <w:vertAlign w:val="superscript"/>
        </w:rPr>
        <w:footnoteReference w:id="39"/>
      </w:r>
      <w:r w:rsidRPr="00EA1A07">
        <w:rPr>
          <w:rFonts w:ascii="Times New Roman" w:hAnsi="Times New Roman"/>
          <w:sz w:val="24"/>
        </w:rPr>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EA1A07">
        <w:rPr>
          <w:rFonts w:ascii="Times New Roman" w:hAnsi="Times New Roman"/>
          <w:sz w:val="24"/>
          <w:vertAlign w:val="superscript"/>
        </w:rPr>
        <w:footnoteReference w:id="40"/>
      </w:r>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1.4. Clemencia con el enemigo extranjero</w:t>
      </w:r>
    </w:p>
    <w:p w:rsidR="00EA1A07" w:rsidRDefault="00EA1A07" w:rsidP="00EA1A07">
      <w:pPr>
        <w:spacing w:line="360" w:lineRule="auto"/>
        <w:rPr>
          <w:rFonts w:ascii="Times New Roman" w:hAnsi="Times New Roman"/>
          <w:sz w:val="24"/>
        </w:rPr>
      </w:pPr>
    </w:p>
    <w:p w:rsidR="00244C42" w:rsidRDefault="00672529" w:rsidP="00EA1A07">
      <w:pPr>
        <w:spacing w:line="360" w:lineRule="auto"/>
        <w:rPr>
          <w:rFonts w:ascii="Times New Roman" w:hAnsi="Times New Roman"/>
          <w:sz w:val="24"/>
        </w:rPr>
      </w:pPr>
      <w:hyperlink r:id="rId7" w:history="1">
        <w:r w:rsidR="00244C42" w:rsidRPr="005367AC">
          <w:rPr>
            <w:rStyle w:val="Hipervnculo"/>
            <w:rFonts w:ascii="Times New Roman" w:hAnsi="Times New Roman"/>
            <w:sz w:val="24"/>
          </w:rPr>
          <w:t>http://localhost/fichero/items/show/325</w:t>
        </w:r>
      </w:hyperlink>
      <w:r w:rsidR="00244C42">
        <w:rPr>
          <w:rFonts w:ascii="Times New Roman" w:hAnsi="Times New Roman"/>
          <w:sz w:val="24"/>
        </w:rPr>
        <w:t xml:space="preserve"> </w:t>
      </w:r>
    </w:p>
    <w:p w:rsidR="00244C42" w:rsidRPr="00EA1A07" w:rsidRDefault="00244C42"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En el Salón de Reinos del Museo del Prado de Madrid penden dos famosas pinturas: </w:t>
      </w:r>
      <w:r w:rsidRPr="00EA1A07">
        <w:rPr>
          <w:rFonts w:ascii="Times New Roman" w:hAnsi="Times New Roman"/>
          <w:i/>
          <w:sz w:val="24"/>
        </w:rPr>
        <w:t xml:space="preserve">La recuperación de Bahía de Todos los Santos </w:t>
      </w:r>
      <w:r w:rsidRPr="00EA1A07">
        <w:rPr>
          <w:rFonts w:ascii="Times New Roman" w:hAnsi="Times New Roman"/>
          <w:sz w:val="24"/>
        </w:rPr>
        <w:t xml:space="preserve">de Juan Bautista </w:t>
      </w:r>
      <w:proofErr w:type="spellStart"/>
      <w:r w:rsidRPr="00EA1A07">
        <w:rPr>
          <w:rFonts w:ascii="Times New Roman" w:hAnsi="Times New Roman"/>
          <w:sz w:val="24"/>
        </w:rPr>
        <w:t>Maíno</w:t>
      </w:r>
      <w:proofErr w:type="spellEnd"/>
      <w:r w:rsidRPr="00EA1A07">
        <w:rPr>
          <w:rFonts w:ascii="Times New Roman" w:hAnsi="Times New Roman"/>
          <w:sz w:val="24"/>
        </w:rPr>
        <w:t xml:space="preserve"> y </w:t>
      </w:r>
      <w:r w:rsidRPr="00EA1A07">
        <w:rPr>
          <w:rFonts w:ascii="Times New Roman" w:hAnsi="Times New Roman"/>
          <w:i/>
          <w:sz w:val="24"/>
        </w:rPr>
        <w:t>La rendición de Breda</w:t>
      </w:r>
      <w:r w:rsidRPr="00EA1A07">
        <w:rPr>
          <w:rFonts w:ascii="Times New Roman" w:hAnsi="Times New Roman"/>
          <w:sz w:val="24"/>
        </w:rPr>
        <w:t xml:space="preserve">, mejor conocida como </w:t>
      </w:r>
      <w:r w:rsidRPr="00EA1A07">
        <w:rPr>
          <w:rFonts w:ascii="Times New Roman" w:hAnsi="Times New Roman"/>
          <w:i/>
          <w:sz w:val="24"/>
        </w:rPr>
        <w:t>Las lanzas</w:t>
      </w:r>
      <w:r w:rsidRPr="00EA1A07">
        <w:rPr>
          <w:rFonts w:ascii="Times New Roman" w:hAnsi="Times New Roman"/>
          <w:sz w:val="24"/>
        </w:rPr>
        <w:t>, de Diego Velázquez, las cuales adornaban los muros palaciegos de la sala homónima del destruido palacio del Buen Retiro.</w:t>
      </w:r>
      <w:r w:rsidRPr="00EA1A07">
        <w:rPr>
          <w:rFonts w:ascii="Times New Roman" w:hAnsi="Times New Roman"/>
          <w:sz w:val="24"/>
          <w:vertAlign w:val="superscript"/>
        </w:rPr>
        <w:footnoteReference w:id="41"/>
      </w:r>
      <w:r w:rsidRPr="00EA1A07">
        <w:rPr>
          <w:rFonts w:ascii="Times New Roman" w:hAnsi="Times New Roman"/>
          <w:sz w:val="24"/>
        </w:rPr>
        <w:t xml:space="preserve"> Estos cuadros se realizaron de manera simultánea entre 1634 y 1635 con el propósito de celebrar las victorias militares del temprano reinado de Felipe IV. Las obras comparten dimensiones (la de Velázquez es ligeramente más pequeña) y destacan por sobre la docena de representaciones de victorias que adornan el salón por expresar el mensaje de clemencia y magnanimidad del vencedor que contrasta con las miserias de la guerra, cuyo trasfondo </w:t>
      </w:r>
      <w:r w:rsidRPr="00EA1A07">
        <w:rPr>
          <w:rFonts w:ascii="Times New Roman" w:hAnsi="Times New Roman"/>
          <w:sz w:val="24"/>
        </w:rPr>
        <w:lastRenderedPageBreak/>
        <w:t>comunicaba la imagen del rey clemente que ofrecía la paz y la reconciliación a sus enemigos; en síntesis, una alegoría de su poderío y virtud.</w:t>
      </w:r>
      <w:r w:rsidRPr="00EA1A07">
        <w:rPr>
          <w:rFonts w:ascii="Times New Roman" w:hAnsi="Times New Roman"/>
          <w:sz w:val="24"/>
          <w:vertAlign w:val="superscript"/>
        </w:rPr>
        <w:footnoteReference w:id="42"/>
      </w:r>
      <w:r w:rsidRPr="00EA1A07">
        <w:rPr>
          <w:rFonts w:ascii="Times New Roman" w:hAnsi="Times New Roman"/>
          <w:sz w:val="24"/>
        </w:rPr>
        <w:t xml:space="preserve"> Para acompañar esta épica de la monarquía, conservar la memoria de la grandeza del imperio español en tiempos de la Unión de Armas y sobre todo, exaltar la grandeza de 1625 como </w:t>
      </w:r>
      <w:proofErr w:type="spellStart"/>
      <w:r w:rsidRPr="00EA1A07">
        <w:rPr>
          <w:rFonts w:ascii="Times New Roman" w:hAnsi="Times New Roman"/>
          <w:i/>
          <w:sz w:val="24"/>
        </w:rPr>
        <w:t>Annus</w:t>
      </w:r>
      <w:proofErr w:type="spellEnd"/>
      <w:r w:rsidRPr="00EA1A07">
        <w:rPr>
          <w:rFonts w:ascii="Times New Roman" w:hAnsi="Times New Roman"/>
          <w:i/>
          <w:sz w:val="24"/>
        </w:rPr>
        <w:t xml:space="preserve"> </w:t>
      </w:r>
      <w:proofErr w:type="spellStart"/>
      <w:r w:rsidRPr="00EA1A07">
        <w:rPr>
          <w:rFonts w:ascii="Times New Roman" w:hAnsi="Times New Roman"/>
          <w:i/>
          <w:sz w:val="24"/>
        </w:rPr>
        <w:t>Mirabilis</w:t>
      </w:r>
      <w:proofErr w:type="spellEnd"/>
      <w:r w:rsidRPr="00EA1A07">
        <w:rPr>
          <w:rFonts w:ascii="Times New Roman" w:hAnsi="Times New Roman"/>
          <w:sz w:val="24"/>
        </w:rPr>
        <w:t xml:space="preserve">, Lope de Vega había creado ese mismo año la comedia </w:t>
      </w:r>
      <w:r w:rsidRPr="00EA1A07">
        <w:rPr>
          <w:rFonts w:ascii="Times New Roman" w:hAnsi="Times New Roman"/>
          <w:i/>
          <w:sz w:val="24"/>
        </w:rPr>
        <w:t>El Brasil restituido</w:t>
      </w:r>
      <w:r w:rsidRPr="00EA1A07">
        <w:rPr>
          <w:rFonts w:ascii="Times New Roman" w:hAnsi="Times New Roman"/>
          <w:sz w:val="24"/>
        </w:rPr>
        <w:t xml:space="preserve"> como alabanza de la restauración de Bahía; y por la misma fecha, Calderón de la Barca, posiblemente por encargo del Conde Duque de Olivares, puso en escena </w:t>
      </w:r>
      <w:r w:rsidRPr="00EA1A07">
        <w:rPr>
          <w:rFonts w:ascii="Times New Roman" w:hAnsi="Times New Roman"/>
          <w:i/>
          <w:sz w:val="24"/>
        </w:rPr>
        <w:t>El sitio de Breda</w:t>
      </w:r>
      <w:r w:rsidRPr="00EA1A07">
        <w:rPr>
          <w:rFonts w:ascii="Times New Roman" w:hAnsi="Times New Roman"/>
          <w:sz w:val="24"/>
        </w:rPr>
        <w:t>, dramaturgia centrada en la rendición de los soldados holandeses.</w:t>
      </w:r>
      <w:r w:rsidRPr="00EA1A07">
        <w:rPr>
          <w:rFonts w:ascii="Times New Roman" w:hAnsi="Times New Roman"/>
          <w:sz w:val="24"/>
          <w:vertAlign w:val="superscript"/>
        </w:rPr>
        <w:footnoteReference w:id="43"/>
      </w:r>
      <w:r w:rsidRPr="00EA1A07">
        <w:rPr>
          <w:rFonts w:ascii="Times New Roman" w:hAnsi="Times New Roman"/>
          <w:sz w:val="24"/>
        </w:rPr>
        <w:t xml:space="preserve"> La corte de Madrid tenía entonces un conjunto de obras que no sólo exaltaban la victoria, además resaltaban la bondad de la clemencia del católico monarca español, a cuya imagen los comandantes Fadrique y Spínola eligieron la benevolencia con el enemigo en lugar de exhibir el triunfo con su humillación.</w:t>
      </w:r>
    </w:p>
    <w:p w:rsidR="00EA1A07" w:rsidRDefault="00EA1A07" w:rsidP="00EA1A07">
      <w:pPr>
        <w:spacing w:line="360" w:lineRule="auto"/>
        <w:rPr>
          <w:rFonts w:ascii="Times New Roman" w:hAnsi="Times New Roman"/>
          <w:sz w:val="24"/>
        </w:rPr>
      </w:pPr>
      <w:r w:rsidRPr="00EA1A07">
        <w:rPr>
          <w:rFonts w:ascii="Times New Roman" w:hAnsi="Times New Roman"/>
          <w:sz w:val="24"/>
        </w:rPr>
        <w:t xml:space="preserve">“Derecho internacional” y de gentes: fundamental – </w:t>
      </w:r>
      <w:proofErr w:type="spellStart"/>
      <w:r w:rsidRPr="00EA1A07">
        <w:rPr>
          <w:rFonts w:ascii="Times New Roman" w:hAnsi="Times New Roman"/>
          <w:sz w:val="24"/>
        </w:rPr>
        <w:t>Grocio</w:t>
      </w:r>
      <w:proofErr w:type="spellEnd"/>
      <w:r w:rsidRPr="00EA1A07">
        <w:rPr>
          <w:rFonts w:ascii="Times New Roman" w:hAnsi="Times New Roman"/>
          <w:sz w:val="24"/>
        </w:rPr>
        <w:t>.</w:t>
      </w:r>
    </w:p>
    <w:p w:rsidR="00902918" w:rsidRPr="00EA1A07" w:rsidRDefault="00902918" w:rsidP="00902918">
      <w:r>
        <w:t xml:space="preserve">También </w:t>
      </w:r>
      <w:proofErr w:type="spellStart"/>
      <w:r>
        <w:t>Levaggi</w:t>
      </w:r>
      <w:proofErr w:type="spellEnd"/>
      <w:r>
        <w:rPr>
          <w:rStyle w:val="Refdenotaalpie"/>
        </w:rPr>
        <w:footnoteReference w:id="44"/>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highlight w:val="yellow"/>
        </w:rPr>
        <w:t>Capítulo XIII del manual de historia del derecho</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El ámbito indiano no es sólo un espacio de dominio hispano del territorio, además tenía que enfrentar la amenaza exterior que desde la guerra de sucesión y los tratados de Utrecht y </w:t>
      </w:r>
      <w:proofErr w:type="spellStart"/>
      <w:r w:rsidRPr="00EA1A07">
        <w:rPr>
          <w:rFonts w:ascii="Times New Roman" w:hAnsi="Times New Roman"/>
          <w:sz w:val="24"/>
        </w:rPr>
        <w:t>Rastatt</w:t>
      </w:r>
      <w:proofErr w:type="spellEnd"/>
      <w:r w:rsidRPr="00EA1A07">
        <w:rPr>
          <w:rFonts w:ascii="Times New Roman" w:hAnsi="Times New Roman"/>
          <w:sz w:val="24"/>
        </w:rPr>
        <w:t xml:space="preserve"> representaron la perdida de la potestad legítima de las coronas españolas y portuguesas del continente. El Caribe en particular se convirtió en un espacio de permanente amenaza </w:t>
      </w:r>
      <w:proofErr w:type="spellStart"/>
      <w:r w:rsidRPr="00EA1A07">
        <w:rPr>
          <w:rFonts w:ascii="Times New Roman" w:hAnsi="Times New Roman"/>
          <w:sz w:val="24"/>
        </w:rPr>
        <w:t>intercolonial</w:t>
      </w:r>
      <w:proofErr w:type="spellEnd"/>
      <w:r w:rsidRPr="00EA1A07">
        <w:rPr>
          <w:rFonts w:ascii="Times New Roman" w:hAnsi="Times New Roman"/>
          <w:sz w:val="24"/>
        </w:rPr>
        <w:t xml:space="preserve">, de la Corona española para controlar las costas con sus guardacostas </w:t>
      </w:r>
      <w:proofErr w:type="gramStart"/>
      <w:r w:rsidRPr="00EA1A07">
        <w:rPr>
          <w:rFonts w:ascii="Times New Roman" w:hAnsi="Times New Roman"/>
          <w:sz w:val="24"/>
        </w:rPr>
        <w:t>( :</w:t>
      </w:r>
      <w:proofErr w:type="gramEnd"/>
      <w:r w:rsidRPr="00EA1A07">
        <w:rPr>
          <w:rFonts w:ascii="Times New Roman" w:hAnsi="Times New Roman"/>
          <w:sz w:val="24"/>
        </w:rPr>
        <w:t xml:space="preserve">\ ) y de los colonos ingleses, holandeses y franceses que buscaban ampliar sus redes de comercio, proteger las plantaciones isleñas y  establecer asentamientos en tierra firme. Aunque no estuviesen en estado de guerra, la permanente amenaza hacía que la defensa del territorio, la necesidad de expulsar a los colonos de territorios que se suponían de dominio </w:t>
      </w:r>
      <w:r w:rsidRPr="00EA1A07">
        <w:rPr>
          <w:rFonts w:ascii="Times New Roman" w:hAnsi="Times New Roman"/>
          <w:sz w:val="24"/>
        </w:rPr>
        <w:lastRenderedPageBreak/>
        <w:t>hispano, implicaba que rigiera allí el derecho internacional, la captura y en algunos casos, la clemencia.</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&gt;&gt; </w:t>
      </w:r>
      <w:proofErr w:type="gramStart"/>
      <w:r w:rsidRPr="00EA1A07">
        <w:rPr>
          <w:rFonts w:ascii="Times New Roman" w:hAnsi="Times New Roman"/>
          <w:sz w:val="24"/>
        </w:rPr>
        <w:t>extranjeros</w:t>
      </w:r>
      <w:proofErr w:type="gramEnd"/>
      <w:r w:rsidRPr="00EA1A07">
        <w:rPr>
          <w:rFonts w:ascii="Times New Roman" w:hAnsi="Times New Roman"/>
          <w:sz w:val="24"/>
        </w:rPr>
        <w:t xml:space="preserve"> que fueron perdonados por las autoridades del virreinato neogranadino &lt;&lt; </w:t>
      </w:r>
    </w:p>
    <w:p w:rsidR="00EA1A07" w:rsidRPr="00EA1A07" w:rsidRDefault="00EA1A07" w:rsidP="00EA1A07">
      <w:pPr>
        <w:spacing w:line="360" w:lineRule="auto"/>
        <w:rPr>
          <w:rFonts w:ascii="Times New Roman" w:hAnsi="Times New Roman"/>
          <w:sz w:val="24"/>
        </w:rPr>
      </w:pPr>
    </w:p>
    <w:p w:rsidR="00EA1A07" w:rsidRPr="00EA1A07" w:rsidRDefault="00EA1A07" w:rsidP="00EA1A07">
      <w:pPr>
        <w:keepNext/>
        <w:keepLines/>
        <w:spacing w:before="40" w:line="360" w:lineRule="auto"/>
        <w:outlineLvl w:val="1"/>
        <w:rPr>
          <w:rFonts w:ascii="Times New Roman" w:eastAsiaTheme="majorEastAsia" w:hAnsi="Times New Roman" w:cstheme="majorBidi"/>
          <w:b/>
          <w:sz w:val="24"/>
          <w:szCs w:val="26"/>
        </w:rPr>
      </w:pPr>
      <w:r w:rsidRPr="00EA1A07">
        <w:rPr>
          <w:rFonts w:ascii="Times New Roman" w:eastAsiaTheme="majorEastAsia" w:hAnsi="Times New Roman" w:cstheme="majorBidi"/>
          <w:b/>
          <w:sz w:val="24"/>
          <w:szCs w:val="26"/>
        </w:rPr>
        <w:t>2.3. Particularidades desde la normatividad (doctrina y legislación) puramente indiana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Pr="00EA1A07">
        <w:rPr>
          <w:rFonts w:ascii="Times New Roman" w:hAnsi="Times New Roman"/>
          <w:i/>
          <w:sz w:val="24"/>
        </w:rPr>
        <w:t>Recopilación de leyes de los reinos de las indias</w:t>
      </w:r>
      <w:r w:rsidRPr="00EA1A07">
        <w:rPr>
          <w:rFonts w:ascii="Times New Roman" w:hAnsi="Times New Roman"/>
          <w:sz w:val="24"/>
        </w:rPr>
        <w:t xml:space="preserve"> de 1680 y posteriormente en la reforma de intendentes de la segunda mitad del siglo XVIII. Del mismo modo que se habla de un derecho puramente indiano (</w:t>
      </w:r>
      <w:proofErr w:type="spellStart"/>
      <w:r w:rsidRPr="00EA1A07">
        <w:rPr>
          <w:rFonts w:ascii="Times New Roman" w:hAnsi="Times New Roman"/>
          <w:sz w:val="24"/>
        </w:rPr>
        <w:t>Ots</w:t>
      </w:r>
      <w:proofErr w:type="spellEnd"/>
      <w:r w:rsidRPr="00EA1A07">
        <w:rPr>
          <w:rFonts w:ascii="Times New Roman" w:hAnsi="Times New Roman"/>
          <w:sz w:val="24"/>
        </w:rPr>
        <w:t xml:space="preserve"> </w:t>
      </w:r>
      <w:proofErr w:type="spellStart"/>
      <w:r w:rsidRPr="00EA1A07">
        <w:rPr>
          <w:rFonts w:ascii="Times New Roman" w:hAnsi="Times New Roman"/>
          <w:sz w:val="24"/>
        </w:rPr>
        <w:t>Capdequí</w:t>
      </w:r>
      <w:proofErr w:type="spellEnd"/>
      <w:r w:rsidRPr="00EA1A07">
        <w:rPr>
          <w:rFonts w:ascii="Times New Roman" w:hAnsi="Times New Roman"/>
          <w:sz w:val="24"/>
        </w:rPr>
        <w:t>), también es posible comprender una doctrina meramente indiana, no necesariamente producida en el continente, pero nutrida ciertamente por las informaciones que sobre este contexto llegaban a la península.</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Zorita: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w:t>
      </w:r>
      <w:proofErr w:type="spellStart"/>
      <w:r w:rsidRPr="00EA1A07">
        <w:rPr>
          <w:rFonts w:ascii="Times New Roman" w:hAnsi="Times New Roman"/>
          <w:iCs/>
          <w:sz w:val="24"/>
        </w:rPr>
        <w:t>púsose</w:t>
      </w:r>
      <w:proofErr w:type="spellEnd"/>
      <w:r w:rsidRPr="00EA1A07">
        <w:rPr>
          <w:rFonts w:ascii="Times New Roman" w:hAnsi="Times New Roman"/>
          <w:iCs/>
          <w:sz w:val="24"/>
        </w:rPr>
        <w:t xml:space="preserv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w:t>
      </w:r>
      <w:proofErr w:type="spellStart"/>
      <w:r w:rsidRPr="00EA1A07">
        <w:rPr>
          <w:rFonts w:ascii="Times New Roman" w:hAnsi="Times New Roman"/>
          <w:iCs/>
          <w:sz w:val="24"/>
        </w:rPr>
        <w:t>ejcutase</w:t>
      </w:r>
      <w:proofErr w:type="spellEnd"/>
      <w:r w:rsidRPr="00EA1A07">
        <w:rPr>
          <w:rFonts w:ascii="Times New Roman" w:hAnsi="Times New Roman"/>
          <w:iCs/>
          <w:sz w:val="24"/>
        </w:rPr>
        <w:t xml:space="preserve"> la ley y no con sus hijos, y que convenía que un hecho tan malo no quedase sin castigo. Ese mismo señor, llamado </w:t>
      </w:r>
      <w:proofErr w:type="spellStart"/>
      <w:r w:rsidRPr="00EA1A07">
        <w:rPr>
          <w:rFonts w:ascii="Times New Roman" w:hAnsi="Times New Roman"/>
          <w:iCs/>
          <w:sz w:val="24"/>
        </w:rPr>
        <w:t>Nezahualpitzintli</w:t>
      </w:r>
      <w:proofErr w:type="spellEnd"/>
      <w:r w:rsidRPr="00EA1A07">
        <w:rPr>
          <w:rFonts w:ascii="Times New Roman" w:hAnsi="Times New Roman"/>
          <w:iCs/>
          <w:sz w:val="24"/>
        </w:rPr>
        <w:t xml:space="preserve">, mandó matar por justicia una hija suya casada, porque cometió adulterio, y al adúltero con ella, y </w:t>
      </w:r>
      <w:r w:rsidRPr="00EA1A07">
        <w:rPr>
          <w:rFonts w:ascii="Times New Roman" w:hAnsi="Times New Roman"/>
          <w:iCs/>
          <w:sz w:val="24"/>
        </w:rPr>
        <w:lastRenderedPageBreak/>
        <w:t>se ejecutó la pena de ley, aunque el marido la perdonó, porque decía que se diría que por su respeto la perdonaba y no de su voluntad. A estos castigos mandaban juntar las doncellas y mujeres de palacio y les mandaba juntar las doncellas y mujeres de palacio 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Pr="00EA1A07">
        <w:rPr>
          <w:rFonts w:ascii="Times New Roman" w:hAnsi="Times New Roman"/>
          <w:iCs/>
          <w:sz w:val="24"/>
          <w:vertAlign w:val="superscript"/>
        </w:rPr>
        <w:footnoteReference w:id="45"/>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Según Zorita, los indios se entregaban al vicio en buena medida porque los religiosos eran blandos con ellos, negando con ello el rigor con el cual se les trataba por costumbre por sus autoridades indígenas:</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rsidR="00EA1A07" w:rsidRPr="00EA1A07" w:rsidRDefault="00EA1A07" w:rsidP="00EA1A07">
      <w:pPr>
        <w:spacing w:line="240" w:lineRule="auto"/>
        <w:ind w:left="709" w:firstLine="0"/>
        <w:rPr>
          <w:rFonts w:ascii="Times New Roman" w:hAnsi="Times New Roman"/>
          <w:iCs/>
          <w:sz w:val="24"/>
        </w:rPr>
      </w:pPr>
      <w:r w:rsidRPr="00EA1A07">
        <w:rPr>
          <w:rFonts w:ascii="Times New Roman" w:hAnsi="Times New Roman"/>
          <w:iCs/>
          <w:sz w:val="24"/>
        </w:rP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sidRPr="00EA1A07">
        <w:rPr>
          <w:rFonts w:ascii="Times New Roman" w:hAnsi="Times New Roman"/>
          <w:iCs/>
          <w:sz w:val="24"/>
          <w:vertAlign w:val="superscript"/>
        </w:rPr>
        <w:footnoteReference w:id="46"/>
      </w:r>
      <w:r w:rsidRPr="00EA1A07">
        <w:rPr>
          <w:rFonts w:ascii="Times New Roman" w:hAnsi="Times New Roman"/>
          <w:iCs/>
          <w:sz w:val="24"/>
        </w:rPr>
        <w:t xml:space="preserve"> </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También:</w:t>
      </w:r>
    </w:p>
    <w:p w:rsidR="00EA1A07" w:rsidRPr="00EA1A07" w:rsidRDefault="00EA1A07" w:rsidP="00EA1A07">
      <w:pPr>
        <w:spacing w:line="240" w:lineRule="auto"/>
        <w:ind w:left="709" w:firstLine="0"/>
        <w:rPr>
          <w:rFonts w:ascii="Times New Roman" w:hAnsi="Times New Roman"/>
          <w:iCs/>
          <w:sz w:val="24"/>
        </w:rPr>
      </w:pPr>
      <w:proofErr w:type="spellStart"/>
      <w:r w:rsidRPr="00EA1A07">
        <w:rPr>
          <w:rFonts w:ascii="Times New Roman" w:hAnsi="Times New Roman"/>
          <w:iCs/>
          <w:sz w:val="24"/>
        </w:rPr>
        <w:t>Amonestábanles</w:t>
      </w:r>
      <w:proofErr w:type="spellEnd"/>
      <w:r w:rsidRPr="00EA1A07">
        <w:rPr>
          <w:rFonts w:ascii="Times New Roman" w:hAnsi="Times New Roman"/>
          <w:iCs/>
          <w:sz w:val="24"/>
        </w:rPr>
        <w:t xml:space="preserve"> mucho que no mintiesen, y si eran viciosos en ello </w:t>
      </w:r>
      <w:proofErr w:type="spellStart"/>
      <w:r w:rsidRPr="00EA1A07">
        <w:rPr>
          <w:rFonts w:ascii="Times New Roman" w:hAnsi="Times New Roman"/>
          <w:iCs/>
          <w:sz w:val="24"/>
        </w:rPr>
        <w:t>hendíales</w:t>
      </w:r>
      <w:proofErr w:type="spellEnd"/>
      <w:r w:rsidRPr="00EA1A07">
        <w:rPr>
          <w:rFonts w:ascii="Times New Roman" w:hAnsi="Times New Roman"/>
          <w:iCs/>
          <w:sz w:val="24"/>
        </w:rPr>
        <w:t xml:space="preserve"> un poco el labio, y así usaban mucho decir y tratar verdad. Y preguntados algunos viejos por qué ahora mientes tanto, dicen que porque no hay castigo.</w:t>
      </w:r>
      <w:r w:rsidRPr="00EA1A07">
        <w:rPr>
          <w:rFonts w:ascii="Times New Roman" w:hAnsi="Times New Roman"/>
          <w:iCs/>
          <w:sz w:val="24"/>
          <w:vertAlign w:val="superscript"/>
        </w:rPr>
        <w:footnoteReference w:id="47"/>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Palafox…</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Echarnos una revisadita de Cañizares </w:t>
      </w:r>
      <w:proofErr w:type="spellStart"/>
      <w:r w:rsidRPr="00EA1A07">
        <w:rPr>
          <w:rFonts w:ascii="Times New Roman" w:hAnsi="Times New Roman"/>
          <w:sz w:val="24"/>
        </w:rPr>
        <w:t>Esguerra</w:t>
      </w:r>
      <w:proofErr w:type="spellEnd"/>
      <w:r w:rsidRPr="00EA1A07">
        <w:rPr>
          <w:rFonts w:ascii="Times New Roman" w:hAnsi="Times New Roman"/>
          <w:sz w:val="24"/>
        </w:rPr>
        <w:t>…</w:t>
      </w: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La historiografía de los excesos de jueces y corregidores es abundante, en particular con relación al tratamiento de los indios.</w:t>
      </w:r>
    </w:p>
    <w:p w:rsidR="00EA1A07" w:rsidRPr="00EA1A07" w:rsidRDefault="00EA1A07" w:rsidP="00EA1A07">
      <w:pPr>
        <w:spacing w:line="360" w:lineRule="auto"/>
        <w:rPr>
          <w:rFonts w:ascii="Times New Roman" w:hAnsi="Times New Roman"/>
          <w:sz w:val="24"/>
        </w:rPr>
      </w:pPr>
      <w:r w:rsidRPr="00EA1A07">
        <w:rPr>
          <w:rFonts w:ascii="Times New Roman" w:hAnsi="Times New Roman"/>
          <w:sz w:val="24"/>
        </w:rPr>
        <w:t xml:space="preserve">Pimienta, caso del gobernador que por riguroso fue </w:t>
      </w:r>
      <w:proofErr w:type="gramStart"/>
      <w:r w:rsidRPr="00EA1A07">
        <w:rPr>
          <w:rFonts w:ascii="Times New Roman" w:hAnsi="Times New Roman"/>
          <w:sz w:val="24"/>
        </w:rPr>
        <w:t>tiránico :\</w:t>
      </w:r>
      <w:proofErr w:type="gramEnd"/>
      <w:r w:rsidRPr="00EA1A07">
        <w:rPr>
          <w:rFonts w:ascii="Times New Roman" w:hAnsi="Times New Roman"/>
          <w:sz w:val="24"/>
        </w:rPr>
        <w:t xml:space="preserve"> </w:t>
      </w:r>
    </w:p>
    <w:p w:rsidR="00464785" w:rsidRDefault="00464785"/>
    <w:p w:rsidR="00EA1A07" w:rsidRDefault="00EA1A07" w:rsidP="00EA1A07">
      <w:pPr>
        <w:pStyle w:val="Ttulo1"/>
      </w:pPr>
      <w:r>
        <w:t>Capítulo x. ¿De la clemencia al rigor? Cultura ilustrada y clemencia real</w:t>
      </w:r>
    </w:p>
    <w:p w:rsidR="00EA1A07" w:rsidRPr="006B6B52" w:rsidRDefault="00EA1A07" w:rsidP="00EA1A07">
      <w:r w:rsidRPr="006B6B52">
        <w:t xml:space="preserve">Vía de Nápoles – </w:t>
      </w:r>
      <w:proofErr w:type="spellStart"/>
      <w:r w:rsidRPr="006B6B52">
        <w:rPr>
          <w:i/>
        </w:rPr>
        <w:t>giuridizzionalismo</w:t>
      </w:r>
      <w:proofErr w:type="spellEnd"/>
      <w:r w:rsidRPr="006B6B52">
        <w:rPr>
          <w:i/>
        </w:rPr>
        <w:t xml:space="preserve"> </w:t>
      </w:r>
      <w:r w:rsidRPr="006B6B52">
        <w:t>(</w:t>
      </w:r>
      <w:proofErr w:type="spellStart"/>
      <w:r w:rsidRPr="006B6B52">
        <w:t>cfr</w:t>
      </w:r>
      <w:proofErr w:type="spellEnd"/>
      <w:r w:rsidRPr="006B6B52">
        <w:t xml:space="preserve">: </w:t>
      </w:r>
      <w:proofErr w:type="spellStart"/>
      <w:r w:rsidRPr="006B6B52">
        <w:t>Pietschmann</w:t>
      </w:r>
      <w:proofErr w:type="spellEnd"/>
      <w:r w:rsidRPr="006B6B52">
        <w:t xml:space="preserve">), </w:t>
      </w:r>
      <w:proofErr w:type="spellStart"/>
      <w:r w:rsidRPr="006B6B52">
        <w:t>Beccaria</w:t>
      </w:r>
      <w:proofErr w:type="spellEnd"/>
      <w:r w:rsidRPr="006B6B52">
        <w:t>.</w:t>
      </w:r>
    </w:p>
    <w:p w:rsidR="00EA1A07" w:rsidRPr="00630E1A" w:rsidRDefault="00EA1A07" w:rsidP="00EA1A07">
      <w:r w:rsidRPr="00B8078A">
        <w:t xml:space="preserve">Ilustración francesa – Rousseau, Montesquieu, </w:t>
      </w:r>
      <w:proofErr w:type="spellStart"/>
      <w:r w:rsidRPr="00B8078A">
        <w:t>Bodin</w:t>
      </w:r>
      <w:proofErr w:type="spellEnd"/>
      <w:r w:rsidRPr="00B8078A">
        <w:t xml:space="preserve">, </w:t>
      </w:r>
      <w:proofErr w:type="spellStart"/>
      <w:r w:rsidRPr="00B8078A">
        <w:t>Carac</w:t>
      </w:r>
      <w:r w:rsidRPr="00630E1A">
        <w:t>cioli</w:t>
      </w:r>
      <w:proofErr w:type="spellEnd"/>
      <w:r w:rsidRPr="00630E1A">
        <w:t xml:space="preserve"> (trad. 1775)</w:t>
      </w:r>
    </w:p>
    <w:p w:rsidR="00EA1A07" w:rsidRDefault="00EA1A07" w:rsidP="00EA1A07">
      <w:r w:rsidRPr="003D4F03">
        <w:t xml:space="preserve">Ejemplos de ilustres ilustrados – Jovellanos, </w:t>
      </w:r>
    </w:p>
    <w:p w:rsidR="00EA1A07" w:rsidRDefault="00EA1A07"/>
    <w:sectPr w:rsidR="00EA1A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529" w:rsidRDefault="00672529" w:rsidP="00EA1A07">
      <w:pPr>
        <w:spacing w:line="240" w:lineRule="auto"/>
      </w:pPr>
      <w:r>
        <w:separator/>
      </w:r>
    </w:p>
  </w:endnote>
  <w:endnote w:type="continuationSeparator" w:id="0">
    <w:p w:rsidR="00672529" w:rsidRDefault="00672529" w:rsidP="00EA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529" w:rsidRDefault="00672529" w:rsidP="00EA1A07">
      <w:pPr>
        <w:spacing w:line="240" w:lineRule="auto"/>
      </w:pPr>
      <w:r>
        <w:separator/>
      </w:r>
    </w:p>
  </w:footnote>
  <w:footnote w:type="continuationSeparator" w:id="0">
    <w:p w:rsidR="00672529" w:rsidRDefault="00672529" w:rsidP="00EA1A07">
      <w:pPr>
        <w:spacing w:line="240" w:lineRule="auto"/>
      </w:pPr>
      <w:r>
        <w:continuationSeparator/>
      </w:r>
    </w:p>
  </w:footnote>
  <w:footnote w:id="1">
    <w:p w:rsidR="00E177AA" w:rsidRDefault="00E177AA">
      <w:pPr>
        <w:pStyle w:val="Textonotapie"/>
      </w:pPr>
      <w:r>
        <w:rPr>
          <w:rStyle w:val="Refdenotaalpie"/>
        </w:rPr>
        <w:footnoteRef/>
      </w:r>
      <w:r>
        <w:t xml:space="preserve"> </w:t>
      </w:r>
      <w:r>
        <w:fldChar w:fldCharType="begin"/>
      </w:r>
      <w:r>
        <w:instrText xml:space="preserve"> ADDIN ZOTERO_ITEM CSL_CITATION {"citationID":"im2PkNgN","properties":{"formattedCitation":"Violet Soen, \\uc0\\u8220{}\\uc0\\u191{}C\\uc0\\u243{}mo practicar la virtud? Protagonistas y pareceres en la querella sobre la virtud de la clemencia durante la guerra de Flandes (1565-1585)\\uc0\\u8221{}, en {\\i{}El gobierno de la virtud: pol\\uc0\\u237{}tica y moral en la Monarqu\\uc0\\u237{}a Hisp\\uc0\\u225{}nica (siglos XVI-XVIII)}, ed. Juan Francisco Pardo Molero, Secci\\uc0\\u243{}n de obras de historia (Madrid: Red Columnaria, Fondo de Cultura Econ\\uc0\\u243{}mica, 2017), 119.","plainCitation":"Violet Soen, “¿Cómo practicar la virtud? Protagonistas y pareceres en la querella sobre la virtud de la clemencia durante la guerra de Flandes (1565-1585)”, en El gobierno de la virtud: política y moral en la Monarquía Hispánica (siglos XVI-XVIII), ed. Juan Francisco Pardo Molero, Sección de obras de historia (Madrid: Red Columnaria, Fondo de Cultura Económica, 2017), 119.","noteIndex":1},"citationItems":[{"id":8307,"uris":["http://zotero.org/users/163570/items/V4HD7RMR"],"uri":["http://zotero.org/users/163570/items/V4HD7RMR"],"itemData":{"id":8307,"type":"chapter","title":"¿Cómo practicar la virtud? Protagonistas y pareceres en la querella sobre la virtud de la clemencia durante la guerra de Flandes (1565-1585)","container-title":"El gobierno de la virtud: política y moral en la Monarquía Hispánica (siglos XVI-XVIII)","collection-title":"Sección de obras de historia","publisher":"Red Columnaria, Fondo de Cultura Económica","publisher-place":"Madrid","page":"115-142","source":"Library of Congress ISBN","event-place":"Madrid","ISBN":"978-84-375-0774-3","note":"OCLC: on1008873312","editor":[{"family":"Pardo Molero","given":"Juan Francisco"}],"author":[{"family":"Soen","given":"Violet"}],"issued":{"date-parts":[["2017"]]}},"locator":"119","label":"page"}],"schema":"https://github.com/citation-style-language/schema/raw/master/csl-citation.json"} </w:instrText>
      </w:r>
      <w:r>
        <w:fldChar w:fldCharType="separate"/>
      </w:r>
      <w:proofErr w:type="spellStart"/>
      <w:r w:rsidRPr="00E177AA">
        <w:rPr>
          <w:rFonts w:cs="Times New Roman"/>
          <w:szCs w:val="24"/>
        </w:rPr>
        <w:t>Violet</w:t>
      </w:r>
      <w:proofErr w:type="spellEnd"/>
      <w:r w:rsidRPr="00E177AA">
        <w:rPr>
          <w:rFonts w:cs="Times New Roman"/>
          <w:szCs w:val="24"/>
        </w:rPr>
        <w:t xml:space="preserve"> </w:t>
      </w:r>
      <w:proofErr w:type="spellStart"/>
      <w:r w:rsidRPr="00E177AA">
        <w:rPr>
          <w:rFonts w:cs="Times New Roman"/>
          <w:szCs w:val="24"/>
        </w:rPr>
        <w:t>Soen</w:t>
      </w:r>
      <w:proofErr w:type="spellEnd"/>
      <w:r w:rsidRPr="00E177AA">
        <w:rPr>
          <w:rFonts w:cs="Times New Roman"/>
          <w:szCs w:val="24"/>
        </w:rPr>
        <w:t xml:space="preserve">, “¿Cómo practicar la virtud? Protagonistas y pareceres en la querella sobre la virtud de la clemencia durante la guerra de Flandes (1565-1585)”, en </w:t>
      </w:r>
      <w:r w:rsidRPr="00E177AA">
        <w:rPr>
          <w:rFonts w:cs="Times New Roman"/>
          <w:i/>
          <w:iCs/>
          <w:szCs w:val="24"/>
        </w:rPr>
        <w:t>El gobierno de la virtud: política y moral en la Monarquía Hispánica (siglos XVI-XVIII)</w:t>
      </w:r>
      <w:r w:rsidRPr="00E177AA">
        <w:rPr>
          <w:rFonts w:cs="Times New Roman"/>
          <w:szCs w:val="24"/>
        </w:rPr>
        <w:t>, ed. Juan Francisco Pardo Molero, Sección de obras de historia (Madrid: Red Columnaria, Fondo de Cultura Económica, 2017), 119.</w:t>
      </w:r>
      <w:r>
        <w:fldChar w:fldCharType="end"/>
      </w:r>
    </w:p>
  </w:footnote>
  <w:footnote w:id="2">
    <w:p w:rsidR="007700D3" w:rsidRDefault="007700D3">
      <w:pPr>
        <w:pStyle w:val="Textonotapie"/>
      </w:pPr>
      <w:r>
        <w:rPr>
          <w:rStyle w:val="Refdenotaalpie"/>
        </w:rPr>
        <w:footnoteRef/>
      </w:r>
      <w:r>
        <w:t xml:space="preserve"> </w:t>
      </w:r>
      <w:r>
        <w:fldChar w:fldCharType="begin"/>
      </w:r>
      <w:r w:rsidR="00E177AA">
        <w:instrText xml:space="preserve"> ADDIN ZOTERO_ITEM CSL_CITATION {"citationID":"lTqmu9U9","properties":{"formattedCitation":"Jes\\uc0\\u250{}s Vallejo, \\uc0\\u8220{}El pr\\uc0\\u237{}ncipe ante el derecho en la cultura del \\uc0\\u8216{}ius commune\\uc0\\u8217{}\\uc0\\u8221{}, en {\\i{}Manual de Historia del Derecho}, ed. Marta Lorente Sari\\uc0\\u241{}ena y Jes\\uc0\\u250{}s Vallejo (Valencia: Tirant lo Blanch, 2012), 160\\uc0\\u8211{}61.","plainCitation":"Jesús Vallejo, “El príncipe ante el derecho en la cultura del ‘ius commune’”, en Manual de Historia del Derecho, ed. Marta Lorente Sariñena y Jesús Vallejo (Valencia: Tirant lo Blanch, 2012), 160–61.","noteIndex":2},"citationItems":[{"id":7790,"uris":["http://zotero.org/users/163570/items/D3LIG28Z"],"uri":["http://zotero.org/users/163570/items/D3LIG28Z"],"itemData":{"id":7790,"type":"chapter","title":"El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160-161","label":"page"}],"schema":"https://github.com/citation-style-language/schema/raw/master/csl-citation.json"} </w:instrText>
      </w:r>
      <w:r>
        <w:fldChar w:fldCharType="separate"/>
      </w:r>
      <w:r w:rsidRPr="007700D3">
        <w:rPr>
          <w:rFonts w:cs="Times New Roman"/>
          <w:szCs w:val="24"/>
        </w:rPr>
        <w:t>Jesús Vallejo, “El príncipe ante el derecho en la cultura del ‘</w:t>
      </w:r>
      <w:proofErr w:type="spellStart"/>
      <w:r w:rsidRPr="007700D3">
        <w:rPr>
          <w:rFonts w:cs="Times New Roman"/>
          <w:szCs w:val="24"/>
        </w:rPr>
        <w:t>ius</w:t>
      </w:r>
      <w:proofErr w:type="spellEnd"/>
      <w:r w:rsidRPr="007700D3">
        <w:rPr>
          <w:rFonts w:cs="Times New Roman"/>
          <w:szCs w:val="24"/>
        </w:rPr>
        <w:t xml:space="preserve"> </w:t>
      </w:r>
      <w:proofErr w:type="spellStart"/>
      <w:r w:rsidRPr="007700D3">
        <w:rPr>
          <w:rFonts w:cs="Times New Roman"/>
          <w:szCs w:val="24"/>
        </w:rPr>
        <w:t>commune</w:t>
      </w:r>
      <w:proofErr w:type="spellEnd"/>
      <w:r w:rsidRPr="007700D3">
        <w:rPr>
          <w:rFonts w:cs="Times New Roman"/>
          <w:szCs w:val="24"/>
        </w:rPr>
        <w:t xml:space="preserve">’”, en </w:t>
      </w:r>
      <w:r w:rsidRPr="007700D3">
        <w:rPr>
          <w:rFonts w:cs="Times New Roman"/>
          <w:i/>
          <w:iCs/>
          <w:szCs w:val="24"/>
        </w:rPr>
        <w:t>Manual de Historia del Derecho</w:t>
      </w:r>
      <w:r w:rsidRPr="007700D3">
        <w:rPr>
          <w:rFonts w:cs="Times New Roman"/>
          <w:szCs w:val="24"/>
        </w:rPr>
        <w:t>, ed. Marta Lorente Sariñena y Jesús Vallejo (Valencia: Tirant lo Blanch, 2012), 160–61.</w:t>
      </w:r>
      <w:r>
        <w:fldChar w:fldCharType="end"/>
      </w:r>
    </w:p>
  </w:footnote>
  <w:footnote w:id="3">
    <w:p w:rsidR="00F13B86" w:rsidRDefault="00F13B86">
      <w:pPr>
        <w:pStyle w:val="Textonotapie"/>
      </w:pPr>
      <w:r>
        <w:rPr>
          <w:rStyle w:val="Refdenotaalpie"/>
        </w:rPr>
        <w:footnoteRef/>
      </w:r>
      <w:r>
        <w:t xml:space="preserve"> A los cuales se sumaban los fueros </w:t>
      </w:r>
      <w:r w:rsidR="00F84C9E">
        <w:t>de las corporaciones, reinos, órdenes y del derecho canónico y eclesiástico.</w:t>
      </w:r>
    </w:p>
  </w:footnote>
  <w:footnote w:id="4">
    <w:p w:rsidR="00EA1A07" w:rsidRPr="000D3181" w:rsidRDefault="00EA1A07" w:rsidP="00EA1A07">
      <w:pPr>
        <w:pStyle w:val="Textonotapie"/>
      </w:pPr>
      <w:r w:rsidRPr="00E40FE9">
        <w:rPr>
          <w:rStyle w:val="Refdenotaalpie"/>
        </w:rPr>
        <w:footnoteRef/>
      </w:r>
      <w:r>
        <w:t xml:space="preserve"> Este delito (de saca) tenía el equivalente al de traición. </w:t>
      </w:r>
    </w:p>
  </w:footnote>
  <w:footnote w:id="5">
    <w:p w:rsidR="00EA1A07" w:rsidRPr="00A01CD6"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261. Porque esta injuria no le correspondía perdonarla al rey sino a la parte afectada. Diego del Castillo, </w:t>
      </w:r>
      <w:proofErr w:type="spellStart"/>
      <w:r>
        <w:rPr>
          <w:i/>
        </w:rPr>
        <w:t>Stromas</w:t>
      </w:r>
      <w:proofErr w:type="spellEnd"/>
      <w:r>
        <w:rPr>
          <w:i/>
        </w:rPr>
        <w:t xml:space="preserve"> políticos y morales</w:t>
      </w:r>
      <w:r>
        <w:t xml:space="preserve"> (Valladolid: imprenta de la Real Cancillería, 1729), </w:t>
      </w:r>
      <w:proofErr w:type="spellStart"/>
      <w:r>
        <w:t>stroma</w:t>
      </w:r>
      <w:proofErr w:type="spellEnd"/>
      <w:r>
        <w:t xml:space="preserve"> VIII, flor III, “Concordia política y cristiana del honor y la obediencia” n. 20.</w:t>
      </w:r>
    </w:p>
  </w:footnote>
  <w:footnote w:id="6">
    <w:p w:rsidR="00EA1A07" w:rsidRPr="00F16632" w:rsidRDefault="00EA1A07" w:rsidP="00EA1A07">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 xml:space="preserve">Tratado </w:t>
      </w:r>
      <w:proofErr w:type="spellStart"/>
      <w:r>
        <w:rPr>
          <w:i/>
        </w:rPr>
        <w:t>iuridico-politico</w:t>
      </w:r>
      <w:proofErr w:type="spellEnd"/>
      <w:r>
        <w:t xml:space="preserve">, n. 312-313. También Gregorio López glosa </w:t>
      </w:r>
      <w:r>
        <w:rPr>
          <w:i/>
        </w:rPr>
        <w:t>la pena</w:t>
      </w:r>
      <w:r>
        <w:t xml:space="preserve"> a </w:t>
      </w:r>
      <w:r>
        <w:rPr>
          <w:i/>
        </w:rPr>
        <w:t>Partidas</w:t>
      </w:r>
      <w:r>
        <w:t xml:space="preserve"> 7, tít. 32 ley 3: </w:t>
      </w:r>
      <w:r w:rsidRPr="003E4F5C">
        <w:t xml:space="preserve">"Et in </w:t>
      </w:r>
      <w:proofErr w:type="spellStart"/>
      <w:r w:rsidRPr="003E4F5C">
        <w:t>charta</w:t>
      </w:r>
      <w:proofErr w:type="spellEnd"/>
      <w:r w:rsidRPr="003E4F5C">
        <w:t xml:space="preserve"> </w:t>
      </w:r>
      <w:proofErr w:type="spellStart"/>
      <w:r w:rsidRPr="003E4F5C">
        <w:t>misericordiæ</w:t>
      </w:r>
      <w:proofErr w:type="spellEnd"/>
      <w:r w:rsidRPr="003E4F5C">
        <w:t xml:space="preserve"> </w:t>
      </w:r>
      <w:proofErr w:type="spellStart"/>
      <w:r w:rsidRPr="003E4F5C">
        <w:t>super</w:t>
      </w:r>
      <w:proofErr w:type="spellEnd"/>
      <w:r w:rsidRPr="003E4F5C">
        <w:t xml:space="preserve"> </w:t>
      </w:r>
      <w:proofErr w:type="spellStart"/>
      <w:r w:rsidRPr="003E4F5C">
        <w:t>mortealicuius</w:t>
      </w:r>
      <w:proofErr w:type="spellEnd"/>
      <w:r w:rsidRPr="003E4F5C">
        <w:t xml:space="preserve"> </w:t>
      </w:r>
      <w:proofErr w:type="spellStart"/>
      <w:r w:rsidRPr="003E4F5C">
        <w:t>semper</w:t>
      </w:r>
      <w:proofErr w:type="spellEnd"/>
      <w:r w:rsidRPr="003E4F5C">
        <w:t xml:space="preserve"> </w:t>
      </w:r>
      <w:proofErr w:type="spellStart"/>
      <w:r w:rsidRPr="003E4F5C">
        <w:t>ponit</w:t>
      </w:r>
      <w:proofErr w:type="spellEnd"/>
      <w:r w:rsidRPr="003E4F5C">
        <w:t xml:space="preserve"> excepta </w:t>
      </w:r>
      <w:proofErr w:type="spellStart"/>
      <w:r w:rsidRPr="003E4F5C">
        <w:t>proditione</w:t>
      </w:r>
      <w:proofErr w:type="spellEnd"/>
      <w:r w:rsidRPr="003E4F5C">
        <w:t xml:space="preserve"> &amp; </w:t>
      </w:r>
      <w:proofErr w:type="spellStart"/>
      <w:r w:rsidRPr="003E4F5C">
        <w:t>alevosia</w:t>
      </w:r>
      <w:proofErr w:type="spellEnd"/>
      <w:r w:rsidRPr="003E4F5C">
        <w:t>"</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7">
    <w:p w:rsidR="00EA1A07" w:rsidRPr="002718AC" w:rsidRDefault="00EA1A07" w:rsidP="00EA1A07">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proofErr w:type="spellStart"/>
      <w:r w:rsidRPr="002718AC">
        <w:t>Mastrillo</w:t>
      </w:r>
      <w:proofErr w:type="spellEnd"/>
      <w:r w:rsidRPr="002718AC">
        <w:t xml:space="preserve">, </w:t>
      </w:r>
      <w:r w:rsidRPr="002718AC">
        <w:rPr>
          <w:i/>
        </w:rPr>
        <w:t xml:space="preserve">Ad </w:t>
      </w:r>
      <w:proofErr w:type="spellStart"/>
      <w:r w:rsidRPr="002718AC">
        <w:rPr>
          <w:i/>
        </w:rPr>
        <w:t>indultum</w:t>
      </w:r>
      <w:proofErr w:type="spellEnd"/>
      <w:r w:rsidRPr="002718AC">
        <w:rPr>
          <w:i/>
        </w:rPr>
        <w:t xml:space="preserve"> </w:t>
      </w:r>
      <w:proofErr w:type="spellStart"/>
      <w:r w:rsidRPr="002718AC">
        <w:rPr>
          <w:i/>
        </w:rPr>
        <w:t>generale</w:t>
      </w:r>
      <w:proofErr w:type="spellEnd"/>
      <w:r w:rsidRPr="002718AC">
        <w:t>, cap. XXVII, n. 4.</w:t>
      </w:r>
    </w:p>
  </w:footnote>
  <w:footnote w:id="8">
    <w:p w:rsidR="00EA1A07" w:rsidRPr="002718AC" w:rsidRDefault="00EA1A07" w:rsidP="00EA1A07">
      <w:pPr>
        <w:pStyle w:val="Textonotapie"/>
      </w:pPr>
      <w:r w:rsidRPr="00E40FE9">
        <w:rPr>
          <w:rStyle w:val="Refdenotaalpie"/>
        </w:rPr>
        <w:footnoteRef/>
      </w:r>
      <w:r w:rsidRPr="000A4666">
        <w:t xml:space="preserve"> “</w:t>
      </w:r>
      <w:r>
        <w:t xml:space="preserve">Los que usurpan los pastos públicos, y los que destruyen las heredades </w:t>
      </w:r>
      <w:proofErr w:type="spellStart"/>
      <w:r>
        <w:t>agenas</w:t>
      </w:r>
      <w:proofErr w:type="spellEnd"/>
      <w:r>
        <w:t xml:space="preserve">,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 xml:space="preserve">Tratado </w:t>
      </w:r>
      <w:proofErr w:type="spellStart"/>
      <w:r w:rsidRPr="002718AC">
        <w:rPr>
          <w:i/>
        </w:rPr>
        <w:t>iuridico-politico</w:t>
      </w:r>
      <w:proofErr w:type="spellEnd"/>
      <w:r w:rsidRPr="002718AC">
        <w:t>, n. 330-332.</w:t>
      </w:r>
    </w:p>
  </w:footnote>
  <w:footnote w:id="9">
    <w:p w:rsidR="00EA1A07" w:rsidRPr="006940F2" w:rsidRDefault="00EA1A07" w:rsidP="00EA1A07">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 xml:space="preserve">Tratado </w:t>
      </w:r>
      <w:proofErr w:type="spellStart"/>
      <w:r>
        <w:rPr>
          <w:i/>
        </w:rPr>
        <w:t>iuridico-politico</w:t>
      </w:r>
      <w:proofErr w:type="spellEnd"/>
      <w:r>
        <w:t>, n. 366.</w:t>
      </w:r>
    </w:p>
  </w:footnote>
  <w:footnote w:id="10">
    <w:p w:rsidR="00EA1A07" w:rsidRPr="00EF6050" w:rsidRDefault="00EA1A07" w:rsidP="00EA1A07">
      <w:pPr>
        <w:pStyle w:val="Textonotapie"/>
      </w:pPr>
      <w:r w:rsidRPr="00E40FE9">
        <w:rPr>
          <w:rStyle w:val="Refdenotaalpie"/>
        </w:rPr>
        <w:footnoteRef/>
      </w:r>
      <w:r>
        <w:t xml:space="preserve"> Castillo de </w:t>
      </w:r>
      <w:proofErr w:type="spellStart"/>
      <w:r>
        <w:t>Bovadilla</w:t>
      </w:r>
      <w:proofErr w:type="spellEnd"/>
      <w:r>
        <w:t xml:space="preserve">, quien dedicó un capítulo al delito de cohecho, dijo: “Aunque la malicia, y mala inclinación es natural </w:t>
      </w:r>
      <w:proofErr w:type="spellStart"/>
      <w:r>
        <w:t>á</w:t>
      </w:r>
      <w:proofErr w:type="spellEnd"/>
      <w:r>
        <w:t xml:space="preserve"> todos los hombres, porque toda edad es </w:t>
      </w:r>
      <w:proofErr w:type="spellStart"/>
      <w:r>
        <w:t>mas</w:t>
      </w:r>
      <w:proofErr w:type="spellEnd"/>
      <w:r>
        <w:t xml:space="preserve"> inclinada, y proclive al mal, que al bien: pero según </w:t>
      </w:r>
      <w:proofErr w:type="spellStart"/>
      <w:r>
        <w:t>Euripides</w:t>
      </w:r>
      <w:proofErr w:type="spellEnd"/>
      <w:r>
        <w:t xml:space="preserve">, el hombre que corrompido por interés es malo, este tal indigno es de perdón, y mucho </w:t>
      </w:r>
      <w:proofErr w:type="spellStart"/>
      <w:r>
        <w:t>mas</w:t>
      </w:r>
      <w:proofErr w:type="spellEnd"/>
      <w:r>
        <w:t xml:space="preserve"> el que por ignorancia, </w:t>
      </w:r>
      <w:proofErr w:type="spellStart"/>
      <w:r>
        <w:t>ó</w:t>
      </w:r>
      <w:proofErr w:type="spellEnd"/>
      <w:r>
        <w:t xml:space="preserve">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11">
    <w:p w:rsidR="00EA1A07" w:rsidRPr="002718AC" w:rsidRDefault="00EA1A07" w:rsidP="00EA1A07">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w:t>
      </w:r>
      <w:proofErr w:type="spellStart"/>
      <w:r>
        <w:t>Bovadilla</w:t>
      </w:r>
      <w:proofErr w:type="spellEnd"/>
      <w:r>
        <w:t xml:space="preserve">, </w:t>
      </w:r>
      <w:r>
        <w:rPr>
          <w:i/>
        </w:rPr>
        <w:t>Política para corregidores</w:t>
      </w:r>
      <w:r>
        <w:t xml:space="preserve">, Lib. V, cap. </w:t>
      </w:r>
      <w:r w:rsidRPr="002718AC">
        <w:t>I, n. 228.</w:t>
      </w:r>
    </w:p>
  </w:footnote>
  <w:footnote w:id="12">
    <w:p w:rsidR="00EA1A07" w:rsidRPr="001347CC" w:rsidRDefault="00EA1A07" w:rsidP="00EA1A07">
      <w:pPr>
        <w:pStyle w:val="Textonotapie"/>
      </w:pPr>
      <w:r w:rsidRPr="00E40FE9">
        <w:rPr>
          <w:rStyle w:val="Refdenotaalpie"/>
        </w:rPr>
        <w:footnoteRef/>
      </w:r>
      <w:r w:rsidRPr="001347CC">
        <w:t xml:space="preserve"> “crimen gravísimo</w:t>
      </w:r>
      <w:proofErr w:type="gramStart"/>
      <w:r w:rsidRPr="001347CC">
        <w:t>!</w:t>
      </w:r>
      <w:proofErr w:type="gramEnd"/>
      <w:r w:rsidRPr="001347CC">
        <w:t>” dice López de Cu</w:t>
      </w:r>
      <w:r>
        <w:t xml:space="preserve">éllar, que se castigaba con pena de muerte en el caso de los jueces. López de Cuéllar, </w:t>
      </w:r>
      <w:r>
        <w:rPr>
          <w:i/>
        </w:rPr>
        <w:t xml:space="preserve">Tratado </w:t>
      </w:r>
      <w:proofErr w:type="spellStart"/>
      <w:r>
        <w:rPr>
          <w:i/>
        </w:rPr>
        <w:t>iuridico</w:t>
      </w:r>
      <w:proofErr w:type="spellEnd"/>
      <w:r>
        <w:rPr>
          <w:i/>
        </w:rPr>
        <w:t>-político</w:t>
      </w:r>
      <w:r>
        <w:t>, n. 407.</w:t>
      </w:r>
    </w:p>
  </w:footnote>
  <w:footnote w:id="13">
    <w:p w:rsidR="00EA1A07" w:rsidRPr="00887FBF" w:rsidRDefault="00EA1A07" w:rsidP="00EA1A07">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w:t>
      </w:r>
      <w:proofErr w:type="spellStart"/>
      <w:r>
        <w:t>Haereticum</w:t>
      </w:r>
      <w:proofErr w:type="spellEnd"/>
      <w:r>
        <w:t xml:space="preserve"> hominem post </w:t>
      </w:r>
      <w:proofErr w:type="spellStart"/>
      <w:r>
        <w:t>unam</w:t>
      </w:r>
      <w:proofErr w:type="spellEnd"/>
      <w:r>
        <w:t xml:space="preserve"> et </w:t>
      </w:r>
      <w:proofErr w:type="spellStart"/>
      <w:r>
        <w:t>secundam</w:t>
      </w:r>
      <w:proofErr w:type="spellEnd"/>
      <w:r>
        <w:t xml:space="preserve"> </w:t>
      </w:r>
      <w:proofErr w:type="spellStart"/>
      <w:r>
        <w:t>correptionem</w:t>
      </w:r>
      <w:proofErr w:type="spellEnd"/>
      <w:r>
        <w:t xml:space="preserve"> </w:t>
      </w:r>
      <w:proofErr w:type="spellStart"/>
      <w:r>
        <w:t>devita</w:t>
      </w:r>
      <w:proofErr w:type="spellEnd"/>
      <w:r>
        <w:t xml:space="preserve">, </w:t>
      </w:r>
      <w:proofErr w:type="spellStart"/>
      <w:r w:rsidRPr="00887FBF">
        <w:t>sciens</w:t>
      </w:r>
      <w:proofErr w:type="spellEnd"/>
      <w:r w:rsidRPr="00887FBF">
        <w:t xml:space="preserve"> </w:t>
      </w:r>
      <w:proofErr w:type="spellStart"/>
      <w:r w:rsidRPr="00887FBF">
        <w:t>quia</w:t>
      </w:r>
      <w:proofErr w:type="spellEnd"/>
      <w:r w:rsidRPr="00887FBF">
        <w:t xml:space="preserve"> </w:t>
      </w:r>
      <w:proofErr w:type="spellStart"/>
      <w:r w:rsidRPr="00887FBF">
        <w:t>subversus</w:t>
      </w:r>
      <w:proofErr w:type="spellEnd"/>
      <w:r w:rsidRPr="00887FBF">
        <w:t xml:space="preserve"> </w:t>
      </w:r>
      <w:proofErr w:type="spellStart"/>
      <w:r w:rsidRPr="00887FBF">
        <w:t>est</w:t>
      </w:r>
      <w:proofErr w:type="spellEnd"/>
      <w:r w:rsidRPr="00887FBF">
        <w:t xml:space="preserve">, </w:t>
      </w:r>
      <w:proofErr w:type="spellStart"/>
      <w:r w:rsidRPr="00887FBF">
        <w:t>qui</w:t>
      </w:r>
      <w:proofErr w:type="spellEnd"/>
      <w:r w:rsidRPr="00887FBF">
        <w:t xml:space="preserve"> </w:t>
      </w:r>
      <w:proofErr w:type="spellStart"/>
      <w:r w:rsidRPr="00887FBF">
        <w:t>eiusmodi</w:t>
      </w:r>
      <w:proofErr w:type="spellEnd"/>
      <w:r w:rsidRPr="00887FBF">
        <w:t xml:space="preserve"> </w:t>
      </w:r>
      <w:proofErr w:type="spellStart"/>
      <w:r w:rsidRPr="00887FBF">
        <w:t>est</w:t>
      </w:r>
      <w:proofErr w:type="spellEnd"/>
      <w:r w:rsidRPr="00887FBF">
        <w:t xml:space="preserve">, et </w:t>
      </w:r>
      <w:proofErr w:type="spellStart"/>
      <w:r w:rsidRPr="00887FBF">
        <w:t>delinqu</w:t>
      </w:r>
      <w:r>
        <w:t>it</w:t>
      </w:r>
      <w:proofErr w:type="spellEnd"/>
      <w:r>
        <w:t xml:space="preserve">, proprio </w:t>
      </w:r>
      <w:proofErr w:type="spellStart"/>
      <w:r>
        <w:t>iudicio</w:t>
      </w:r>
      <w:proofErr w:type="spellEnd"/>
      <w:r>
        <w:t xml:space="preserve"> </w:t>
      </w:r>
      <w:proofErr w:type="spellStart"/>
      <w:r>
        <w:t>condemnatus</w:t>
      </w:r>
      <w:proofErr w:type="spellEnd"/>
      <w:r>
        <w:t xml:space="preserve">.” </w:t>
      </w:r>
      <w:proofErr w:type="spellStart"/>
      <w:r>
        <w:t>Titum</w:t>
      </w:r>
      <w:proofErr w:type="spellEnd"/>
      <w:r>
        <w:t xml:space="preserve">, 3:10-11. </w:t>
      </w:r>
      <w:r>
        <w:fldChar w:fldCharType="begin"/>
      </w:r>
      <w:r w:rsidR="00E177AA">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45–50.","noteIndex":13},"citationItems":[{"id":7996,"uris":["http://zotero.org/users/163570/items/3SKHTBXG"],"uri":["http://zotero.org/users/163570/items/3SKHTBXG"],"itemData":{"id":7996,"type":"article-journal","title":"De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r w:rsidRPr="00EB3702">
        <w:rPr>
          <w:rFonts w:cs="Times New Roman"/>
          <w:i/>
          <w:iCs/>
          <w:szCs w:val="24"/>
        </w:rPr>
        <w:t>Scintilla – Revista de Filosofia e Mística Medieval</w:t>
      </w:r>
      <w:r w:rsidRPr="00EB3702">
        <w:rPr>
          <w:rFonts w:cs="Times New Roman"/>
          <w:szCs w:val="24"/>
        </w:rPr>
        <w:t xml:space="preserve"> 12, núm. 2 (2015): 45–50.</w:t>
      </w:r>
      <w:r>
        <w:fldChar w:fldCharType="end"/>
      </w:r>
      <w:r>
        <w:t xml:space="preserve"> </w:t>
      </w:r>
    </w:p>
  </w:footnote>
  <w:footnote w:id="14">
    <w:p w:rsidR="00EA1A07" w:rsidRPr="001E4219" w:rsidRDefault="00EA1A07" w:rsidP="00EA1A07">
      <w:pPr>
        <w:pStyle w:val="Textonotapie"/>
      </w:pPr>
      <w:r w:rsidRPr="00E40FE9">
        <w:rPr>
          <w:rStyle w:val="Refdenotaalpie"/>
        </w:rPr>
        <w:footnoteRef/>
      </w:r>
      <w:r w:rsidRPr="001E4219">
        <w:t xml:space="preserve"> “Porque si descubierto el delito</w:t>
      </w:r>
      <w:r>
        <w:t>,</w:t>
      </w:r>
      <w:r w:rsidRPr="001E4219">
        <w:t xml:space="preserve"> no se </w:t>
      </w:r>
      <w:proofErr w:type="spellStart"/>
      <w:r>
        <w:t>castigo</w:t>
      </w:r>
      <w:proofErr w:type="spellEnd"/>
      <w:r>
        <w:t xml:space="preserve"> al reo, cimentara en la tolerancia su avilantez, para </w:t>
      </w:r>
      <w:proofErr w:type="spellStart"/>
      <w:r>
        <w:t>executar</w:t>
      </w:r>
      <w:proofErr w:type="spellEnd"/>
      <w:r>
        <w:t xml:space="preserve"> lo que ya tramado se le perdonó”. López de Cuéllar, </w:t>
      </w:r>
      <w:r>
        <w:rPr>
          <w:i/>
        </w:rPr>
        <w:t xml:space="preserve">Tratado </w:t>
      </w:r>
      <w:proofErr w:type="spellStart"/>
      <w:r>
        <w:rPr>
          <w:i/>
        </w:rPr>
        <w:t>iuridico</w:t>
      </w:r>
      <w:proofErr w:type="spellEnd"/>
      <w:r>
        <w:rPr>
          <w:i/>
        </w:rPr>
        <w:t>-político</w:t>
      </w:r>
      <w:r>
        <w:t>, n. 488.</w:t>
      </w:r>
    </w:p>
  </w:footnote>
  <w:footnote w:id="15">
    <w:p w:rsidR="00EA1A07" w:rsidRPr="00917031" w:rsidRDefault="00EA1A07" w:rsidP="00EA1A07">
      <w:pPr>
        <w:pStyle w:val="Textonotapie"/>
      </w:pPr>
      <w:r w:rsidRPr="00E40FE9">
        <w:rPr>
          <w:rStyle w:val="Refdenotaalpie"/>
        </w:rPr>
        <w:footnoteRef/>
      </w:r>
      <w:r w:rsidRPr="00917031">
        <w:t xml:space="preserve"> “No </w:t>
      </w:r>
      <w:proofErr w:type="spellStart"/>
      <w:r w:rsidRPr="00917031">
        <w:t>goze</w:t>
      </w:r>
      <w:proofErr w:type="spellEnd"/>
      <w:r w:rsidRPr="00917031">
        <w:t xml:space="preserve"> de la clemencia del </w:t>
      </w:r>
      <w:proofErr w:type="spellStart"/>
      <w:r w:rsidRPr="00917031">
        <w:t>Principe</w:t>
      </w:r>
      <w:proofErr w:type="spellEnd"/>
      <w:r w:rsidRPr="00917031">
        <w:t xml:space="preserve"> en el Indulto el </w:t>
      </w:r>
      <w:proofErr w:type="spellStart"/>
      <w:r w:rsidRPr="00917031">
        <w:t>impio</w:t>
      </w:r>
      <w:proofErr w:type="spellEnd"/>
      <w:r w:rsidRPr="00917031">
        <w:t xml:space="preserve">, que irritó la </w:t>
      </w:r>
      <w:proofErr w:type="spellStart"/>
      <w:r>
        <w:t>Iusticia</w:t>
      </w:r>
      <w:proofErr w:type="spellEnd"/>
      <w:r>
        <w:t xml:space="preserve"> de Dios, y pues la ley lo manda, justo es que el fuego reduzca </w:t>
      </w:r>
      <w:proofErr w:type="spellStart"/>
      <w:r>
        <w:t>á</w:t>
      </w:r>
      <w:proofErr w:type="spellEnd"/>
      <w:r>
        <w:t xml:space="preserve"> pavesas </w:t>
      </w:r>
      <w:proofErr w:type="spellStart"/>
      <w:r>
        <w:t>delinquente</w:t>
      </w:r>
      <w:proofErr w:type="spellEnd"/>
      <w:r>
        <w:t xml:space="preserve">, que sin temor del castigo, se </w:t>
      </w:r>
      <w:proofErr w:type="spellStart"/>
      <w:r>
        <w:t>sugetó</w:t>
      </w:r>
      <w:proofErr w:type="spellEnd"/>
      <w:r>
        <w:t xml:space="preserve"> por su delito </w:t>
      </w:r>
      <w:proofErr w:type="spellStart"/>
      <w:r>
        <w:t>á</w:t>
      </w:r>
      <w:proofErr w:type="spellEnd"/>
      <w:r>
        <w:t xml:space="preserve"> ser infame, </w:t>
      </w:r>
      <w:proofErr w:type="spellStart"/>
      <w:r>
        <w:t>quanto</w:t>
      </w:r>
      <w:proofErr w:type="spellEnd"/>
      <w:r>
        <w:t xml:space="preserve"> </w:t>
      </w:r>
      <w:proofErr w:type="spellStart"/>
      <w:r>
        <w:t>exemplar</w:t>
      </w:r>
      <w:proofErr w:type="spellEnd"/>
      <w:r>
        <w:t xml:space="preserve"> padrón de escarmiento </w:t>
      </w:r>
      <w:proofErr w:type="spellStart"/>
      <w:r>
        <w:t>á</w:t>
      </w:r>
      <w:proofErr w:type="spellEnd"/>
      <w:r>
        <w:t xml:space="preserve"> las futuras edades, encendiendo en su corazón la denegrida llama de su apetito.” López de Cuéllar, </w:t>
      </w:r>
      <w:r>
        <w:rPr>
          <w:i/>
        </w:rPr>
        <w:t xml:space="preserve">Tratado </w:t>
      </w:r>
      <w:proofErr w:type="spellStart"/>
      <w:r>
        <w:rPr>
          <w:i/>
        </w:rPr>
        <w:t>iuridico</w:t>
      </w:r>
      <w:proofErr w:type="spellEnd"/>
      <w:r>
        <w:rPr>
          <w:i/>
        </w:rPr>
        <w:t>-político</w:t>
      </w:r>
      <w:r>
        <w:t>, n. 728.</w:t>
      </w:r>
    </w:p>
  </w:footnote>
  <w:footnote w:id="16">
    <w:p w:rsidR="00EA1A07" w:rsidRDefault="00EA1A07" w:rsidP="00EA1A07">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w:t>
      </w:r>
      <w:proofErr w:type="spellStart"/>
      <w:r>
        <w:t>perdonalo</w:t>
      </w:r>
      <w:proofErr w:type="spellEnd"/>
      <w:r>
        <w:t xml:space="preserve"> para que cesara la acción civil pues el rey sólo indultaba la criminal. López de Cuéllar, </w:t>
      </w:r>
      <w:r>
        <w:rPr>
          <w:i/>
        </w:rPr>
        <w:t xml:space="preserve">Tratado </w:t>
      </w:r>
      <w:proofErr w:type="spellStart"/>
      <w:r>
        <w:rPr>
          <w:i/>
        </w:rPr>
        <w:t>iuridico</w:t>
      </w:r>
      <w:proofErr w:type="spellEnd"/>
      <w:r>
        <w:rPr>
          <w:i/>
        </w:rPr>
        <w:t>-político</w:t>
      </w:r>
      <w:r>
        <w:t>, n. 855.</w:t>
      </w:r>
    </w:p>
  </w:footnote>
  <w:footnote w:id="17">
    <w:p w:rsidR="00EA1A07" w:rsidRPr="00F0676E" w:rsidRDefault="00EA1A07" w:rsidP="00EA1A07">
      <w:pPr>
        <w:pStyle w:val="Textonotapie"/>
      </w:pPr>
      <w:r w:rsidRPr="00E40FE9">
        <w:rPr>
          <w:rStyle w:val="Refdenotaalpie"/>
        </w:rPr>
        <w:footnoteRef/>
      </w:r>
      <w:r>
        <w:t xml:space="preserve"> Se incluyen en esta excepción el </w:t>
      </w:r>
      <w:proofErr w:type="spellStart"/>
      <w:r>
        <w:rPr>
          <w:i/>
        </w:rPr>
        <w:t>consensum</w:t>
      </w:r>
      <w:proofErr w:type="spellEnd"/>
      <w:r>
        <w:rPr>
          <w:i/>
        </w:rPr>
        <w:t xml:space="preserve"> </w:t>
      </w:r>
      <w:proofErr w:type="spellStart"/>
      <w:r>
        <w:rPr>
          <w:i/>
        </w:rPr>
        <w:t>falsum</w:t>
      </w:r>
      <w:proofErr w:type="spellEnd"/>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w:t>
      </w:r>
      <w:proofErr w:type="spellStart"/>
      <w:r>
        <w:t>ó</w:t>
      </w:r>
      <w:proofErr w:type="spellEnd"/>
      <w:r>
        <w:t xml:space="preserve"> </w:t>
      </w:r>
      <w:proofErr w:type="spellStart"/>
      <w:r>
        <w:t>Provission</w:t>
      </w:r>
      <w:proofErr w:type="spellEnd"/>
      <w:r>
        <w:t xml:space="preserve">, </w:t>
      </w:r>
      <w:proofErr w:type="spellStart"/>
      <w:r>
        <w:t>ó</w:t>
      </w:r>
      <w:proofErr w:type="spellEnd"/>
      <w:r>
        <w:t xml:space="preserve"> abre cartas de los particulares, </w:t>
      </w:r>
      <w:proofErr w:type="spellStart"/>
      <w:r>
        <w:t>ó</w:t>
      </w:r>
      <w:proofErr w:type="spellEnd"/>
      <w:r>
        <w:t xml:space="preserve"> rompe algún auto judicial al Ministro que se le notifica”. López de Cuéllar, </w:t>
      </w:r>
      <w:r>
        <w:rPr>
          <w:i/>
        </w:rPr>
        <w:t xml:space="preserve">Tratado </w:t>
      </w:r>
      <w:proofErr w:type="spellStart"/>
      <w:r>
        <w:rPr>
          <w:i/>
        </w:rPr>
        <w:t>iuridico</w:t>
      </w:r>
      <w:proofErr w:type="spellEnd"/>
      <w:r>
        <w:rPr>
          <w:i/>
        </w:rPr>
        <w:t>-político</w:t>
      </w:r>
      <w:r>
        <w:t>, n. 860-970.</w:t>
      </w:r>
    </w:p>
  </w:footnote>
  <w:footnote w:id="18">
    <w:p w:rsidR="00EA1A07" w:rsidRPr="00965B72" w:rsidRDefault="00EA1A07" w:rsidP="00EA1A07">
      <w:pPr>
        <w:pStyle w:val="Textonotapie"/>
      </w:pPr>
      <w:r w:rsidRPr="00E40FE9">
        <w:rPr>
          <w:rStyle w:val="Refdenotaalpie"/>
        </w:rPr>
        <w:footnoteRef/>
      </w:r>
      <w:r w:rsidRPr="00965B72">
        <w:t xml:space="preserve"> “Et cum per </w:t>
      </w:r>
      <w:proofErr w:type="spellStart"/>
      <w:r w:rsidRPr="00965B72">
        <w:t>blasphemiam</w:t>
      </w:r>
      <w:proofErr w:type="spellEnd"/>
      <w:r w:rsidRPr="00965B72">
        <w:t xml:space="preserve"> </w:t>
      </w:r>
      <w:proofErr w:type="spellStart"/>
      <w:r w:rsidRPr="00965B72">
        <w:t>fiat</w:t>
      </w:r>
      <w:proofErr w:type="spellEnd"/>
      <w:r w:rsidRPr="00965B72">
        <w:t xml:space="preserve"> </w:t>
      </w:r>
      <w:proofErr w:type="spellStart"/>
      <w:r w:rsidRPr="00965B72">
        <w:t>iniuria</w:t>
      </w:r>
      <w:proofErr w:type="spellEnd"/>
      <w:r w:rsidRPr="00965B72">
        <w:t xml:space="preserve"> Deo, sine </w:t>
      </w:r>
      <w:proofErr w:type="spellStart"/>
      <w:r w:rsidRPr="00965B72">
        <w:t>blasphemia</w:t>
      </w:r>
      <w:proofErr w:type="spellEnd"/>
      <w:r w:rsidRPr="00965B72">
        <w:t xml:space="preserve"> </w:t>
      </w:r>
      <w:proofErr w:type="spellStart"/>
      <w:r w:rsidRPr="00965B72">
        <w:t>fiat</w:t>
      </w:r>
      <w:proofErr w:type="spellEnd"/>
      <w:r w:rsidRPr="00965B72">
        <w:t xml:space="preserve"> in </w:t>
      </w:r>
      <w:proofErr w:type="spellStart"/>
      <w:r w:rsidRPr="00965B72">
        <w:t>Deum</w:t>
      </w:r>
      <w:proofErr w:type="spellEnd"/>
      <w:r w:rsidRPr="00965B72">
        <w:t xml:space="preserve">, </w:t>
      </w:r>
      <w:proofErr w:type="spellStart"/>
      <w:r w:rsidRPr="00965B72">
        <w:t>sive</w:t>
      </w:r>
      <w:proofErr w:type="spellEnd"/>
      <w:r w:rsidRPr="00965B72">
        <w:t xml:space="preserve"> in </w:t>
      </w:r>
      <w:proofErr w:type="spellStart"/>
      <w:r w:rsidRPr="00965B72">
        <w:t>Virginem</w:t>
      </w:r>
      <w:proofErr w:type="spellEnd"/>
      <w:r w:rsidRPr="00965B72">
        <w:t xml:space="preserve"> </w:t>
      </w:r>
      <w:proofErr w:type="spellStart"/>
      <w:r w:rsidRPr="00965B72">
        <w:t>Mariam</w:t>
      </w:r>
      <w:proofErr w:type="spellEnd"/>
      <w:r w:rsidRPr="00965B72">
        <w:t xml:space="preserve">, </w:t>
      </w:r>
      <w:proofErr w:type="spellStart"/>
      <w:r w:rsidRPr="00965B72">
        <w:t>sive</w:t>
      </w:r>
      <w:proofErr w:type="spellEnd"/>
      <w:r w:rsidRPr="00965B72">
        <w:t xml:space="preserve"> in </w:t>
      </w:r>
      <w:proofErr w:type="spellStart"/>
      <w:r w:rsidRPr="00965B72">
        <w:t>Sanctos</w:t>
      </w:r>
      <w:proofErr w:type="spellEnd"/>
      <w:r w:rsidRPr="00965B72">
        <w:t xml:space="preserve">, </w:t>
      </w:r>
      <w:proofErr w:type="spellStart"/>
      <w:r w:rsidRPr="00965B72">
        <w:t>est</w:t>
      </w:r>
      <w:proofErr w:type="spellEnd"/>
      <w:r w:rsidRPr="00965B72">
        <w:t xml:space="preserve"> </w:t>
      </w:r>
      <w:proofErr w:type="spellStart"/>
      <w:r w:rsidRPr="00965B72">
        <w:t>clarum</w:t>
      </w:r>
      <w:proofErr w:type="spellEnd"/>
      <w:r w:rsidRPr="00965B72">
        <w:t xml:space="preserve">, </w:t>
      </w:r>
      <w:proofErr w:type="spellStart"/>
      <w:r w:rsidRPr="00965B72">
        <w:t>qu</w:t>
      </w:r>
      <w:r>
        <w:t>ód</w:t>
      </w:r>
      <w:proofErr w:type="spellEnd"/>
      <w:r>
        <w:t xml:space="preserve"> Imperator, Dux, et </w:t>
      </w:r>
      <w:proofErr w:type="spellStart"/>
      <w:r>
        <w:t>Princepts</w:t>
      </w:r>
      <w:proofErr w:type="spellEnd"/>
      <w:r>
        <w:t xml:space="preserve">, </w:t>
      </w:r>
      <w:proofErr w:type="spellStart"/>
      <w:r>
        <w:t>not</w:t>
      </w:r>
      <w:proofErr w:type="spellEnd"/>
      <w:r>
        <w:t xml:space="preserve"> </w:t>
      </w:r>
      <w:proofErr w:type="spellStart"/>
      <w:r>
        <w:t>possunt</w:t>
      </w:r>
      <w:proofErr w:type="spellEnd"/>
      <w:r>
        <w:t xml:space="preserve"> per </w:t>
      </w:r>
      <w:proofErr w:type="spellStart"/>
      <w:r>
        <w:t>eorum</w:t>
      </w:r>
      <w:proofErr w:type="spellEnd"/>
      <w:r>
        <w:t xml:space="preserve"> </w:t>
      </w:r>
      <w:proofErr w:type="spellStart"/>
      <w:r>
        <w:t>gratiam</w:t>
      </w:r>
      <w:proofErr w:type="spellEnd"/>
      <w:r>
        <w:t xml:space="preserve"> </w:t>
      </w:r>
      <w:proofErr w:type="spellStart"/>
      <w:r>
        <w:t>alicaius</w:t>
      </w:r>
      <w:proofErr w:type="spellEnd"/>
      <w:r>
        <w:t xml:space="preserve"> </w:t>
      </w:r>
      <w:proofErr w:type="spellStart"/>
      <w:r>
        <w:t>poenae</w:t>
      </w:r>
      <w:proofErr w:type="spellEnd"/>
      <w:r>
        <w:t xml:space="preserve"> </w:t>
      </w:r>
      <w:proofErr w:type="spellStart"/>
      <w:r>
        <w:t>plasphemo</w:t>
      </w:r>
      <w:proofErr w:type="spellEnd"/>
      <w:r>
        <w:t xml:space="preserve">, cum nos </w:t>
      </w:r>
      <w:proofErr w:type="spellStart"/>
      <w:r>
        <w:t>sit</w:t>
      </w:r>
      <w:proofErr w:type="spellEnd"/>
      <w:r>
        <w:t xml:space="preserve"> </w:t>
      </w:r>
      <w:proofErr w:type="spellStart"/>
      <w:r>
        <w:t>eis</w:t>
      </w:r>
      <w:proofErr w:type="spellEnd"/>
      <w:r>
        <w:t xml:space="preserve"> </w:t>
      </w:r>
      <w:proofErr w:type="spellStart"/>
      <w:r>
        <w:t>facta</w:t>
      </w:r>
      <w:proofErr w:type="spellEnd"/>
      <w:r>
        <w:t xml:space="preserve"> </w:t>
      </w:r>
      <w:proofErr w:type="spellStart"/>
      <w:r>
        <w:t>iniuria</w:t>
      </w:r>
      <w:proofErr w:type="spellEnd"/>
      <w:r>
        <w:t xml:space="preserve">, </w:t>
      </w:r>
      <w:proofErr w:type="spellStart"/>
      <w:r>
        <w:t>nec</w:t>
      </w:r>
      <w:proofErr w:type="spellEnd"/>
      <w:r>
        <w:t xml:space="preserve"> </w:t>
      </w:r>
      <w:proofErr w:type="spellStart"/>
      <w:r>
        <w:t>eorum</w:t>
      </w:r>
      <w:proofErr w:type="spellEnd"/>
      <w:r>
        <w:t xml:space="preserve"> </w:t>
      </w:r>
      <w:proofErr w:type="spellStart"/>
      <w:r>
        <w:t>subditis</w:t>
      </w:r>
      <w:proofErr w:type="spellEnd"/>
      <w:r>
        <w:t xml:space="preserve">, sed Deo </w:t>
      </w:r>
      <w:proofErr w:type="spellStart"/>
      <w:r>
        <w:t>eorum</w:t>
      </w:r>
      <w:proofErr w:type="spellEnd"/>
      <w:r>
        <w:t xml:space="preserve"> </w:t>
      </w:r>
      <w:proofErr w:type="spellStart"/>
      <w:r>
        <w:t>Superiori</w:t>
      </w:r>
      <w:proofErr w:type="spellEnd"/>
      <w:r>
        <w:t xml:space="preserve">, et nos </w:t>
      </w:r>
      <w:proofErr w:type="spellStart"/>
      <w:r>
        <w:t>potest</w:t>
      </w:r>
      <w:proofErr w:type="spellEnd"/>
      <w:r>
        <w:t xml:space="preserve"> inferior </w:t>
      </w:r>
      <w:proofErr w:type="spellStart"/>
      <w:r>
        <w:t>remitie</w:t>
      </w:r>
      <w:proofErr w:type="spellEnd"/>
      <w:r>
        <w:t xml:space="preserve"> </w:t>
      </w:r>
      <w:proofErr w:type="spellStart"/>
      <w:r>
        <w:t>iniuriam</w:t>
      </w:r>
      <w:proofErr w:type="spellEnd"/>
      <w:r>
        <w:t xml:space="preserve"> </w:t>
      </w:r>
      <w:proofErr w:type="spellStart"/>
      <w:r>
        <w:t>factam</w:t>
      </w:r>
      <w:proofErr w:type="spellEnd"/>
      <w:r>
        <w:t xml:space="preserve"> </w:t>
      </w:r>
      <w:proofErr w:type="spellStart"/>
      <w:r>
        <w:t>superiori</w:t>
      </w:r>
      <w:proofErr w:type="spellEnd"/>
      <w:r>
        <w:t xml:space="preserve">”. López de Cuéllar, </w:t>
      </w:r>
      <w:r>
        <w:rPr>
          <w:i/>
        </w:rPr>
        <w:t xml:space="preserve">Tratado </w:t>
      </w:r>
      <w:proofErr w:type="spellStart"/>
      <w:r>
        <w:rPr>
          <w:i/>
        </w:rPr>
        <w:t>iuridico</w:t>
      </w:r>
      <w:proofErr w:type="spellEnd"/>
      <w:r>
        <w:rPr>
          <w:i/>
        </w:rPr>
        <w:t>-político</w:t>
      </w:r>
      <w:r>
        <w:t>, n. 1034.</w:t>
      </w:r>
    </w:p>
  </w:footnote>
  <w:footnote w:id="19">
    <w:p w:rsidR="00EA1A07" w:rsidRDefault="00EA1A07" w:rsidP="00EA1A07">
      <w:pPr>
        <w:pStyle w:val="Textonotapie"/>
      </w:pPr>
      <w:r w:rsidRPr="00E40FE9">
        <w:rPr>
          <w:rStyle w:val="Refdenotaalpie"/>
        </w:rPr>
        <w:footnoteRef/>
      </w:r>
      <w:r>
        <w:t xml:space="preserve"> Porque quien resistía a los ministros del rey lo hacía por extensión contra el príncipe y Dios. López de Cuéllar, </w:t>
      </w:r>
      <w:r>
        <w:rPr>
          <w:i/>
        </w:rPr>
        <w:t xml:space="preserve">Tratado </w:t>
      </w:r>
      <w:proofErr w:type="spellStart"/>
      <w:r>
        <w:rPr>
          <w:i/>
        </w:rPr>
        <w:t>iuridico</w:t>
      </w:r>
      <w:proofErr w:type="spellEnd"/>
      <w:r>
        <w:rPr>
          <w:i/>
        </w:rPr>
        <w:t>-político</w:t>
      </w:r>
      <w:r>
        <w:t>, n. 1144-1150.</w:t>
      </w:r>
    </w:p>
  </w:footnote>
  <w:footnote w:id="20">
    <w:p w:rsidR="00EA1A07" w:rsidRDefault="00EA1A07" w:rsidP="00EA1A07">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21">
    <w:p w:rsidR="00EA1A07" w:rsidRDefault="00EA1A07" w:rsidP="00EA1A07">
      <w:pPr>
        <w:pStyle w:val="Textonotapie"/>
      </w:pPr>
      <w:r w:rsidRPr="00E40FE9">
        <w:rPr>
          <w:rStyle w:val="Refdenotaalpie"/>
        </w:rPr>
        <w:footnoteRef/>
      </w:r>
      <w:r>
        <w:t xml:space="preserve"> </w:t>
      </w:r>
      <w:r>
        <w:fldChar w:fldCharType="begin"/>
      </w:r>
      <w:r w:rsidR="00E177AA">
        <w:instrText xml:space="preserve"> ADDIN ZOTERO_ITEM CSL_CITATION {"citationID":"hNxk9coa","properties":{"formattedCitation":"Mar\\uc0\\u237{}a Inmaculada Rodr\\uc0\\u237{}guez Flores, {\\i{}El perd\\uc0\\u243{}n real en Castilla (siglos XIII-XVIII)} (Salamanca: Universidad de Salamanca, 1971), 114.","plainCitation":"María Inmaculada Rodríguez Flores, El perdón real en Castilla (siglos XIII-XVIII) (Salamanca: Universidad de Salamanca, 1971), 114.","noteIndex":21},"citationItems":[{"id":2654,"uris":["http://zotero.org/users/163570/items/APZE9XAC"],"uri":["http://zotero.org/users/163570/items/APZE9XAC"],"itemData":{"id":2654,"type":"book","title":"El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00902918" w:rsidRPr="00902918">
        <w:rPr>
          <w:rFonts w:cs="Times New Roman"/>
          <w:szCs w:val="24"/>
        </w:rPr>
        <w:t xml:space="preserve">María Inmaculada Rodríguez Flores, </w:t>
      </w:r>
      <w:r w:rsidR="00902918" w:rsidRPr="00902918">
        <w:rPr>
          <w:rFonts w:cs="Times New Roman"/>
          <w:i/>
          <w:iCs/>
          <w:szCs w:val="24"/>
        </w:rPr>
        <w:t>El perdón real en Castilla (siglos XIII-XVIII)</w:t>
      </w:r>
      <w:r w:rsidR="00902918" w:rsidRPr="00902918">
        <w:rPr>
          <w:rFonts w:cs="Times New Roman"/>
          <w:szCs w:val="24"/>
        </w:rPr>
        <w:t xml:space="preserve"> (Salamanca: Universidad de Salamanca, 1971), 114.</w:t>
      </w:r>
      <w:r>
        <w:fldChar w:fldCharType="end"/>
      </w:r>
      <w:r>
        <w:t xml:space="preserve"> Vale apuntar que el delito de traición (</w:t>
      </w:r>
      <w:proofErr w:type="spellStart"/>
      <w:r w:rsidRPr="00C52EEA">
        <w:rPr>
          <w:i/>
        </w:rPr>
        <w:t>proditionis</w:t>
      </w:r>
      <w:proofErr w:type="spellEnd"/>
      <w:r>
        <w:t>) era considerado como uno de los delitos más graves. Desde una perspectiva teológico-moral, el traidor rememoraba a Judas (</w:t>
      </w:r>
      <w:proofErr w:type="spellStart"/>
      <w:r>
        <w:rPr>
          <w:i/>
        </w:rPr>
        <w:t>Iudas</w:t>
      </w:r>
      <w:proofErr w:type="spellEnd"/>
      <w:r>
        <w:rPr>
          <w:i/>
        </w:rPr>
        <w:t xml:space="preserve"> </w:t>
      </w:r>
      <w:proofErr w:type="spellStart"/>
      <w:r>
        <w:rPr>
          <w:i/>
        </w:rPr>
        <w:t>proditor</w:t>
      </w:r>
      <w:proofErr w:type="spellEnd"/>
      <w:r>
        <w:t>) por haber traicionado a Cristo aún a pesar de estar en la cima del apostolado. Rodrigo Sánchez de Arévalo lo consideró como una fechoría de las más aberrantes: “</w:t>
      </w:r>
      <w:proofErr w:type="spellStart"/>
      <w:r>
        <w:t>Proditionis</w:t>
      </w:r>
      <w:proofErr w:type="spellEnd"/>
      <w:r>
        <w:t xml:space="preserve"> </w:t>
      </w:r>
      <w:proofErr w:type="spellStart"/>
      <w:r>
        <w:t>horrendum</w:t>
      </w:r>
      <w:proofErr w:type="spellEnd"/>
      <w:r>
        <w:t xml:space="preserve"> </w:t>
      </w:r>
      <w:proofErr w:type="spellStart"/>
      <w:r>
        <w:t>flagitium</w:t>
      </w:r>
      <w:proofErr w:type="gramStart"/>
      <w:r>
        <w:t>,ómnium</w:t>
      </w:r>
      <w:proofErr w:type="spellEnd"/>
      <w:proofErr w:type="gramEnd"/>
      <w:r>
        <w:t xml:space="preserve"> </w:t>
      </w:r>
      <w:proofErr w:type="spellStart"/>
      <w:r>
        <w:t>facinorum</w:t>
      </w:r>
      <w:proofErr w:type="spellEnd"/>
      <w:r>
        <w:t xml:space="preserve"> </w:t>
      </w:r>
      <w:proofErr w:type="spellStart"/>
      <w:r>
        <w:t>uilius</w:t>
      </w:r>
      <w:proofErr w:type="spellEnd"/>
      <w:r>
        <w:t xml:space="preserve">, </w:t>
      </w:r>
      <w:proofErr w:type="spellStart"/>
      <w:r>
        <w:t>deformius</w:t>
      </w:r>
      <w:proofErr w:type="spellEnd"/>
      <w:r>
        <w:t xml:space="preserve"> </w:t>
      </w:r>
      <w:proofErr w:type="spellStart"/>
      <w:r>
        <w:t>ac</w:t>
      </w:r>
      <w:proofErr w:type="spellEnd"/>
      <w:r>
        <w:t xml:space="preserve"> </w:t>
      </w:r>
      <w:proofErr w:type="spellStart"/>
      <w:r>
        <w:t>sceleratius</w:t>
      </w:r>
      <w:proofErr w:type="spellEnd"/>
      <w:r>
        <w:t xml:space="preserve"> </w:t>
      </w:r>
      <w:proofErr w:type="spellStart"/>
      <w:r>
        <w:t>fore</w:t>
      </w:r>
      <w:proofErr w:type="spellEnd"/>
      <w:r>
        <w:t xml:space="preserve"> </w:t>
      </w:r>
      <w:proofErr w:type="spellStart"/>
      <w:r>
        <w:t>nemo</w:t>
      </w:r>
      <w:proofErr w:type="spellEnd"/>
      <w:r>
        <w:t xml:space="preserve">, </w:t>
      </w:r>
      <w:proofErr w:type="spellStart"/>
      <w:r>
        <w:t>nisi</w:t>
      </w:r>
      <w:proofErr w:type="spellEnd"/>
      <w:r>
        <w:t xml:space="preserve"> </w:t>
      </w:r>
      <w:proofErr w:type="spellStart"/>
      <w:r>
        <w:t>insanus</w:t>
      </w:r>
      <w:proofErr w:type="spellEnd"/>
      <w:r>
        <w:t xml:space="preserve"> </w:t>
      </w:r>
      <w:proofErr w:type="spellStart"/>
      <w:r>
        <w:t>hesitat</w:t>
      </w:r>
      <w:proofErr w:type="spellEnd"/>
      <w:r>
        <w:t xml:space="preserve">, </w:t>
      </w:r>
      <w:proofErr w:type="spellStart"/>
      <w:r>
        <w:t>quippe</w:t>
      </w:r>
      <w:proofErr w:type="spellEnd"/>
      <w:r>
        <w:t xml:space="preserve"> </w:t>
      </w:r>
      <w:proofErr w:type="spellStart"/>
      <w:r>
        <w:t>quod</w:t>
      </w:r>
      <w:proofErr w:type="spellEnd"/>
      <w:r>
        <w:t xml:space="preserve"> </w:t>
      </w:r>
      <w:proofErr w:type="spellStart"/>
      <w:r>
        <w:t>omnia</w:t>
      </w:r>
      <w:proofErr w:type="spellEnd"/>
      <w:r>
        <w:t xml:space="preserve"> </w:t>
      </w:r>
      <w:proofErr w:type="spellStart"/>
      <w:r>
        <w:t>alia</w:t>
      </w:r>
      <w:proofErr w:type="spellEnd"/>
      <w:r>
        <w:t xml:space="preserve"> </w:t>
      </w:r>
      <w:proofErr w:type="spellStart"/>
      <w:r>
        <w:t>delictorum</w:t>
      </w:r>
      <w:proofErr w:type="spellEnd"/>
      <w:r>
        <w:t xml:space="preserve"> genera </w:t>
      </w:r>
      <w:proofErr w:type="spellStart"/>
      <w:r>
        <w:t>superat</w:t>
      </w:r>
      <w:proofErr w:type="spellEnd"/>
      <w:r>
        <w:t xml:space="preserve">”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22">
    <w:p w:rsidR="00EA1A07" w:rsidRPr="005F746C" w:rsidRDefault="00EA1A07" w:rsidP="00EA1A07">
      <w:pPr>
        <w:pStyle w:val="Textonotapie"/>
      </w:pPr>
      <w:r w:rsidRPr="00E40FE9">
        <w:rPr>
          <w:rStyle w:val="Refdenotaalpie"/>
        </w:rPr>
        <w:footnoteRef/>
      </w:r>
      <w:r>
        <w:t xml:space="preserve"> </w:t>
      </w:r>
      <w:r>
        <w:rPr>
          <w:i/>
        </w:rPr>
        <w:t>Gaceta de Madrid</w:t>
      </w:r>
      <w:r>
        <w:t>, No. 5181, 19 de noviembre de 1848.</w:t>
      </w:r>
    </w:p>
  </w:footnote>
  <w:footnote w:id="23">
    <w:p w:rsidR="00EA1A07" w:rsidRDefault="00EA1A07" w:rsidP="00EA1A07">
      <w:pPr>
        <w:pStyle w:val="Textonotapie"/>
      </w:pPr>
      <w:r w:rsidRPr="00E40FE9">
        <w:rPr>
          <w:rStyle w:val="Refdenotaalpie"/>
        </w:rPr>
        <w:footnoteRef/>
      </w:r>
      <w:r>
        <w:t xml:space="preserve"> Por ejemplo, el perdón general dado por Felipe III en 1603 sólo excluía los delitos de “</w:t>
      </w:r>
      <w:proofErr w:type="spellStart"/>
      <w:r>
        <w:t>lese</w:t>
      </w:r>
      <w:proofErr w:type="spellEnd"/>
      <w:r>
        <w:t xml:space="preserve"> </w:t>
      </w:r>
      <w:proofErr w:type="spellStart"/>
      <w:r>
        <w:t>mayestatis</w:t>
      </w:r>
      <w:proofErr w:type="spellEnd"/>
      <w:r>
        <w:t xml:space="preserve">, pecado nefando, de falsedad, testigos falsos y resistencia a la nuestra justicia”, en un perdón general de 1686 sólo se daban por excluidos aquellos “presos por causas graves”, y en el dado por Felipe V en 1707 se excluyeron a “ladrones, </w:t>
      </w:r>
      <w:proofErr w:type="spellStart"/>
      <w:r>
        <w:t>jitanos</w:t>
      </w:r>
      <w:proofErr w:type="spellEnd"/>
      <w:r>
        <w:t xml:space="preserve">, las mujeres de la Galera, y los que </w:t>
      </w:r>
      <w:proofErr w:type="spellStart"/>
      <w:r>
        <w:t>estubieren</w:t>
      </w:r>
      <w:proofErr w:type="spellEnd"/>
      <w:r>
        <w:t xml:space="preserve"> por muerte donde haya parte”. En este sentido, unificar los delitos exceptuados del perdón representaría una verdadera innovación en la materia. </w:t>
      </w:r>
      <w:r>
        <w:fldChar w:fldCharType="begin"/>
      </w:r>
      <w:r w:rsidR="00E177AA">
        <w:instrText xml:space="preserve"> ADDIN ZOTERO_ITEM CSL_CITATION {"citationID":"0nAv4s8C","properties":{"formattedCitation":"Rodr\\uc0\\u237{}guez Flores, {\\i{}El perd\\uc0\\u243{}n real}, 268\\uc0\\u8211{}71.","plainCitation":"Rodríguez Flores, El perdón real, 268–71.","noteIndex":23},"citationItems":[{"id":2654,"uris":["http://zotero.org/users/163570/items/APZE9XAC"],"uri":["http://zotero.org/users/163570/items/APZE9XAC"],"itemData":{"id":2654,"type":"book","title":"El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24">
    <w:p w:rsidR="00EA1A07" w:rsidRPr="00B8044F" w:rsidRDefault="00EA1A07" w:rsidP="00EA1A07">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25">
    <w:p w:rsidR="00EA1A07" w:rsidRDefault="00EA1A07" w:rsidP="00EA1A07">
      <w:pPr>
        <w:pStyle w:val="Textonotapie"/>
      </w:pPr>
      <w:r w:rsidRPr="00E40FE9">
        <w:rPr>
          <w:rStyle w:val="Refdenotaalpie"/>
        </w:rPr>
        <w:footnoteRef/>
      </w:r>
      <w:r>
        <w:t xml:space="preserve"> </w:t>
      </w:r>
      <w:r>
        <w:fldChar w:fldCharType="begin"/>
      </w:r>
      <w:r w:rsidR="00E177AA">
        <w:instrText xml:space="preserve"> ADDIN ZOTERO_ITEM CSL_CITATION {"citationID":"6ilV7eCE","properties":{"formattedCitation":"Rodr\\uc0\\u237{}guez Flores, {\\i{}El perd\\uc0\\u243{}n real}, 44\\uc0\\u8211{}79.","plainCitation":"Rodríguez Flores, El perdón real, 44–79.","noteIndex":25},"citationItems":[{"id":2654,"uris":["http://zotero.org/users/163570/items/APZE9XAC"],"uri":["http://zotero.org/users/163570/items/APZE9XAC"],"itemData":{"id":2654,"type":"book","title":"El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26">
    <w:p w:rsidR="00EA1A07" w:rsidRDefault="00EA1A07" w:rsidP="00EA1A07">
      <w:pPr>
        <w:pStyle w:val="Textonotapie"/>
      </w:pPr>
      <w:r w:rsidRPr="00E40FE9">
        <w:rPr>
          <w:rStyle w:val="Refdenotaalpie"/>
        </w:rPr>
        <w:footnoteRef/>
      </w:r>
      <w:r>
        <w:t xml:space="preserve"> </w:t>
      </w:r>
      <w:r>
        <w:fldChar w:fldCharType="begin"/>
      </w:r>
      <w:r w:rsidR="00E177AA">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259.","noteIndex":26},"citationItems":[{"id":2654,"uris":["http://zotero.org/users/163570/items/APZE9XAC"],"uri":["http://zotero.org/users/163570/items/APZE9XAC"],"itemData":{"id":2654,"type":"book","title":"El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iuspolítica”,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27">
    <w:p w:rsidR="00EA1A07" w:rsidRPr="005D0491" w:rsidRDefault="00EA1A07" w:rsidP="00EA1A07">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rsidR="00E177AA">
        <w:instrText xml:space="preserve"> ADDIN ZOTERO_ITEM CSL_CITATION {"citationID":"XK6OfaD7","properties":{"formattedCitation":"{\\i{}El perd\\uc0\\u243{}n real}, 57.","plainCitation":"El perdón real, 57.","noteIndex":27},"citationItems":[{"id":2654,"uris":["http://zotero.org/users/163570/items/APZE9XAC"],"uri":["http://zotero.org/users/163570/items/APZE9XAC"],"itemData":{"id":2654,"type":"book","title":"El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rsidR="00E177AA">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68.","noteIndex":27},"citationItems":[{"id":5855,"uris":["http://zotero.org/users/163570/items/7TPAMXM8"],"uri":["http://zotero.org/users/163570/items/7TPAMXM8"],"itemData":{"id":5855,"type":"book","title":"El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Zalacaín,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Movellán, “Los criminales ante la concesión del indulto en la España del Siglo XVIII”, </w:t>
      </w:r>
      <w:r w:rsidRPr="00EB3702">
        <w:rPr>
          <w:rFonts w:cs="Times New Roman"/>
          <w:i/>
          <w:iCs/>
          <w:szCs w:val="24"/>
        </w:rPr>
        <w:t>Prohistoria</w:t>
      </w:r>
      <w:r w:rsidRPr="00EB3702">
        <w:rPr>
          <w:rFonts w:cs="Times New Roman"/>
          <w:szCs w:val="24"/>
        </w:rPr>
        <w:t xml:space="preserve"> 5, núm. 5 (2001): 68.</w:t>
      </w:r>
      <w:r>
        <w:fldChar w:fldCharType="end"/>
      </w:r>
      <w:r>
        <w:t xml:space="preserve"> </w:t>
      </w:r>
    </w:p>
  </w:footnote>
  <w:footnote w:id="28">
    <w:p w:rsidR="00EA1A07" w:rsidRDefault="00EA1A07" w:rsidP="00EA1A07">
      <w:pPr>
        <w:pStyle w:val="Textonotapie"/>
      </w:pPr>
      <w:r w:rsidRPr="00E40FE9">
        <w:rPr>
          <w:rStyle w:val="Refdenotaalpie"/>
        </w:rPr>
        <w:footnoteRef/>
      </w:r>
      <w:r>
        <w:t xml:space="preserve"> </w:t>
      </w:r>
      <w:r>
        <w:fldChar w:fldCharType="begin"/>
      </w:r>
      <w:r w:rsidR="00E177AA">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26.","noteIndex":28},"citationItems":[{"id":2654,"uris":["http://zotero.org/users/163570/items/APZE9XAC"],"uri":["http://zotero.org/users/163570/items/APZE9XAC"],"itemData":{"id":2654,"type":"book","title":"El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29">
    <w:p w:rsidR="00EA1A07" w:rsidRPr="0042444A" w:rsidRDefault="00EA1A07" w:rsidP="00EA1A07">
      <w:pPr>
        <w:pStyle w:val="Textonotapie"/>
      </w:pPr>
      <w:r w:rsidRPr="00E40FE9">
        <w:rPr>
          <w:rStyle w:val="Refdenotaalpie"/>
        </w:rPr>
        <w:footnoteRef/>
      </w:r>
      <w:r>
        <w:t xml:space="preserve"> </w:t>
      </w:r>
      <w:r>
        <w:rPr>
          <w:i/>
        </w:rPr>
        <w:t>Partidas</w:t>
      </w:r>
      <w:r>
        <w:t xml:space="preserve"> 7, </w:t>
      </w:r>
      <w:proofErr w:type="spellStart"/>
      <w:r>
        <w:t>tit</w:t>
      </w:r>
      <w:proofErr w:type="spellEnd"/>
      <w:r>
        <w:t xml:space="preserve">. 32, ley 3. </w:t>
      </w:r>
    </w:p>
  </w:footnote>
  <w:footnote w:id="30">
    <w:p w:rsidR="00EA1A07" w:rsidRPr="00B773D2" w:rsidRDefault="00EA1A07" w:rsidP="00EA1A07">
      <w:pPr>
        <w:pStyle w:val="Textonotapie"/>
      </w:pPr>
      <w:r w:rsidRPr="00E40FE9">
        <w:rPr>
          <w:rStyle w:val="Refdenotaalpie"/>
        </w:rPr>
        <w:footnoteRef/>
      </w:r>
      <w:r>
        <w:t xml:space="preserve"> López de Cuéllar, </w:t>
      </w:r>
      <w:r>
        <w:rPr>
          <w:i/>
        </w:rPr>
        <w:t xml:space="preserve">Tratado </w:t>
      </w:r>
      <w:proofErr w:type="spellStart"/>
      <w:r>
        <w:rPr>
          <w:i/>
        </w:rPr>
        <w:t>iuridico-politico</w:t>
      </w:r>
      <w:proofErr w:type="spellEnd"/>
      <w:r>
        <w:t xml:space="preserve">, n. 65 y 67. </w:t>
      </w:r>
      <w:r w:rsidRPr="00B773D2">
        <w:t xml:space="preserve">“Semper prínceps favores et </w:t>
      </w:r>
      <w:proofErr w:type="spellStart"/>
      <w:r w:rsidRPr="00B773D2">
        <w:t>gratias</w:t>
      </w:r>
      <w:proofErr w:type="spellEnd"/>
      <w:r w:rsidRPr="00B773D2">
        <w:t xml:space="preserve"> </w:t>
      </w:r>
      <w:proofErr w:type="spellStart"/>
      <w:r w:rsidRPr="00B773D2">
        <w:t>subditis</w:t>
      </w:r>
      <w:proofErr w:type="spellEnd"/>
      <w:r w:rsidRPr="00B773D2">
        <w:t xml:space="preserve"> </w:t>
      </w:r>
      <w:proofErr w:type="spellStart"/>
      <w:r w:rsidRPr="00B773D2">
        <w:t>pollicetur</w:t>
      </w:r>
      <w:proofErr w:type="spellEnd"/>
      <w:r w:rsidRPr="00B773D2">
        <w:t xml:space="preserve">”, Gregorio López, glosa </w:t>
      </w:r>
      <w:proofErr w:type="spellStart"/>
      <w:r>
        <w:rPr>
          <w:i/>
        </w:rPr>
        <w:t>Faziendoles</w:t>
      </w:r>
      <w:proofErr w:type="spellEnd"/>
      <w:r>
        <w:rPr>
          <w:i/>
        </w:rPr>
        <w:t xml:space="preserve"> merced</w:t>
      </w:r>
      <w:r>
        <w:t xml:space="preserve"> a </w:t>
      </w:r>
      <w:r>
        <w:rPr>
          <w:i/>
        </w:rPr>
        <w:t>Partidas</w:t>
      </w:r>
      <w:r>
        <w:t xml:space="preserve"> 2, tít. 10, ley 2.</w:t>
      </w:r>
    </w:p>
  </w:footnote>
  <w:footnote w:id="31">
    <w:p w:rsidR="00EA1A07" w:rsidRDefault="00EA1A07" w:rsidP="00EA1A07">
      <w:pPr>
        <w:pStyle w:val="Textonotapie"/>
      </w:pPr>
      <w:r w:rsidRPr="00E40FE9">
        <w:rPr>
          <w:rStyle w:val="Refdenotaalpie"/>
        </w:rPr>
        <w:footnoteRef/>
      </w:r>
      <w:r>
        <w:t xml:space="preserve"> “Porque los </w:t>
      </w:r>
      <w:proofErr w:type="spellStart"/>
      <w:r>
        <w:t>meritos</w:t>
      </w:r>
      <w:proofErr w:type="spellEnd"/>
      <w:r>
        <w:t xml:space="preserve"> </w:t>
      </w:r>
      <w:proofErr w:type="spellStart"/>
      <w:r>
        <w:t>passados</w:t>
      </w:r>
      <w:proofErr w:type="spellEnd"/>
      <w:r>
        <w:t xml:space="preserve">, </w:t>
      </w:r>
      <w:proofErr w:type="spellStart"/>
      <w:r>
        <w:t>hazen</w:t>
      </w:r>
      <w:proofErr w:type="spellEnd"/>
      <w:r>
        <w:t xml:space="preserve"> olvidar delitos presentes, </w:t>
      </w:r>
      <w:proofErr w:type="spellStart"/>
      <w:r>
        <w:t>Tit</w:t>
      </w:r>
      <w:proofErr w:type="spellEnd"/>
      <w:r>
        <w:t xml:space="preserve">. </w:t>
      </w:r>
      <w:proofErr w:type="spellStart"/>
      <w:r>
        <w:t>Livi</w:t>
      </w:r>
      <w:proofErr w:type="spellEnd"/>
      <w:r>
        <w:t xml:space="preserve">. </w:t>
      </w:r>
      <w:proofErr w:type="spellStart"/>
      <w:r>
        <w:t>deca</w:t>
      </w:r>
      <w:proofErr w:type="spellEnd"/>
      <w:r>
        <w:t xml:space="preserve">. I, </w:t>
      </w:r>
      <w:proofErr w:type="spellStart"/>
      <w:r>
        <w:t>lib</w:t>
      </w:r>
      <w:proofErr w:type="spellEnd"/>
      <w:r>
        <w:t xml:space="preserve"> 7, </w:t>
      </w:r>
      <w:proofErr w:type="spellStart"/>
      <w:r>
        <w:t>fol</w:t>
      </w:r>
      <w:proofErr w:type="spellEnd"/>
      <w:r>
        <w:t xml:space="preserve"> </w:t>
      </w:r>
      <w:proofErr w:type="spellStart"/>
      <w:r>
        <w:t>mihi</w:t>
      </w:r>
      <w:proofErr w:type="spellEnd"/>
      <w:r>
        <w:t xml:space="preserve"> 166.ibi: </w:t>
      </w:r>
      <w:proofErr w:type="spellStart"/>
      <w:r>
        <w:t>Movit</w:t>
      </w:r>
      <w:proofErr w:type="spellEnd"/>
      <w:r>
        <w:t xml:space="preserve"> </w:t>
      </w:r>
      <w:proofErr w:type="spellStart"/>
      <w:r>
        <w:t>Populum</w:t>
      </w:r>
      <w:proofErr w:type="spellEnd"/>
      <w:r>
        <w:t xml:space="preserve"> non </w:t>
      </w:r>
      <w:proofErr w:type="spellStart"/>
      <w:r>
        <w:t>tamca</w:t>
      </w:r>
      <w:proofErr w:type="spellEnd"/>
      <w:r>
        <w:t xml:space="preserve"> fa </w:t>
      </w:r>
      <w:proofErr w:type="spellStart"/>
      <w:r>
        <w:t>præsens</w:t>
      </w:r>
      <w:proofErr w:type="spellEnd"/>
      <w:r>
        <w:t xml:space="preserve"> </w:t>
      </w:r>
      <w:proofErr w:type="spellStart"/>
      <w:r>
        <w:t>quam</w:t>
      </w:r>
      <w:proofErr w:type="spellEnd"/>
      <w:r>
        <w:t xml:space="preserve"> </w:t>
      </w:r>
      <w:proofErr w:type="spellStart"/>
      <w:r>
        <w:t>vetus</w:t>
      </w:r>
      <w:proofErr w:type="spellEnd"/>
      <w:r>
        <w:t xml:space="preserve"> </w:t>
      </w:r>
      <w:proofErr w:type="spellStart"/>
      <w:r>
        <w:t>meritum</w:t>
      </w:r>
      <w:proofErr w:type="spellEnd"/>
      <w:r>
        <w:t xml:space="preserve">, ut </w:t>
      </w:r>
      <w:proofErr w:type="spellStart"/>
      <w:r>
        <w:t>maleficii</w:t>
      </w:r>
      <w:proofErr w:type="spellEnd"/>
      <w:r>
        <w:t xml:space="preserve"> </w:t>
      </w:r>
      <w:proofErr w:type="spellStart"/>
      <w:r>
        <w:t>quam</w:t>
      </w:r>
      <w:proofErr w:type="spellEnd"/>
      <w:r>
        <w:t xml:space="preserve"> </w:t>
      </w:r>
      <w:proofErr w:type="spellStart"/>
      <w:r>
        <w:t>beneficii</w:t>
      </w:r>
      <w:proofErr w:type="spellEnd"/>
      <w:r>
        <w:t xml:space="preserve"> </w:t>
      </w:r>
      <w:proofErr w:type="spellStart"/>
      <w:r>
        <w:t>potius</w:t>
      </w:r>
      <w:proofErr w:type="spellEnd"/>
      <w:r>
        <w:t xml:space="preserve"> </w:t>
      </w:r>
      <w:proofErr w:type="spellStart"/>
      <w:r>
        <w:t>immemores</w:t>
      </w:r>
      <w:proofErr w:type="spellEnd"/>
      <w:r>
        <w:t xml:space="preserve"> </w:t>
      </w:r>
      <w:proofErr w:type="spellStart"/>
      <w:r>
        <w:t>essent</w:t>
      </w:r>
      <w:proofErr w:type="spellEnd"/>
      <w:r>
        <w:t xml:space="preserve">. Y con </w:t>
      </w:r>
      <w:proofErr w:type="spellStart"/>
      <w:r>
        <w:t>razon</w:t>
      </w:r>
      <w:proofErr w:type="spellEnd"/>
      <w:r>
        <w:t xml:space="preserve">, pues los que han adquirido </w:t>
      </w:r>
      <w:proofErr w:type="spellStart"/>
      <w:r>
        <w:t>creditos</w:t>
      </w:r>
      <w:proofErr w:type="spellEnd"/>
      <w:r>
        <w:t xml:space="preserve"> con sus procedimientos merecen, que sus errores, se presuman aciertos. […]Y aunque es verdad que la causa publica pide contra todos el castigo, es </w:t>
      </w:r>
      <w:proofErr w:type="spellStart"/>
      <w:r>
        <w:t>vtilizada</w:t>
      </w:r>
      <w:proofErr w:type="spellEnd"/>
      <w:r>
        <w:t xml:space="preserve"> mas en el </w:t>
      </w:r>
      <w:proofErr w:type="spellStart"/>
      <w:r>
        <w:t>perdon</w:t>
      </w:r>
      <w:proofErr w:type="spellEnd"/>
      <w:r>
        <w:t xml:space="preserve"> de semejantes personas.” López de Cuéllar, </w:t>
      </w:r>
      <w:r>
        <w:rPr>
          <w:i/>
        </w:rPr>
        <w:t xml:space="preserve">Tratado </w:t>
      </w:r>
      <w:proofErr w:type="spellStart"/>
      <w:r>
        <w:rPr>
          <w:i/>
        </w:rPr>
        <w:t>iuridico-politico</w:t>
      </w:r>
      <w:proofErr w:type="spellEnd"/>
      <w:r>
        <w:t>, n. 70-71 y 74.</w:t>
      </w:r>
    </w:p>
  </w:footnote>
  <w:footnote w:id="32">
    <w:p w:rsidR="00EA1A07" w:rsidRDefault="00EA1A07" w:rsidP="00EA1A07">
      <w:pPr>
        <w:pStyle w:val="Textonotapie"/>
      </w:pPr>
      <w:r w:rsidRPr="00E40FE9">
        <w:rPr>
          <w:rStyle w:val="Refdenotaalpie"/>
        </w:rPr>
        <w:footnoteRef/>
      </w:r>
      <w:r>
        <w:t xml:space="preserve"> </w:t>
      </w:r>
      <w:r>
        <w:fldChar w:fldCharType="begin"/>
      </w:r>
      <w:r w:rsidR="00E177AA">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25.","noteIndex":32},"citationItems":[{"id":7785,"uris":["http://zotero.org/users/163570/items/83GJ79B9"],"uri":["http://zotero.org/users/163570/items/83GJ79B9"],"itemData":{"id":7785,"type":"book","title":"Manera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33">
    <w:p w:rsidR="00EA1A07" w:rsidRDefault="00EA1A07" w:rsidP="00EA1A07">
      <w:pPr>
        <w:pStyle w:val="Textonotapie"/>
      </w:pPr>
      <w:r w:rsidRPr="00E40FE9">
        <w:rPr>
          <w:rStyle w:val="Refdenotaalpie"/>
        </w:rPr>
        <w:footnoteRef/>
      </w:r>
      <w:r>
        <w:t xml:space="preserve"> “E gracia non es perdonamiento, mas es don que </w:t>
      </w:r>
      <w:proofErr w:type="spellStart"/>
      <w:r>
        <w:t>faze</w:t>
      </w:r>
      <w:proofErr w:type="spellEnd"/>
      <w:r>
        <w:t xml:space="preserve"> el Rey a algunos que con derecho se puede </w:t>
      </w:r>
      <w:proofErr w:type="spellStart"/>
      <w:r>
        <w:t>escusar</w:t>
      </w:r>
      <w:proofErr w:type="spellEnd"/>
      <w:r>
        <w:t xml:space="preserve"> de lo </w:t>
      </w:r>
      <w:proofErr w:type="spellStart"/>
      <w:r>
        <w:t>fazer</w:t>
      </w:r>
      <w:proofErr w:type="spellEnd"/>
      <w:r>
        <w:t xml:space="preserve">, si quisiere.” </w:t>
      </w:r>
      <w:r>
        <w:rPr>
          <w:i/>
        </w:rPr>
        <w:t>Partidas</w:t>
      </w:r>
      <w:r>
        <w:t xml:space="preserve"> 7, tít. 32, ley 3. </w:t>
      </w:r>
      <w:r>
        <w:fldChar w:fldCharType="begin"/>
      </w:r>
      <w:r w:rsidR="00E177AA">
        <w:instrText xml:space="preserve"> ADDIN ZOTERO_ITEM CSL_CITATION {"citationID":"YG84meGw","properties":{"formattedCitation":"Sandoval Parra, {\\i{}Manera de galard\\uc0\\u243{}n}, 28.","plainCitation":"Sandoval Parra, Manera de galardón, 28.","noteIndex":33},"citationItems":[{"id":7785,"uris":["http://zotero.org/users/163570/items/83GJ79B9"],"uri":["http://zotero.org/users/163570/items/83GJ79B9"],"itemData":{"id":7785,"type":"book","title":"Manera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34">
    <w:p w:rsidR="00EA1A07" w:rsidRPr="00131A0A" w:rsidRDefault="00EA1A07" w:rsidP="00EA1A07">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rsidR="00E177AA">
        <w:instrText xml:space="preserve"> ADDIN ZOTERO_ITEM CSL_CITATION {"citationID":"lrIt9cXN","properties":{"formattedCitation":"Rodr\\uc0\\u237{}guez Flores, {\\i{}El perd\\uc0\\u243{}n real}, 66\\uc0\\u8211{}69.","plainCitation":"Rodríguez Flores, El perdón real, 66–69.","noteIndex":34},"citationItems":[{"id":2654,"uris":["http://zotero.org/users/163570/items/APZE9XAC"],"uri":["http://zotero.org/users/163570/items/APZE9XAC"],"itemData":{"id":2654,"type":"book","title":"El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w:t>
      </w:r>
      <w:proofErr w:type="spellStart"/>
      <w:r>
        <w:t>Chaulet</w:t>
      </w:r>
      <w:proofErr w:type="spellEnd"/>
      <w:r>
        <w:t xml:space="preserve"> precisó que este tipo de perdones se extendieron durante el periodo de 1600 a 1660, con un mayor auge entre 1615 y 1635, coincidiendo con la crisis financiera que vivió la monarquía durante los reinados de Felipe III y IV. </w:t>
      </w:r>
      <w:r>
        <w:fldChar w:fldCharType="begin"/>
      </w:r>
      <w:r w:rsidR="00E177AA">
        <w:instrText xml:space="preserve"> ADDIN ZOTERO_ITEM CSL_CITATION {"citationID":"kPCBGvHa","properties":{"formattedCitation":"{\\i{}Crimes, rixes et bruits d\\uc0\\u8217{}\\uc0\\u233{}p\\uc0\\u233{}es: homicides pardonn\\uc0\\u233{}s en Castille au si\\uc0\\u232{}cle d\\uc0\\u8217{}or}, Espagne m\\uc0\\u233{}di\\uc0\\u233{}vale et moderne 11 (Montpellier: Presses Universitaires de la M\\uc0\\u233{}diterran\\uc0\\u233{}e, 2007), 375\\uc0\\u8211{}76.","plainCitation":"Crimes, rixes et bruits d’épées: homicides pardonnés en Castille au siècle d’or, Espagne médiévale et moderne 11 (Montpellier: Presses Universitaires de la Méditerranée, 2007), 375–76.","noteIndex":34},"citationItems":[{"id":8002,"uris":["http://zotero.org/users/163570/items/GERVJL77"],"uri":["http://zotero.org/users/163570/items/GERVJL77"],"itemData":{"id":8002,"type":"book","title":"Crimes,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r w:rsidR="00902918" w:rsidRPr="00902918">
        <w:rPr>
          <w:rFonts w:cs="Times New Roman"/>
          <w:i/>
          <w:iCs/>
          <w:szCs w:val="24"/>
          <w:lang w:val="fr-FR"/>
        </w:rPr>
        <w:t xml:space="preserve">Crimes, rixes et bruits </w:t>
      </w:r>
      <w:proofErr w:type="gramStart"/>
      <w:r w:rsidR="00902918" w:rsidRPr="00902918">
        <w:rPr>
          <w:rFonts w:cs="Times New Roman"/>
          <w:i/>
          <w:iCs/>
          <w:szCs w:val="24"/>
          <w:lang w:val="fr-FR"/>
        </w:rPr>
        <w:t>d’épées:</w:t>
      </w:r>
      <w:proofErr w:type="gramEnd"/>
      <w:r w:rsidR="00902918" w:rsidRPr="00902918">
        <w:rPr>
          <w:rFonts w:cs="Times New Roman"/>
          <w:i/>
          <w:iCs/>
          <w:szCs w:val="24"/>
          <w:lang w:val="fr-FR"/>
        </w:rPr>
        <w:t xml:space="preserve"> homicides pardonnés en Castille au siècle d’or</w:t>
      </w:r>
      <w:r w:rsidR="00902918" w:rsidRPr="00902918">
        <w:rPr>
          <w:rFonts w:cs="Times New Roman"/>
          <w:szCs w:val="24"/>
          <w:lang w:val="fr-FR"/>
        </w:rPr>
        <w:t>, Espagne médiévale et moderne 11 (Montpellier: Presses Universitaires de la Méditerranée, 2007), 375–76.</w:t>
      </w:r>
      <w:r>
        <w:fldChar w:fldCharType="end"/>
      </w:r>
      <w:r w:rsidRPr="00902918">
        <w:rPr>
          <w:lang w:val="fr-FR"/>
        </w:rPr>
        <w:t xml:space="preserve"> </w:t>
      </w:r>
      <w:r w:rsidRPr="00131A0A">
        <w:t>Sin embargo</w:t>
      </w:r>
      <w:r>
        <w:t xml:space="preserve">, </w:t>
      </w:r>
      <w:proofErr w:type="spellStart"/>
      <w:r>
        <w:t>Tamar</w:t>
      </w:r>
      <w:proofErr w:type="spellEnd"/>
      <w:r>
        <w:t xml:space="preserve"> </w:t>
      </w:r>
      <w:proofErr w:type="spellStart"/>
      <w:r>
        <w:t>Herzog</w:t>
      </w:r>
      <w:proofErr w:type="spellEnd"/>
      <w:r>
        <w:t xml:space="preserve">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rsidR="00E177AA">
        <w:instrText xml:space="preserve"> ADDIN ZOTERO_ITEM CSL_CITATION {"citationID":"ZHpyylZT","properties":{"formattedCitation":"{\\i{}La administraci\\uc0\\u243{}n como un fen\\uc0\\u243{}meno social: la justicia penal de la ciudad de Quito (1650 - 1750)}, Historia de la sociedad pol\\uc0\\u237{}tica (Madrid: Centro de Estudios Constitucionales, 1995), 249\\uc0\\u8211{}50.","plainCitation":"La administración como un fenómeno social: la justicia penal de la ciudad de Quito (1650 - 1750), Historia de la sociedad política (Madrid: Centro de Estudios Constitucionales, 1995), 249–50.","noteIndex":34},"citationItems":[{"id":8027,"uris":["http://zotero.org/users/163570/items/WNQSRIKP"],"uri":["http://zotero.org/users/163570/items/WNQSRIKP"],"itemData":{"id":8027,"type":"book","title":"La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00902918" w:rsidRPr="00902918">
        <w:rPr>
          <w:rFonts w:cs="Times New Roman"/>
          <w:i/>
          <w:iCs/>
          <w:szCs w:val="24"/>
        </w:rPr>
        <w:t>La administración como un fenómeno social: la justicia penal de la ciudad de Quito (1650 - 1750)</w:t>
      </w:r>
      <w:r w:rsidR="00902918" w:rsidRPr="00902918">
        <w:rPr>
          <w:rFonts w:cs="Times New Roman"/>
          <w:szCs w:val="24"/>
        </w:rPr>
        <w:t>, Historia de la sociedad política (Madrid: Centro de Estudios Constitucionales, 1995), 249–50.</w:t>
      </w:r>
      <w:r>
        <w:fldChar w:fldCharType="end"/>
      </w:r>
    </w:p>
  </w:footnote>
  <w:footnote w:id="35">
    <w:p w:rsidR="00EA1A07" w:rsidRPr="00AD7363" w:rsidRDefault="00EA1A07" w:rsidP="00EA1A07">
      <w:pPr>
        <w:pStyle w:val="Textonotapie"/>
      </w:pPr>
      <w:r w:rsidRPr="00E40FE9">
        <w:rPr>
          <w:rStyle w:val="Refdenotaalpie"/>
        </w:rPr>
        <w:footnoteRef/>
      </w:r>
      <w:r w:rsidRPr="00AD7363">
        <w:t xml:space="preserve"> </w:t>
      </w:r>
      <w:proofErr w:type="spellStart"/>
      <w:r w:rsidRPr="00AD7363">
        <w:t>Matheu</w:t>
      </w:r>
      <w:proofErr w:type="spellEnd"/>
      <w:r w:rsidRPr="00AD7363">
        <w:t xml:space="preserve"> i Sanz, </w:t>
      </w:r>
      <w:proofErr w:type="spellStart"/>
      <w:r w:rsidRPr="00AD7363">
        <w:rPr>
          <w:i/>
        </w:rPr>
        <w:t>Tractatus</w:t>
      </w:r>
      <w:proofErr w:type="spellEnd"/>
      <w:r w:rsidRPr="00AD7363">
        <w:rPr>
          <w:i/>
        </w:rPr>
        <w:t xml:space="preserve"> de re </w:t>
      </w:r>
      <w:proofErr w:type="spellStart"/>
      <w:r w:rsidRPr="00AD7363">
        <w:rPr>
          <w:i/>
        </w:rPr>
        <w:t>criminali</w:t>
      </w:r>
      <w:proofErr w:type="spellEnd"/>
      <w:r w:rsidRPr="00AD7363">
        <w:t>, controversia XXI, n. 47.</w:t>
      </w:r>
    </w:p>
  </w:footnote>
  <w:footnote w:id="36">
    <w:p w:rsidR="00EA1A07" w:rsidRDefault="00EA1A07" w:rsidP="00EA1A07">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rsidR="00E177AA">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304.","noteIndex":36},"citationItems":[{"id":8000,"uris":["http://zotero.org/users/163570/items/Y72FNGC9"],"uri":["http://zotero.org/users/163570/items/Y72FNGC9"],"itemData":{"id":8000,"type":"book","title":"La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37">
    <w:p w:rsidR="00EA1A07" w:rsidRDefault="00EA1A07" w:rsidP="00EA1A07">
      <w:pPr>
        <w:pStyle w:val="Textonotapie"/>
      </w:pPr>
      <w:r w:rsidRPr="00E40FE9">
        <w:rPr>
          <w:rStyle w:val="Refdenotaalpie"/>
        </w:rPr>
        <w:footnoteRef/>
      </w:r>
      <w:r>
        <w:t xml:space="preserve"> </w:t>
      </w:r>
      <w:r>
        <w:fldChar w:fldCharType="begin"/>
      </w:r>
      <w:r w:rsidR="00E177AA">
        <w:instrText xml:space="preserve"> ADDIN ZOTERO_ITEM CSL_CITATION {"citationID":"OhiVZDue","properties":{"formattedCitation":"Rodr\\uc0\\u237{}guez Flores, {\\i{}El perd\\uc0\\u243{}n real}, 90.","plainCitation":"Rodríguez Flores, El perdón real, 90.","noteIndex":37},"citationItems":[{"id":2654,"uris":["http://zotero.org/users/163570/items/APZE9XAC"],"uri":["http://zotero.org/users/163570/items/APZE9XAC"],"itemData":{"id":2654,"type":"book","title":"El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w:t>
      </w:r>
      <w:proofErr w:type="spellStart"/>
      <w:r>
        <w:t>Tamar</w:t>
      </w:r>
      <w:proofErr w:type="spellEnd"/>
      <w:r>
        <w:t xml:space="preserve"> </w:t>
      </w:r>
      <w:proofErr w:type="spellStart"/>
      <w:r>
        <w:t>Herzog</w:t>
      </w:r>
      <w:proofErr w:type="spellEnd"/>
      <w:r>
        <w:t xml:space="preserve"> habla del “enfoque utilitario de los indultos” para el caso quiteño entre 1650 y 1750, ya que en la mayoría de los casos el indulto se otorgaba en forma de conmutación para servir como soldados a Chile y Guayaquil. </w:t>
      </w:r>
      <w:proofErr w:type="spellStart"/>
      <w:r>
        <w:t>Herzog</w:t>
      </w:r>
      <w:proofErr w:type="spellEnd"/>
      <w:r>
        <w:t xml:space="preserve">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rsidR="00E177AA">
        <w:instrText xml:space="preserve"> ADDIN ZOTERO_ITEM CSL_CITATION {"citationID":"qujkLk2Y","properties":{"formattedCitation":"Herzog, {\\i{}La administraci\\uc0\\u243{}n como un fen\\uc0\\u243{}meno social}, 248\\uc0\\u8211{}49.","plainCitation":"Herzog, La administración como un fenómeno social, 248–49.","noteIndex":37},"citationItems":[{"id":8027,"uris":["http://zotero.org/users/163570/items/WNQSRIKP"],"uri":["http://zotero.org/users/163570/items/WNQSRIKP"],"itemData":{"id":8027,"type":"book","title":"La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proofErr w:type="spellStart"/>
      <w:r w:rsidRPr="00EB3702">
        <w:rPr>
          <w:rFonts w:cs="Times New Roman"/>
          <w:szCs w:val="24"/>
        </w:rPr>
        <w:t>Herzog</w:t>
      </w:r>
      <w:proofErr w:type="spellEnd"/>
      <w:r w:rsidRPr="00EB3702">
        <w:rPr>
          <w:rFonts w:cs="Times New Roman"/>
          <w:szCs w:val="24"/>
        </w:rPr>
        <w:t xml:space="preserve">, </w:t>
      </w:r>
      <w:r w:rsidRPr="00EB3702">
        <w:rPr>
          <w:rFonts w:cs="Times New Roman"/>
          <w:i/>
          <w:iCs/>
          <w:szCs w:val="24"/>
        </w:rPr>
        <w:t>La administración como un fenómeno social</w:t>
      </w:r>
      <w:r w:rsidRPr="00EB3702">
        <w:rPr>
          <w:rFonts w:cs="Times New Roman"/>
          <w:szCs w:val="24"/>
        </w:rPr>
        <w:t>, 248–49.</w:t>
      </w:r>
      <w:r>
        <w:fldChar w:fldCharType="end"/>
      </w:r>
    </w:p>
  </w:footnote>
  <w:footnote w:id="38">
    <w:p w:rsidR="00EA1A07" w:rsidRPr="005A745D" w:rsidRDefault="00EA1A07" w:rsidP="00EA1A07">
      <w:pPr>
        <w:pStyle w:val="Textonotapie"/>
      </w:pPr>
      <w:r w:rsidRPr="00E40FE9">
        <w:rPr>
          <w:rStyle w:val="Refdenotaalpie"/>
        </w:rPr>
        <w:footnoteRef/>
      </w:r>
      <w:r>
        <w:t xml:space="preserve"> “Causa publica </w:t>
      </w:r>
      <w:proofErr w:type="spellStart"/>
      <w:r>
        <w:t>utilitatis</w:t>
      </w:r>
      <w:proofErr w:type="spellEnd"/>
      <w:r>
        <w:t xml:space="preserve"> </w:t>
      </w:r>
      <w:proofErr w:type="spellStart"/>
      <w:r>
        <w:t>prevalet</w:t>
      </w:r>
      <w:proofErr w:type="spellEnd"/>
      <w:r>
        <w:t xml:space="preserve"> </w:t>
      </w:r>
      <w:proofErr w:type="spellStart"/>
      <w:r>
        <w:t>particulari</w:t>
      </w:r>
      <w:proofErr w:type="spellEnd"/>
      <w:r>
        <w:t xml:space="preserve">”, </w:t>
      </w:r>
      <w:proofErr w:type="spellStart"/>
      <w:r>
        <w:t>Matheu</w:t>
      </w:r>
      <w:proofErr w:type="spellEnd"/>
      <w:r>
        <w:t xml:space="preserve"> i Sanz, </w:t>
      </w:r>
      <w:proofErr w:type="spellStart"/>
      <w:r>
        <w:rPr>
          <w:i/>
        </w:rPr>
        <w:t>Tractatus</w:t>
      </w:r>
      <w:proofErr w:type="spellEnd"/>
      <w:r>
        <w:rPr>
          <w:i/>
        </w:rPr>
        <w:t xml:space="preserve"> de re </w:t>
      </w:r>
      <w:proofErr w:type="spellStart"/>
      <w:r>
        <w:rPr>
          <w:i/>
        </w:rPr>
        <w:t>criminali</w:t>
      </w:r>
      <w:proofErr w:type="spellEnd"/>
      <w:r>
        <w:t xml:space="preserve">, controversia XXI, n. 47. “Dos preceptos dio Platón en su República </w:t>
      </w:r>
      <w:proofErr w:type="spellStart"/>
      <w:r>
        <w:t>á</w:t>
      </w:r>
      <w:proofErr w:type="spellEnd"/>
      <w:r>
        <w:t xml:space="preserve"> los </w:t>
      </w:r>
      <w:proofErr w:type="spellStart"/>
      <w:r>
        <w:t>Principes</w:t>
      </w:r>
      <w:proofErr w:type="spellEnd"/>
      <w:r>
        <w:t xml:space="preserve">, y Gobernadores: el uno fue, que cuidasen en universal de todo el cuerpo de la República, porque el respeto, y </w:t>
      </w:r>
      <w:proofErr w:type="spellStart"/>
      <w:r>
        <w:t>consideracion</w:t>
      </w:r>
      <w:proofErr w:type="spellEnd"/>
      <w:r>
        <w:t xml:space="preserve"> particular para con unos, no causase olvido, y daño para con los </w:t>
      </w:r>
      <w:proofErr w:type="spellStart"/>
      <w:r>
        <w:t>demas</w:t>
      </w:r>
      <w:proofErr w:type="spellEnd"/>
      <w:r>
        <w:t xml:space="preserve">: y el otro precepto era, que todas sus obras, y acciones enderezasen al bien público, olvidados de sus comodidades”. Castillo de </w:t>
      </w:r>
      <w:proofErr w:type="spellStart"/>
      <w:r>
        <w:t>Bovadilla</w:t>
      </w:r>
      <w:proofErr w:type="spellEnd"/>
      <w:r>
        <w:t xml:space="preserve">, </w:t>
      </w:r>
      <w:r>
        <w:rPr>
          <w:i/>
        </w:rPr>
        <w:t>Política para corregidores</w:t>
      </w:r>
      <w:r>
        <w:t>, Lib. II, Cap. I, n. 1.</w:t>
      </w:r>
    </w:p>
  </w:footnote>
  <w:footnote w:id="39">
    <w:p w:rsidR="00EA1A07" w:rsidRPr="00277DED" w:rsidRDefault="00EA1A07" w:rsidP="00EA1A07">
      <w:pPr>
        <w:pStyle w:val="Textonotapie"/>
      </w:pPr>
      <w:r w:rsidRPr="00E40FE9">
        <w:rPr>
          <w:rStyle w:val="Refdenotaalpie"/>
        </w:rPr>
        <w:footnoteRef/>
      </w:r>
      <w:r w:rsidRPr="00277DED">
        <w:t xml:space="preserve"> “</w:t>
      </w:r>
      <w:proofErr w:type="spellStart"/>
      <w:r w:rsidRPr="00277DED">
        <w:t>quando</w:t>
      </w:r>
      <w:proofErr w:type="spellEnd"/>
      <w:r w:rsidRPr="00277DED">
        <w:t xml:space="preserve"> </w:t>
      </w:r>
      <w:proofErr w:type="spellStart"/>
      <w:r w:rsidRPr="00277DED">
        <w:t>vertitur</w:t>
      </w:r>
      <w:proofErr w:type="spellEnd"/>
      <w:r w:rsidRPr="00277DED">
        <w:t xml:space="preserve"> </w:t>
      </w:r>
      <w:proofErr w:type="spellStart"/>
      <w:r w:rsidRPr="00277DED">
        <w:t>interesse</w:t>
      </w:r>
      <w:proofErr w:type="spellEnd"/>
      <w:r w:rsidRPr="00277DED">
        <w:t xml:space="preserve"> </w:t>
      </w:r>
      <w:proofErr w:type="spellStart"/>
      <w:r w:rsidRPr="00277DED">
        <w:t>solius</w:t>
      </w:r>
      <w:proofErr w:type="spellEnd"/>
      <w:r w:rsidRPr="00277DED">
        <w:t xml:space="preserve"> </w:t>
      </w:r>
      <w:proofErr w:type="spellStart"/>
      <w:r w:rsidRPr="00277DED">
        <w:t>fisci</w:t>
      </w:r>
      <w:proofErr w:type="spellEnd"/>
      <w:r w:rsidRPr="00277DED">
        <w:t xml:space="preserve">, </w:t>
      </w:r>
      <w:proofErr w:type="spellStart"/>
      <w:r w:rsidRPr="00277DED">
        <w:t>potest</w:t>
      </w:r>
      <w:proofErr w:type="spellEnd"/>
      <w:r w:rsidRPr="00277DED">
        <w:t xml:space="preserve"> </w:t>
      </w:r>
      <w:proofErr w:type="spellStart"/>
      <w:r w:rsidRPr="00277DED">
        <w:t>Princeps</w:t>
      </w:r>
      <w:proofErr w:type="spellEnd"/>
      <w:r w:rsidRPr="00277DED">
        <w:t xml:space="preserve"> </w:t>
      </w:r>
      <w:proofErr w:type="spellStart"/>
      <w:r w:rsidRPr="00277DED">
        <w:t>indulgere</w:t>
      </w:r>
      <w:proofErr w:type="spellEnd"/>
      <w:r w:rsidRPr="00277DED">
        <w:t xml:space="preserve"> </w:t>
      </w:r>
      <w:proofErr w:type="spellStart"/>
      <w:r w:rsidRPr="00277DED">
        <w:t>etiam</w:t>
      </w:r>
      <w:proofErr w:type="spellEnd"/>
      <w:r w:rsidRPr="00277DED">
        <w:t xml:space="preserve">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rsidR="00E177AA">
        <w:instrText xml:space="preserve"> ADDIN ZOTERO_ITEM CSL_CITATION {"citationID":"k3hkFBdr","properties":{"formattedCitation":"Rodr\\uc0\\u237{}guez Flores, {\\i{}El perd\\uc0\\u243{}n real}, 90.","plainCitation":"Rodríguez Flores, El perdón real, 90.","noteIndex":39},"citationItems":[{"id":2654,"uris":["http://zotero.org/users/163570/items/APZE9XAC"],"uri":["http://zotero.org/users/163570/items/APZE9XAC"],"itemData":{"id":2654,"type":"book","title":"El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40">
    <w:p w:rsidR="00EA1A07" w:rsidRPr="00C377A3" w:rsidRDefault="00EA1A07" w:rsidP="00EA1A07">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rsidR="00E177AA">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137–38.","noteIndex":40},"citationItems":[{"id":7916,"uris":["http://zotero.org/users/163570/items/PX7YHS6K"],"uri":["http://zotero.org/users/163570/items/PX7YHS6K"],"itemData":{"id":7916,"type":"book","title":"Capitulaciones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Mich.: Colegio de Michoacán, 1987), 137–38.</w:t>
      </w:r>
      <w:r>
        <w:fldChar w:fldCharType="end"/>
      </w:r>
    </w:p>
  </w:footnote>
  <w:footnote w:id="41">
    <w:p w:rsidR="00EA1A07" w:rsidRPr="005613F2" w:rsidRDefault="00EA1A07" w:rsidP="00EA1A07">
      <w:pPr>
        <w:pStyle w:val="Textonotapie"/>
      </w:pPr>
      <w:r>
        <w:rPr>
          <w:rStyle w:val="Refdenotaalpie"/>
        </w:rPr>
        <w:footnoteRef/>
      </w:r>
      <w:r>
        <w:t xml:space="preserve"> Ambas obras pueden visualizarse en alta resolución en el sitio del Museo del Prado. </w:t>
      </w:r>
      <w:proofErr w:type="spellStart"/>
      <w:r w:rsidRPr="005613F2">
        <w:t>Maíno</w:t>
      </w:r>
      <w:proofErr w:type="spellEnd"/>
      <w:r w:rsidRPr="005613F2">
        <w:t xml:space="preserve"> </w:t>
      </w:r>
      <w:hyperlink r:id="rId1" w:history="1">
        <w:r w:rsidRPr="00716F52">
          <w:rPr>
            <w:rStyle w:val="Hipervnculo"/>
          </w:rPr>
          <w:t>http://bit.ly/2soBaPw</w:t>
        </w:r>
      </w:hyperlink>
      <w:r>
        <w:t xml:space="preserve"> </w:t>
      </w:r>
      <w:r w:rsidRPr="005613F2">
        <w:t>y Velázquez</w:t>
      </w:r>
      <w:r>
        <w:t xml:space="preserve"> </w:t>
      </w:r>
      <w:hyperlink r:id="rId2" w:history="1">
        <w:r w:rsidRPr="00716F52">
          <w:rPr>
            <w:rStyle w:val="Hipervnculo"/>
          </w:rPr>
          <w:t>http://bit.ly/2LPuySh</w:t>
        </w:r>
      </w:hyperlink>
      <w:r>
        <w:t>. Sitio consultado y enlaces creados el 1 de junio de 2018.</w:t>
      </w:r>
    </w:p>
  </w:footnote>
  <w:footnote w:id="42">
    <w:p w:rsidR="00EA1A07" w:rsidRPr="00B223FE" w:rsidRDefault="00EA1A07" w:rsidP="00EA1A07">
      <w:pPr>
        <w:pStyle w:val="Textonotapie"/>
      </w:pPr>
      <w:r>
        <w:rPr>
          <w:rStyle w:val="Refdenotaalpie"/>
        </w:rPr>
        <w:footnoteRef/>
      </w:r>
      <w:r w:rsidRPr="005613F2">
        <w:t xml:space="preserve"> </w:t>
      </w:r>
      <w:r>
        <w:fldChar w:fldCharType="begin"/>
      </w:r>
      <w:r w:rsidR="00E177AA">
        <w:instrText xml:space="preserve"> ADDIN ZOTERO_ITEM CSL_CITATION {"citationID":"WTun4sa6","properties":{"formattedCitation":"Jonathan Brown y John Huxtable Elliott, {\\i{}Un palacio para el Rey: El Buen Retiro y la corte de Felipe IV}, trad. Vicente Lle\\uc0\\u243{} y Mar\\uc0\\u237{}a Luisa Balseiro, Edici\\uc0\\u243{}n actualizada en e-book (Madrid: Taurus, 2016), sec. \\uc0\\u8220{}La rendici\\uc0\\u243{}n de Breda\" y \"La recuperaci\\uc0\\u243{}n de Bah\\uc0\\u237{}a\\uc0\\u8221{}.","plainCitation":"Jonathan Brown y John Huxtable Elliott, Un palacio para el Rey: El Buen Retiro y la corte de Felipe IV, trad. Vicente Lleó y María Luisa Balseiro, Edición actualizada en e-book (Madrid: Taurus, 2016), sec. “La rendición de Breda\" y \"La recuperación de Bahía”.","noteIndex":42},"citationItems":[{"id":8270,"uris":["http://zotero.org/users/163570/items/984AF7GY"],"uri":["http://zotero.org/users/163570/items/984AF7GY"],"itemData":{"id":8270,"type":"book","title":"Un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Luisa"}],"issued":{"date-parts":[["2016"]]},"accessed":{"date-parts":[["2018",6,1]]}},"locator":"\"La rendición de Breda\" y \"La recuperación de Bahía\"","label":"section"}],"schema":"https://github.com/citation-style-language/schema/raw/master/csl-citation.json"} </w:instrText>
      </w:r>
      <w:r>
        <w:fldChar w:fldCharType="separate"/>
      </w:r>
      <w:r w:rsidRPr="00C17281">
        <w:rPr>
          <w:rFonts w:cs="Times New Roman"/>
          <w:szCs w:val="24"/>
        </w:rPr>
        <w:t xml:space="preserve">Jonathan Brown y John Huxtable Elliott, </w:t>
      </w:r>
      <w:r w:rsidRPr="00C17281">
        <w:rPr>
          <w:rFonts w:cs="Times New Roman"/>
          <w:i/>
          <w:iCs/>
          <w:szCs w:val="24"/>
        </w:rPr>
        <w:t>Un palacio para el Rey: El Buen Retiro y la corte de Felipe IV</w:t>
      </w:r>
      <w:r w:rsidRPr="00C17281">
        <w:rPr>
          <w:rFonts w:cs="Times New Roman"/>
          <w:szCs w:val="24"/>
        </w:rPr>
        <w:t>, trad. Vicente Lleó y María Luisa Balseiro, Edición actualizada en e-book (Madrid: Taurus, 2016), sec. “La rendición de Breda" y "La recuperación de Bahía”.</w:t>
      </w:r>
      <w:r>
        <w:fldChar w:fldCharType="end"/>
      </w:r>
    </w:p>
  </w:footnote>
  <w:footnote w:id="43">
    <w:p w:rsidR="00EA1A07" w:rsidRDefault="00EA1A07" w:rsidP="00EA1A07">
      <w:pPr>
        <w:pStyle w:val="Textonotapie"/>
      </w:pPr>
      <w:r>
        <w:rPr>
          <w:rStyle w:val="Refdenotaalpie"/>
        </w:rPr>
        <w:footnoteRef/>
      </w:r>
      <w:r>
        <w:t xml:space="preserve"> </w:t>
      </w:r>
      <w:r>
        <w:fldChar w:fldCharType="begin"/>
      </w:r>
      <w:r w:rsidR="00E177AA">
        <w:instrText xml:space="preserve"> ADDIN ZOTERO_ITEM CSL_CITATION {"citationID":"hvAz7Hwl","properties":{"formattedCitation":"Lygia Rodr\\uc0\\u237{}guez Vianna P\\uc0\\u233{}rez, \\uc0\\u8220{}\\uc0\\u8216{}El Brasil restituido\\uc0\\u8217{} de Lope de Vega y \\uc0\\u8216{}La p\\uc0\\u233{}rdida y restauraci\\uc0\\u243{}n de la Bah\\uc0\\u237{}a de Todos los Santos\\uc0\\u8217{}, de Juan Antonio Correa\\uc0\\u8221{}, en {\\i{}Estudios de teatro \\uc0\\u225{}ureo: texto, espacio y representaci\\uc0\\u243{}n} (X Congreso de la Asociaci\\uc0\\u243{}n Internacional de Teatro Espa\\uc0\\u241{}ol y Novohispano de los Siglos de Oro, M\\uc0\\u233{}xico: Universidad Aut\\uc0\\u243{}noma Metropolitana, 2003), 245\\uc0\\u8211{}61; Brown y Elliott, {\\i{}Un palacio para el Rey}, sec. \\uc0\\u8220{}H\\uc0\\u233{}rcules Hispanicus\\uc0\\u8221{}.","plainCitation":"Lygia Rodríguez Vianna Pérez, “‘El Brasil restituido’ de Lope de Vega y ‘La pérdida y restauración de la Bahía de Todos los Santos’, de Juan Antonio Correa”, en Estudios de teatro áureo: texto, espacio y representación (X Congreso de la Asociación Internacional de Teatro Español y Novohispano de los Siglos de Oro, México: Universidad Autónoma Metropolitana, 2003), 245–61; Brown y Elliott, Un palacio para el Rey, sec. “Hércules Hispanicus”.","noteIndex":43},"citationItems":[{"id":8271,"uris":["http://zotero.org/users/163570/items/L8N3TAHX"],"uri":["http://zotero.org/users/163570/items/L8N3TAHX"],"itemData":{"id":8271,"type":"paper-conference","title":"\"El Brasil restituido\" de Lope de Vega y \"La pérdida y restauración de la Bahía de Todos los Santos\", de Juan Antonio Correa","container-title":"Estudios de teatro áureo: texto, espacio y representación","publisher":"Universidad Autónoma Metropolitana","publisher-place":"México","page":"245-261","event":"X Congreso de la Asociación Internacional de Teatro Español y Novohispano de los Siglos de Oro","event-place":"México","ISBN":"970-31-0115-1","author":[{"family":"Rodríguez Vianna Pérez","given":"Lygia"}],"issued":{"date-parts":[["2003"]]}},"label":"page"},{"id":8270,"uris":["http://zotero.org/users/163570/items/984AF7GY"],"uri":["http://zotero.org/users/163570/items/984AF7GY"],"itemData":{"id":8270,"type":"book","title":"Un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Luisa"}],"issued":{"date-parts":[["2016"]]},"accessed":{"date-parts":[["2018",6,1]]}},"locator":"\"Hércules Hispanicus\"","label":"section"}],"schema":"https://github.com/citation-style-language/schema/raw/master/csl-citation.json"} </w:instrText>
      </w:r>
      <w:r>
        <w:fldChar w:fldCharType="separate"/>
      </w:r>
      <w:proofErr w:type="spellStart"/>
      <w:r w:rsidRPr="00C17281">
        <w:rPr>
          <w:rFonts w:cs="Times New Roman"/>
          <w:szCs w:val="24"/>
        </w:rPr>
        <w:t>Lygia</w:t>
      </w:r>
      <w:proofErr w:type="spellEnd"/>
      <w:r w:rsidRPr="00C17281">
        <w:rPr>
          <w:rFonts w:cs="Times New Roman"/>
          <w:szCs w:val="24"/>
        </w:rPr>
        <w:t xml:space="preserve"> Rodríguez </w:t>
      </w:r>
      <w:proofErr w:type="spellStart"/>
      <w:r w:rsidRPr="00C17281">
        <w:rPr>
          <w:rFonts w:cs="Times New Roman"/>
          <w:szCs w:val="24"/>
        </w:rPr>
        <w:t>Vianna</w:t>
      </w:r>
      <w:proofErr w:type="spellEnd"/>
      <w:r w:rsidRPr="00C17281">
        <w:rPr>
          <w:rFonts w:cs="Times New Roman"/>
          <w:szCs w:val="24"/>
        </w:rPr>
        <w:t xml:space="preserve"> Pérez, “‘El Brasil restituido’ de Lope de Vega y ‘La pérdida y restauración de la Bahía de Todos los Santos’, de Juan Antonio Correa”, en </w:t>
      </w:r>
      <w:r w:rsidRPr="00C17281">
        <w:rPr>
          <w:rFonts w:cs="Times New Roman"/>
          <w:i/>
          <w:iCs/>
          <w:szCs w:val="24"/>
        </w:rPr>
        <w:t>Estudios de teatro áureo: texto, espacio y representación</w:t>
      </w:r>
      <w:r w:rsidRPr="00C17281">
        <w:rPr>
          <w:rFonts w:cs="Times New Roman"/>
          <w:szCs w:val="24"/>
        </w:rPr>
        <w:t xml:space="preserve"> (X Congreso de la Asociación Internacional de Teatro Español y Novohispano de los Siglos de Oro, México: Universidad Autónoma Metropolitana, 2003), 245–61; Brown y Elliott, </w:t>
      </w:r>
      <w:r w:rsidRPr="00C17281">
        <w:rPr>
          <w:rFonts w:cs="Times New Roman"/>
          <w:i/>
          <w:iCs/>
          <w:szCs w:val="24"/>
        </w:rPr>
        <w:t>Un palacio para el Rey</w:t>
      </w:r>
      <w:r w:rsidRPr="00C17281">
        <w:rPr>
          <w:rFonts w:cs="Times New Roman"/>
          <w:szCs w:val="24"/>
        </w:rPr>
        <w:t>, sec. “Hércules Hispanicus”.</w:t>
      </w:r>
      <w:r>
        <w:fldChar w:fldCharType="end"/>
      </w:r>
    </w:p>
  </w:footnote>
  <w:footnote w:id="44">
    <w:p w:rsidR="00902918" w:rsidRDefault="00902918">
      <w:pPr>
        <w:pStyle w:val="Textonotapie"/>
      </w:pPr>
      <w:r>
        <w:rPr>
          <w:rStyle w:val="Refdenotaalpie"/>
        </w:rPr>
        <w:footnoteRef/>
      </w:r>
      <w:r>
        <w:t xml:space="preserve"> </w:t>
      </w:r>
      <w:r>
        <w:fldChar w:fldCharType="begin"/>
      </w:r>
      <w:r w:rsidR="00E177AA">
        <w:instrText xml:space="preserve"> ADDIN ZOTERO_ITEM CSL_CITATION {"citationID":"oYAxB8j1","properties":{"formattedCitation":"Abelardo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(Buenos Aires: Instituto de Investigaciones de Historia del Derecho, 1997), 106.","plainCitation":"Abelardo Levaggi, “Los tratados con los indios en la época borbónica. Reafirmación de la política de conquista pacífica”, en XI Congreso del Instituto Internacional de Historia del Derecho Indiano. Buenos Aires, 4 al 9 de septiembre de 1995: actas y estudios, vol. 2 (Buenos Aires: Instituto de Investigaciones de Historia del Derecho, 1997), 106.","noteIndex":44},"citationItems":[{"id":7842,"uris":["http://zotero.org/users/163570/items/2KEL7H68"],"uri":["http://zotero.org/users/163570/items/2KEL7H68"],"itemData":{"id":7842,"type":"chapter","title":"Los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252865808","language":"spa","author":[{"family":"Levaggi","given":"Abelardo"}],"issued":{"date-parts":[["1997"]]}},"locator":"106","label":"page"}],"schema":"https://github.com/citation-style-language/schema/raw/master/csl-citation.json"} </w:instrText>
      </w:r>
      <w:r>
        <w:fldChar w:fldCharType="separate"/>
      </w:r>
      <w:r w:rsidRPr="00902918">
        <w:rPr>
          <w:rFonts w:cs="Times New Roman"/>
          <w:szCs w:val="24"/>
        </w:rPr>
        <w:t xml:space="preserve">Abelardo </w:t>
      </w:r>
      <w:proofErr w:type="spellStart"/>
      <w:r w:rsidRPr="00902918">
        <w:rPr>
          <w:rFonts w:cs="Times New Roman"/>
          <w:szCs w:val="24"/>
        </w:rPr>
        <w:t>Levaggi</w:t>
      </w:r>
      <w:proofErr w:type="spellEnd"/>
      <w:r w:rsidRPr="00902918">
        <w:rPr>
          <w:rFonts w:cs="Times New Roman"/>
          <w:szCs w:val="24"/>
        </w:rPr>
        <w:t xml:space="preserve">, “Los tratados con los indios en la época borbónica. Reafirmación de la política de conquista pacífica”, en </w:t>
      </w:r>
      <w:r w:rsidRPr="00902918">
        <w:rPr>
          <w:rFonts w:cs="Times New Roman"/>
          <w:i/>
          <w:iCs/>
          <w:szCs w:val="24"/>
        </w:rPr>
        <w:t>XI Congreso del Instituto Internacional de Historia del Derecho Indiano. Buenos Aires, 4 al 9 de septiembre de 1995: actas y estudios</w:t>
      </w:r>
      <w:r w:rsidRPr="00902918">
        <w:rPr>
          <w:rFonts w:cs="Times New Roman"/>
          <w:szCs w:val="24"/>
        </w:rPr>
        <w:t>, vol. 2 (Buenos Aires: Instituto de Investigaciones de Historia del Derecho, 1997), 106.</w:t>
      </w:r>
      <w:r>
        <w:fldChar w:fldCharType="end"/>
      </w:r>
    </w:p>
  </w:footnote>
  <w:footnote w:id="45">
    <w:p w:rsidR="00EA1A07" w:rsidRPr="00755E15" w:rsidRDefault="00EA1A07" w:rsidP="00EA1A07">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46">
    <w:p w:rsidR="00EA1A07" w:rsidRDefault="00EA1A07" w:rsidP="00EA1A07">
      <w:pPr>
        <w:pStyle w:val="Textonotapie"/>
      </w:pPr>
      <w:r>
        <w:rPr>
          <w:rStyle w:val="Refdenotaalpie"/>
        </w:rPr>
        <w:footnoteRef/>
      </w:r>
      <w:r>
        <w:t xml:space="preserve"> Zorita, 59.</w:t>
      </w:r>
    </w:p>
  </w:footnote>
  <w:footnote w:id="47">
    <w:p w:rsidR="00EA1A07" w:rsidRDefault="00EA1A07" w:rsidP="00EA1A07">
      <w:pPr>
        <w:pStyle w:val="Textonotapie"/>
      </w:pPr>
      <w:r>
        <w:rPr>
          <w:rStyle w:val="Refdenotaalpie"/>
        </w:rPr>
        <w:footnoteRef/>
      </w:r>
      <w:r>
        <w:t xml:space="preserve"> Zorita, 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07"/>
    <w:rsid w:val="000A09BE"/>
    <w:rsid w:val="00101A86"/>
    <w:rsid w:val="0011177D"/>
    <w:rsid w:val="00244C42"/>
    <w:rsid w:val="0033081D"/>
    <w:rsid w:val="00354F27"/>
    <w:rsid w:val="00432FBA"/>
    <w:rsid w:val="00464785"/>
    <w:rsid w:val="00672529"/>
    <w:rsid w:val="006F3DB5"/>
    <w:rsid w:val="007700D3"/>
    <w:rsid w:val="008908CA"/>
    <w:rsid w:val="008C716F"/>
    <w:rsid w:val="009002A6"/>
    <w:rsid w:val="00902918"/>
    <w:rsid w:val="00967F83"/>
    <w:rsid w:val="00AB670C"/>
    <w:rsid w:val="00AD25BD"/>
    <w:rsid w:val="00BD62DD"/>
    <w:rsid w:val="00CD4A8A"/>
    <w:rsid w:val="00E02848"/>
    <w:rsid w:val="00E177AA"/>
    <w:rsid w:val="00EA1A07"/>
    <w:rsid w:val="00EB4E32"/>
    <w:rsid w:val="00EB63D0"/>
    <w:rsid w:val="00F13B86"/>
    <w:rsid w:val="00F84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D240-0E40-46DB-B91D-B249374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1A07"/>
    <w:pPr>
      <w:keepNext/>
      <w:keepLines/>
      <w:spacing w:before="240" w:line="360" w:lineRule="auto"/>
      <w:ind w:firstLine="0"/>
      <w:jc w:val="center"/>
      <w:outlineLvl w:val="0"/>
    </w:pPr>
    <w:rPr>
      <w:rFonts w:ascii="Times New Roman" w:eastAsiaTheme="majorEastAsia" w:hAnsi="Times New Roman" w:cstheme="majorBidi"/>
      <w:b/>
      <w:smallCaps/>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EA1A07"/>
    <w:rPr>
      <w:vertAlign w:val="superscript"/>
    </w:rPr>
  </w:style>
  <w:style w:type="character" w:styleId="Hipervnculo">
    <w:name w:val="Hyperlink"/>
    <w:basedOn w:val="Fuentedeprrafopredeter"/>
    <w:uiPriority w:val="99"/>
    <w:unhideWhenUsed/>
    <w:rsid w:val="00EA1A07"/>
    <w:rPr>
      <w:color w:val="0563C1" w:themeColor="hyperlink"/>
      <w:u w:val="single"/>
    </w:rPr>
  </w:style>
  <w:style w:type="character" w:customStyle="1" w:styleId="Ttulo1Car">
    <w:name w:val="Título 1 Car"/>
    <w:basedOn w:val="Fuentedeprrafopredeter"/>
    <w:link w:val="Ttulo1"/>
    <w:uiPriority w:val="9"/>
    <w:rsid w:val="00EA1A07"/>
    <w:rPr>
      <w:rFonts w:ascii="Times New Roman" w:eastAsiaTheme="majorEastAsia" w:hAnsi="Times New Roman" w:cstheme="majorBidi"/>
      <w:b/>
      <w:smallCaps/>
      <w:sz w:val="24"/>
      <w:szCs w:val="32"/>
    </w:rPr>
  </w:style>
  <w:style w:type="character" w:styleId="Hipervnculovisitado">
    <w:name w:val="FollowedHyperlink"/>
    <w:basedOn w:val="Fuentedeprrafopredeter"/>
    <w:uiPriority w:val="99"/>
    <w:semiHidden/>
    <w:unhideWhenUsed/>
    <w:rsid w:val="00244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fichero/items/show/32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bit.ly/2LPuySh" TargetMode="External"/><Relationship Id="rId1" Type="http://schemas.openxmlformats.org/officeDocument/2006/relationships/hyperlink" Target="http://bit.ly/2soBaP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E090DA1-5016-4D14-91F8-37AE1DDA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2989</Words>
  <Characters>16444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13</cp:revision>
  <dcterms:created xsi:type="dcterms:W3CDTF">2018-06-01T23:49:00Z</dcterms:created>
  <dcterms:modified xsi:type="dcterms:W3CDTF">2018-07-04T03:46:00Z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id="l3klw3uP"/&gt;&lt;style id="http://www.zotero.org/styles/chicago-fullnote-bibliography" locale="es-MX" hasBibliography="1" bibliographyStyleHasBeenSet="0"/&gt;&lt;prefs&gt;&lt;pref name="fieldType" value="Field"/&gt;</vt:lpwstr>
  </property>
  <property fmtid="{D5CDD505-2E9C-101B-9397-08002B2CF9AE}" pid="3" name="ZOTERO_PREF_2">
    <vt:lpwstr>&lt;pref name="noteType" value="1"/&gt;&lt;/prefs&gt;&lt;/data&gt;</vt:lpwstr>
  </property>
</Properties>
</file>