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0673F" w14:textId="77777777" w:rsidR="00775782" w:rsidRPr="00C57E57" w:rsidRDefault="00000000">
      <w:r w:rsidRPr="00C57E57">
        <w:rPr>
          <w:noProof/>
        </w:rPr>
        <mc:AlternateContent>
          <mc:Choice Requires="wps">
            <w:drawing>
              <wp:inline distT="114300" distB="114300" distL="114300" distR="114300" wp14:anchorId="691E6D6F" wp14:editId="4F591B62">
                <wp:extent cx="5727600" cy="5040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975" y="375575"/>
                          <a:ext cx="7440600" cy="121800"/>
                        </a:xfrm>
                        <a:prstGeom prst="rect">
                          <a:avLst/>
                        </a:prstGeom>
                        <a:solidFill>
                          <a:srgbClr val="791632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F03C9F" w14:textId="77777777" w:rsidR="00775782" w:rsidRDefault="0077578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E6D6F" id="Rectángulo 1" o:spid="_x0000_s1026" style="width:451pt;height: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" fillcolor="#791632" strokecolor="white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CF03C9F" w14:textId="77777777" w:rsidR="00775782" w:rsidRDefault="00775782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A15AB50" w14:textId="77777777" w:rsidR="00775782" w:rsidRPr="00C57E57" w:rsidRDefault="00775782">
      <w:pPr>
        <w:rPr>
          <w:b/>
          <w:color w:val="791632"/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75782" w:rsidRPr="00C57E57" w14:paraId="24718C33" w14:textId="77777777" w:rsidTr="000D5AB6">
        <w:trPr>
          <w:trHeight w:val="262"/>
        </w:trPr>
        <w:tc>
          <w:tcPr>
            <w:tcW w:w="902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0F1C" w14:textId="77777777" w:rsidR="00775782" w:rsidRPr="00C57E57" w:rsidRDefault="00000000">
            <w:pPr>
              <w:jc w:val="center"/>
            </w:pPr>
            <w:r w:rsidRPr="00C57E57">
              <w:rPr>
                <w:b/>
                <w:color w:val="791632"/>
                <w:sz w:val="24"/>
                <w:szCs w:val="24"/>
              </w:rPr>
              <w:t>Nombre del proyecto</w:t>
            </w:r>
          </w:p>
        </w:tc>
      </w:tr>
      <w:tr w:rsidR="00775782" w:rsidRPr="00C57E57" w14:paraId="438B4617" w14:textId="77777777" w:rsidTr="000D5AB6">
        <w:trPr>
          <w:trHeight w:val="283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3258" w14:textId="37A0A4EE" w:rsidR="00775782" w:rsidRPr="00C57E57" w:rsidRDefault="00C57996" w:rsidP="004143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  <w:lang w:val="es-ES"/>
              </w:rPr>
            </w:pPr>
            <w:r w:rsidRPr="00C57E57">
              <w:rPr>
                <w:sz w:val="24"/>
                <w:szCs w:val="24"/>
              </w:rPr>
              <w:t>Análisis comparativo de modelos de aprendizaje automático y arquitecturas Transformer para la clasificación de tráfico de red cifrado sobre el dataset CESNET-TLS-Year22</w:t>
            </w:r>
          </w:p>
        </w:tc>
      </w:tr>
    </w:tbl>
    <w:p w14:paraId="510CBE51" w14:textId="77777777" w:rsidR="00775782" w:rsidRPr="00C57E57" w:rsidRDefault="00775782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915"/>
      </w:tblGrid>
      <w:tr w:rsidR="00775782" w:rsidRPr="00C57E57" w14:paraId="6670B4E3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681D" w14:textId="77777777" w:rsidR="00775782" w:rsidRPr="00C57E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 w:rsidRPr="00C57E57">
              <w:rPr>
                <w:b/>
                <w:color w:val="791632"/>
              </w:rPr>
              <w:t>Profesor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29BA" w14:textId="337EEF70" w:rsidR="00775782" w:rsidRPr="00C57E57" w:rsidRDefault="007C5D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 w:rsidRPr="00C57E57">
              <w:t xml:space="preserve"/>
            </w:r>
            <w:r w:rsidR="00414318" w:rsidRPr="00C57E57">
              <w:rPr>
                <w:lang w:val="es-ES"/>
              </w:rPr>
              <w:t>Gladys María Villegas Rugel</w:t>
            </w:r>
          </w:p>
        </w:tc>
      </w:tr>
      <w:tr w:rsidR="00775782" w:rsidRPr="00C57E57" w14:paraId="2C1B587B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4D06" w14:textId="77777777" w:rsidR="00775782" w:rsidRPr="00C57E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 w:rsidRPr="00C57E57">
              <w:rPr>
                <w:b/>
                <w:color w:val="791632"/>
              </w:rPr>
              <w:t>Materia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8983" w14:textId="29145B53" w:rsidR="00775782" w:rsidRPr="00C57E57" w:rsidRDefault="00414318" w:rsidP="000D5A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57E57">
              <w:t>Proyecto Integrador en Inteligencia Artificial</w:t>
            </w:r>
          </w:p>
        </w:tc>
      </w:tr>
      <w:tr w:rsidR="00775782" w:rsidRPr="00C57E57" w14:paraId="6265FED6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441F" w14:textId="77777777" w:rsidR="00775782" w:rsidRPr="00C57E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 w:rsidRPr="00C57E57">
              <w:rPr>
                <w:b/>
                <w:color w:val="791632"/>
              </w:rPr>
              <w:t>Alumno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49F0" w14:textId="77777777" w:rsidR="00C57996" w:rsidRPr="00C57E57" w:rsidRDefault="00C579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57E57">
              <w:t>Jhayya Perlaza Jairo Wladimir</w:t>
            </w:r>
          </w:p>
        </w:tc>
      </w:tr>
      <w:tr w:rsidR="00775782" w:rsidRPr="00C57E57" w14:paraId="1500A4A5" w14:textId="77777777"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37F2" w14:textId="77777777" w:rsidR="00775782" w:rsidRPr="00C57E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791632"/>
              </w:rPr>
            </w:pPr>
            <w:r w:rsidRPr="00C57E57">
              <w:rPr>
                <w:b/>
                <w:color w:val="791632"/>
              </w:rPr>
              <w:t>Fecha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47CF" w14:textId="09A30F42" w:rsidR="00775782" w:rsidRPr="00C57E57" w:rsidRDefault="000B50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57E57">
              <w:t>09-oct-2026</w:t>
            </w:r>
          </w:p>
        </w:tc>
      </w:tr>
    </w:tbl>
    <w:p w14:paraId="54B91C9D" w14:textId="77777777" w:rsidR="00775782" w:rsidRPr="00C57E57" w:rsidRDefault="00775782">
      <w:pPr>
        <w:rPr>
          <w:b/>
          <w:color w:val="791632"/>
          <w:sz w:val="24"/>
          <w:szCs w:val="24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75782" w:rsidRPr="00C57E57" w14:paraId="634C944B" w14:textId="77777777" w:rsidTr="000D5AB6">
        <w:trPr>
          <w:trHeight w:val="332"/>
        </w:trPr>
        <w:tc>
          <w:tcPr>
            <w:tcW w:w="902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CF32" w14:textId="77777777" w:rsidR="00775782" w:rsidRPr="00C57E57" w:rsidRDefault="00000000">
            <w:pPr>
              <w:jc w:val="center"/>
              <w:rPr>
                <w:b/>
                <w:color w:val="791632"/>
              </w:rPr>
            </w:pPr>
            <w:r w:rsidRPr="00C57E57">
              <w:rPr>
                <w:b/>
                <w:color w:val="791632"/>
                <w:sz w:val="24"/>
                <w:szCs w:val="24"/>
              </w:rPr>
              <w:t>Resumen del Proyecto</w:t>
            </w:r>
          </w:p>
        </w:tc>
      </w:tr>
      <w:tr w:rsidR="00775782" w:rsidRPr="00C57E57" w14:paraId="746A97F8" w14:textId="77777777">
        <w:trPr>
          <w:trHeight w:val="2265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DFBD7" w14:textId="77777777" w:rsidR="00CA67F5" w:rsidRPr="00CA67F5" w:rsidRDefault="00CA67F5" w:rsidP="00CA67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4"/>
              <w:jc w:val="both"/>
              <w:rPr>
                <w:bCs/>
                <w:lang w:val="es-ES"/>
              </w:rPr>
            </w:pPr>
            <w:proofErr w:type="spellStart"/>
            <w:r w:rsidRPr="00CA67F5">
              <w:rPr>
                <w:bCs/>
                <w:lang w:val="es-ES"/>
              </w:rPr>
              <w:t>Workshop de la semana 4: Impacto social y responsabilidad en el proyecto de IA.</w:t>
            </w:r>
            <w:proofErr w:type="spellEnd"/>
          </w:p>
          <w:p w14:paraId="0BE1E714" w14:textId="2882F370" w:rsidR="00775782" w:rsidRPr="00CA67F5" w:rsidRDefault="00CA67F5" w:rsidP="00CA67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4"/>
              <w:jc w:val="both"/>
              <w:rPr>
                <w:bCs/>
                <w:lang w:val="es-ES"/>
              </w:rPr>
            </w:pPr>
            <w:r w:rsidRPr="00CA67F5">
              <w:rPr>
                <w:bCs/>
                <w:lang w:val="es-ES"/>
              </w:rPr>
              <w:t>Este documento analiza el impacto social y la responsabilidad ética del sistema de clasificación de tráfico TLS cifrado desarrollado en el proyecto, que identifica 23 categorías de servicio a partir de metadatos de flujo sin descifrar el contenido (XGBoost, F1 macro de 0,903).</w:t>
            </w:r>
            <w:proofErr w:type="spellStart"/>
            <w:proofErr w:type="spellEnd"/>
          </w:p>
          <w:p w14:paraId="011DFBD7" w14:textId="77777777" w:rsidR="00CA67F5" w:rsidRPr="00CA67F5" w:rsidRDefault="00CA67F5" w:rsidP="00CA67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4"/>
              <w:jc w:val="both"/>
              <w:rPr>
                <w:bCs/>
                <w:lang w:val="es-ES"/>
              </w:rPr>
            </w:pPr>
            <w:proofErr w:type="spellStart"/>
            <w:r w:rsidRPr="00CA67F5">
              <w:rPr>
                <w:bCs/>
                <w:lang w:val="es-ES"/>
              </w:rPr>
              <w:t>El análisis identifica seis grupos de interés, cuatro impactos positivos y cuatro negativos, seis riesgos éticos con su estrategia de mitigación, un marco de responsabilidad y el cumplimiento de la normativa ecuatoriana y europea aplicable. Concluye que el sistema puede implementarse para la gestión agregada de redes, con salvaguardas, pero no para perfilar o vigilar a personas.</w:t>
            </w:r>
            <w:proofErr w:type="spellEnd"/>
          </w:p>
        </w:tc>
      </w:tr>
    </w:tbl>
    <w:p w14:paraId="3854FDA7" w14:textId="77777777" w:rsidR="00775782" w:rsidRPr="00C57E57" w:rsidRDefault="00775782"/>
    <w:tbl>
      <w:tblPr>
        <w:tblStyle w:val="a2"/>
        <w:tblW w:w="89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15"/>
        <w:gridCol w:w="1755"/>
      </w:tblGrid>
      <w:tr w:rsidR="00775782" w:rsidRPr="00C57E57" w14:paraId="2195B650" w14:textId="77777777">
        <w:tc>
          <w:tcPr>
            <w:tcW w:w="72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8091" w14:textId="77777777" w:rsidR="00775782" w:rsidRPr="00C57E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791632"/>
              </w:rPr>
            </w:pPr>
            <w:r w:rsidRPr="00C57E57">
              <w:rPr>
                <w:b/>
                <w:color w:val="791632"/>
              </w:rPr>
              <w:t>Actividad</w:t>
            </w:r>
          </w:p>
        </w:tc>
        <w:tc>
          <w:tcPr>
            <w:tcW w:w="17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2B4A" w14:textId="77777777" w:rsidR="00775782" w:rsidRPr="00C57E57" w:rsidRDefault="00000000" w:rsidP="00216A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791632"/>
              </w:rPr>
            </w:pPr>
            <w:r w:rsidRPr="00C57E57">
              <w:rPr>
                <w:b/>
                <w:color w:val="791632"/>
              </w:rPr>
              <w:t>Fecha</w:t>
            </w:r>
          </w:p>
        </w:tc>
      </w:tr>
      <w:tr w:rsidR="00775782" w:rsidRPr="00C57E57" w14:paraId="1A61EAA4" w14:textId="77777777" w:rsidTr="004E60CB">
        <w:trPr>
          <w:trHeight w:val="660"/>
        </w:trPr>
        <w:tc>
          <w:tcPr>
            <w:tcW w:w="72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Contexto y alcance del sistema.</w:t>
            </w:r>
          </w:p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Análisis de stakeholders.</w:t>
            </w:r>
          </w:p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Impacto social y análisis de equidad.</w:t>
            </w:r>
          </w:p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Riesgos éticos específicos.</w:t>
            </w:r>
          </w:p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Estrategias de mitigación.</w:t>
            </w:r>
          </w:p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Framework de responsabilidad.</w:t>
            </w:r>
          </w:p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Compliance normativo.</w:t>
            </w:r>
          </w:p>
          <w:p w14:paraId="4EBE9087" w14:textId="77777777" w:rsidR="00EB48B7" w:rsidRPr="00C57E57" w:rsidRDefault="00EB48B7" w:rsidP="00EB48B7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7" w:hanging="357"/>
              <w:jc w:val="both"/>
              <w:rPr>
                <w:lang w:val="es-ES"/>
              </w:rPr>
            </w:pPr>
            <w:r w:rsidRPr="00C57E57">
              <w:t xml:space="preserve">Reflexión y compromiso ético.</w:t>
            </w: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BFFD2" w14:textId="26DBD2B0" w:rsidR="00775782" w:rsidRPr="00C57E57" w:rsidRDefault="00EB48B7" w:rsidP="004E60CB">
            <w:pPr>
              <w:jc w:val="center"/>
            </w:pPr>
            <w:r w:rsidRPr="00C57E57">
              <w:t>09-oct-2026</w:t>
            </w:r>
          </w:p>
        </w:tc>
      </w:tr>
    </w:tbl>
    <w:p w14:paraId="41D72B65" w14:textId="0A4D9F61" w:rsidR="00D34980" w:rsidRDefault="00D34980" w:rsidP="00B11328"/>
    <w:p w14:paraId="5EE80AE0" w14:textId="77777777" w:rsidR="00D34980" w:rsidRDefault="00D34980">
      <w:r>
        <w:br w:type="page"/>
      </w:r>
    </w:p>
    <w:p>
      <w:pPr>
        <w:pStyle w:val="TtuloTDC"/>
        <w:jc w:val="center"/>
        <w:rPr>
          <w:b/>
          <w:bCs/>
          <w:sz w:val="28"/>
          <w:szCs w:val="28"/>
          <w:lang w:val="es-EC"/>
        </w:rPr>
      </w:pPr>
      <w:r>
        <w:rPr>
          <w:b/>
          <w:bCs/>
          <w:sz w:val="28"/>
          <w:szCs w:val="28"/>
          <w:lang w:val="es-EC"/>
        </w:rPr>
        <w:t xml:space="preserve">Índice general</w:t>
      </w:r>
    </w:p>
    <w:p>
      <w:pPr>
        <w:pStyle w:val="TD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  <w:lang w:val="es-EC"/>
        </w:rPr>
        <w:t>1. Contexto del proyecto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3</w:t>
      </w:r>
    </w:p>
    <w:p>
      <w:pPr>
        <w:pStyle w:val="TDC2"/>
      </w:pPr>
      <w:r>
        <w:rPr>
          <w:sz w:val="22"/>
          <w:lang w:val="es-EC"/>
        </w:rPr>
        <w:t>1.1 Descripción del sistema</w:t>
      </w:r>
      <w:r>
        <w:rPr>
          <w:sz w:val="22"/>
          <w:lang w:val="es-EC"/>
        </w:rPr>
        <w:tab/>
      </w:r>
      <w:r>
        <w:rPr>
          <w:sz w:val="22"/>
          <w:lang w:val="es-EC"/>
        </w:rPr>
        <w:t>3</w:t>
      </w:r>
    </w:p>
    <w:p>
      <w:pPr>
        <w:pStyle w:val="TDC2"/>
      </w:pPr>
      <w:r>
        <w:rPr>
          <w:sz w:val="22"/>
          <w:lang w:val="es-EC"/>
        </w:rPr>
        <w:t>1.2 Alcance de implementación</w:t>
      </w:r>
      <w:r>
        <w:rPr>
          <w:sz w:val="22"/>
          <w:lang w:val="es-EC"/>
        </w:rPr>
        <w:tab/>
      </w:r>
      <w:r>
        <w:rPr>
          <w:sz w:val="22"/>
          <w:lang w:val="es-EC"/>
        </w:rPr>
        <w:t>3</w:t>
      </w:r>
    </w:p>
    <w:p>
      <w:pPr>
        <w:pStyle w:val="TDC1"/>
      </w:pPr>
      <w:r>
        <w:rPr>
          <w:b/>
          <w:sz w:val="22"/>
          <w:lang w:val="es-EC"/>
        </w:rPr>
        <w:t>2. Análisis de stakeholders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4</w:t>
      </w:r>
    </w:p>
    <w:p>
      <w:pPr>
        <w:pStyle w:val="TDC1"/>
      </w:pPr>
      <w:r>
        <w:rPr>
          <w:b/>
          <w:sz w:val="22"/>
          <w:lang w:val="es-EC"/>
        </w:rPr>
        <w:t>3. Evaluación de impacto social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5</w:t>
      </w:r>
    </w:p>
    <w:p>
      <w:pPr>
        <w:pStyle w:val="TDC2"/>
      </w:pPr>
      <w:r>
        <w:rPr>
          <w:sz w:val="22"/>
          <w:lang w:val="es-EC"/>
        </w:rPr>
        <w:t>3.1 Impactos positivos</w:t>
      </w:r>
      <w:r>
        <w:rPr>
          <w:sz w:val="22"/>
          <w:lang w:val="es-EC"/>
        </w:rPr>
        <w:tab/>
      </w:r>
      <w:r>
        <w:rPr>
          <w:sz w:val="22"/>
          <w:lang w:val="es-EC"/>
        </w:rPr>
        <w:t>5</w:t>
      </w:r>
    </w:p>
    <w:p>
      <w:pPr>
        <w:pStyle w:val="TDC2"/>
      </w:pPr>
      <w:r>
        <w:rPr>
          <w:sz w:val="22"/>
          <w:lang w:val="es-EC"/>
        </w:rPr>
        <w:t>3.2 Impactos negativos y riesgos</w:t>
      </w:r>
      <w:r>
        <w:rPr>
          <w:sz w:val="22"/>
          <w:lang w:val="es-EC"/>
        </w:rPr>
        <w:tab/>
      </w:r>
      <w:r>
        <w:rPr>
          <w:sz w:val="22"/>
          <w:lang w:val="es-EC"/>
        </w:rPr>
        <w:t>6</w:t>
      </w:r>
    </w:p>
    <w:p>
      <w:pPr>
        <w:pStyle w:val="TDC2"/>
      </w:pPr>
      <w:r>
        <w:rPr>
          <w:sz w:val="22"/>
          <w:lang w:val="es-EC"/>
        </w:rPr>
        <w:t>3.3 Análisis de equidad</w:t>
      </w:r>
      <w:r>
        <w:rPr>
          <w:sz w:val="22"/>
          <w:lang w:val="es-EC"/>
        </w:rPr>
        <w:tab/>
      </w:r>
      <w:r>
        <w:rPr>
          <w:sz w:val="22"/>
          <w:lang w:val="es-EC"/>
        </w:rPr>
        <w:t>6</w:t>
      </w:r>
    </w:p>
    <w:p>
      <w:pPr>
        <w:pStyle w:val="TDC1"/>
      </w:pPr>
      <w:r>
        <w:rPr>
          <w:b/>
          <w:sz w:val="22"/>
          <w:lang w:val="es-EC"/>
        </w:rPr>
        <w:t>4. Riesgos éticos específicos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7</w:t>
      </w:r>
    </w:p>
    <w:p>
      <w:pPr>
        <w:pStyle w:val="TDC1"/>
      </w:pPr>
      <w:r>
        <w:rPr>
          <w:b/>
          <w:sz w:val="22"/>
          <w:lang w:val="es-EC"/>
        </w:rPr>
        <w:t>5. Estrategias de mitigación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8</w:t>
      </w:r>
    </w:p>
    <w:p>
      <w:pPr>
        <w:pStyle w:val="TDC1"/>
      </w:pPr>
      <w:r>
        <w:rPr>
          <w:b/>
          <w:sz w:val="22"/>
          <w:lang w:val="es-EC"/>
        </w:rPr>
        <w:t>6. Framework de responsabilidad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9</w:t>
      </w:r>
    </w:p>
    <w:p>
      <w:pPr>
        <w:pStyle w:val="TDC2"/>
      </w:pPr>
      <w:r>
        <w:rPr>
          <w:sz w:val="22"/>
          <w:lang w:val="es-EC"/>
        </w:rPr>
        <w:t>6.1 Cadena de responsabilidad</w:t>
      </w:r>
      <w:r>
        <w:rPr>
          <w:sz w:val="22"/>
          <w:lang w:val="es-EC"/>
        </w:rPr>
        <w:tab/>
      </w:r>
      <w:r>
        <w:rPr>
          <w:sz w:val="22"/>
          <w:lang w:val="es-EC"/>
        </w:rPr>
        <w:t>9</w:t>
      </w:r>
    </w:p>
    <w:p>
      <w:pPr>
        <w:pStyle w:val="TDC2"/>
      </w:pPr>
      <w:r>
        <w:rPr>
          <w:sz w:val="22"/>
          <w:lang w:val="es-EC"/>
        </w:rPr>
        <w:t>6.2 Mecanismos de accountability</w:t>
      </w:r>
      <w:r>
        <w:rPr>
          <w:sz w:val="22"/>
          <w:lang w:val="es-EC"/>
        </w:rPr>
        <w:tab/>
      </w:r>
      <w:r>
        <w:rPr>
          <w:sz w:val="22"/>
          <w:lang w:val="es-EC"/>
        </w:rPr>
        <w:t>10</w:t>
      </w:r>
    </w:p>
    <w:p>
      <w:pPr>
        <w:pStyle w:val="TDC2"/>
      </w:pPr>
      <w:r>
        <w:rPr>
          <w:sz w:val="22"/>
          <w:lang w:val="es-EC"/>
        </w:rPr>
        <w:t>6.3 Plan de respuesta a incidentes</w:t>
      </w:r>
      <w:r>
        <w:rPr>
          <w:sz w:val="22"/>
          <w:lang w:val="es-EC"/>
        </w:rPr>
        <w:tab/>
      </w:r>
      <w:r>
        <w:rPr>
          <w:sz w:val="22"/>
          <w:lang w:val="es-EC"/>
        </w:rPr>
        <w:t>10</w:t>
      </w:r>
    </w:p>
    <w:p>
      <w:pPr>
        <w:pStyle w:val="TDC1"/>
      </w:pPr>
      <w:r>
        <w:rPr>
          <w:b/>
          <w:sz w:val="22"/>
          <w:lang w:val="es-EC"/>
        </w:rPr>
        <w:t>7. Consideraciones de compliance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10</w:t>
      </w:r>
    </w:p>
    <w:p>
      <w:pPr>
        <w:pStyle w:val="TDC1"/>
      </w:pPr>
      <w:r>
        <w:rPr>
          <w:b/>
          <w:sz w:val="22"/>
          <w:lang w:val="es-EC"/>
        </w:rPr>
        <w:t>8. Reflexión y compromiso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11</w:t>
      </w:r>
    </w:p>
    <w:p>
      <w:pPr>
        <w:pStyle w:val="TDC2"/>
      </w:pPr>
      <w:r>
        <w:rPr>
          <w:sz w:val="22"/>
          <w:lang w:val="es-EC"/>
        </w:rPr>
        <w:t>8.1 Reflexión personal</w:t>
      </w:r>
      <w:r>
        <w:rPr>
          <w:sz w:val="22"/>
          <w:lang w:val="es-EC"/>
        </w:rPr>
        <w:tab/>
      </w:r>
      <w:r>
        <w:rPr>
          <w:sz w:val="22"/>
          <w:lang w:val="es-EC"/>
        </w:rPr>
        <w:t>11</w:t>
      </w:r>
    </w:p>
    <w:p>
      <w:pPr>
        <w:pStyle w:val="TDC2"/>
      </w:pPr>
      <w:r>
        <w:rPr>
          <w:sz w:val="22"/>
          <w:lang w:val="es-EC"/>
        </w:rPr>
        <w:t>8.2 Compromiso ético</w:t>
      </w:r>
      <w:r>
        <w:rPr>
          <w:sz w:val="22"/>
          <w:lang w:val="es-EC"/>
        </w:rPr>
        <w:tab/>
      </w:r>
      <w:r>
        <w:rPr>
          <w:sz w:val="22"/>
          <w:lang w:val="es-EC"/>
        </w:rPr>
        <w:t>12</w:t>
      </w:r>
    </w:p>
    <w:p>
      <w:pPr>
        <w:pStyle w:val="TDC1"/>
      </w:pPr>
      <w:r>
        <w:rPr>
          <w:b/>
          <w:sz w:val="22"/>
          <w:lang w:val="es-EC"/>
        </w:rPr>
        <w:t>Referencias</w:t>
      </w:r>
      <w:r>
        <w:rPr>
          <w:sz w:val="22"/>
          <w:lang w:val="es-EC"/>
        </w:rPr>
        <w:tab/>
      </w:r>
      <w:r>
        <w:rPr>
          <w:b/>
          <w:sz w:val="22"/>
          <w:lang w:val="es-EC"/>
        </w:rPr>
        <w:t>13</w:t>
      </w:r>
      <w:r>
        <w:fldChar w:fldCharType="end"/>
      </w:r>
    </w:p>
    <w:p>
      <w:r>
        <w:br w:type="page"/>
      </w: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1. Contexto del proyecto</w:t>
      </w: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1.1 Descripción del sistema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Problema que resuelve.</w:t>
      </w:r>
      <w:r>
        <w:rPr>
          <w:sz w:val="24"/>
          <w:lang w:val="es-EC"/>
        </w:rPr>
        <w:t xml:space="preserve"> La mayor parte del tráfico web viaja hoy cifrado con TLS (Google, s. f.), lo que impide a los administradores de red saber qué servicios circulan por su infraestructura con la inspección tradicional de paquetes. Sin esa información es difícil planificar la capacidad, detectar anomalías o diagnosticar problemas de calidad, y la alternativa clásica, descifrar el tráfico, vulnera la confidencialidad de las comunicaciones.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Funcionalidad principal.</w:t>
      </w:r>
      <w:r>
        <w:rPr>
          <w:sz w:val="24"/>
          <w:lang w:val="es-EC"/>
        </w:rPr>
        <w:t xml:space="preserve"> El sistema clasifica cada conexión TLS en una de </w:t>
      </w:r>
      <w:r>
        <w:rPr>
          <w:b/>
          <w:sz w:val="24"/>
          <w:lang w:val="es-EC"/>
        </w:rPr>
        <w:t>23 categorías de servicio</w:t>
      </w:r>
      <w:r>
        <w:rPr>
          <w:sz w:val="24"/>
          <w:lang w:val="es-EC"/>
        </w:rPr>
        <w:t xml:space="preserve"> (por ejemplo, streaming, banca en línea, mensajería o escritorio remoto) usando </w:t>
      </w:r>
      <w:r>
        <w:rPr>
          <w:b/>
          <w:sz w:val="24"/>
          <w:lang w:val="es-EC"/>
        </w:rPr>
        <w:t>solo metadatos del flujo</w:t>
      </w:r>
      <w:r>
        <w:rPr>
          <w:sz w:val="24"/>
          <w:lang w:val="es-EC"/>
        </w:rPr>
        <w:t xml:space="preserve">: tamaños, direcciones y tiempos de los primeros 30 paquetes, y estadísticas de la conexión. </w:t>
      </w:r>
      <w:r>
        <w:rPr>
          <w:b/>
          <w:sz w:val="24"/>
          <w:lang w:val="es-EC"/>
        </w:rPr>
        <w:t>Nunca descifra ni lee el contenido.</w:t>
      </w:r>
      <w:r>
        <w:rPr>
          <w:sz w:val="24"/>
          <w:lang w:val="es-EC"/>
        </w:rPr>
        <w:t xml:space="preserve"> De los cuatro modelos comparados, el recomendado, XGBoost, alcanza un F1 macro de </w:t>
      </w:r>
      <w:r>
        <w:rPr>
          <w:b/>
          <w:sz w:val="24"/>
          <w:lang w:val="es-EC"/>
        </w:rPr>
        <w:t>0,903</w:t>
      </w:r>
      <w:r>
        <w:rPr>
          <w:sz w:val="24"/>
          <w:lang w:val="es-EC"/>
        </w:rPr>
        <w:t xml:space="preserve"> en datos de un mes posterior al de entrenamiento y clasifica un flujo en </w:t>
      </w:r>
      <w:r>
        <w:rPr>
          <w:b/>
          <w:sz w:val="24"/>
          <w:lang w:val="es-EC"/>
        </w:rPr>
        <w:t>0,149 ms</w:t>
      </w:r>
      <w:r>
        <w:rPr>
          <w:sz w:val="24"/>
          <w:lang w:val="es-EC"/>
        </w:rPr>
        <w:t>.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Usuarios objetivo y dominio.</w:t>
      </w:r>
      <w:r>
        <w:rPr>
          <w:sz w:val="24"/>
          <w:lang w:val="es-EC"/>
        </w:rPr>
        <w:t xml:space="preserve"> Administradores de redes universitarias y de proveedores de Internet (ISP), equipos de operaciones de seguridad y la comunidad académica, en el dominio de la gestión y la seguridad de redes de telecomunicaciones.</w:t>
      </w: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1.2 Alcance de implementación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Dónde se implementaría.</w:t>
      </w:r>
      <w:r>
        <w:rPr>
          <w:sz w:val="24"/>
          <w:lang w:val="es-EC"/>
        </w:rPr>
        <w:t xml:space="preserve"> En el borde de una red institucional o de un ISP, analizando los flujos que exportan los equipos de red. El modelo se entrenó con datos de la red académica nacional checa (CESNET) de 2022 (Hynek et al., 2024).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A cuántas personas afectaría.</w:t>
      </w:r>
      <w:r>
        <w:rPr>
          <w:sz w:val="24"/>
          <w:lang w:val="es-EC"/>
        </w:rPr>
        <w:t xml:space="preserve"> No a quien lo opera, sino a </w:t>
      </w:r>
      <w:r>
        <w:rPr>
          <w:b/>
          <w:sz w:val="24"/>
          <w:lang w:val="es-EC"/>
        </w:rPr>
        <w:t>todas las personas cuyo tráfico atraviesa la red</w:t>
      </w:r>
      <w:r>
        <w:rPr>
          <w:sz w:val="24"/>
          <w:lang w:val="es-EC"/>
        </w:rPr>
        <w:t>: miles en una red universitaria y de cientos de miles a millones en un ISP nacional. Es un sistema de gran escala por naturaleza.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Qué decisiones toma o informa.</w:t>
      </w:r>
      <w:r>
        <w:rPr>
          <w:sz w:val="24"/>
          <w:lang w:val="es-EC"/>
        </w:rPr>
        <w:t xml:space="preserve"> En el prototipo académico, ninguna decisión automática: solo muestra la categoría estimada y su confianza. En un despliegue real informaría la planificación de capacidad, la priorización de tráfico y la detección de anomalías, y podría automatizarlas. </w:t>
      </w:r>
      <w:r>
        <w:rPr>
          <w:b/>
          <w:sz w:val="24"/>
          <w:lang w:val="es-EC"/>
        </w:rPr>
        <w:t>Ese paso, de informar a decidir, concentra los riesgos éticos analizados en este documento.</w:t>
      </w: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2. Análisis de stakeholders</w:t>
      </w:r>
    </w:p>
    <w:p>
      <w:pPr>
        <w:spacing w:before="0" w:after="160" w:line="360" w:lineRule="auto"/>
        <w:ind w:left="405" w:firstLine="720"/>
        <w:jc w:val="both"/>
      </w:pPr>
      <w:r>
        <w:rPr>
          <w:sz w:val="24"/>
          <w:lang w:val="es-EC"/>
        </w:rPr>
        <w:t>Se identificaron seis grupos de interés. La Tabla 1 resume su relación con el sistema y la Tabla 2 responde, para cada uno, las tres preguntas del análisis.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1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Mapa de stakeholders del sistema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1750"/>
        <w:gridCol w:w="2000"/>
        <w:gridCol w:w="1750"/>
        <w:gridCol w:w="1950"/>
        <w:gridCol w:w="1150"/>
      </w:tblGrid>
      <w:tr>
        <w:trPr>
          <w:cantSplit/>
          <w:tblHeader/>
        </w:trPr>
        <w:tc>
          <w:tcPr>
            <w:tcW w:w="17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Stakeholder</w:t>
            </w:r>
          </w:p>
        </w:tc>
        <w:tc>
          <w:tcPr>
            <w:tcW w:w="20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Descripción</w:t>
            </w:r>
          </w:p>
        </w:tc>
        <w:tc>
          <w:tcPr>
            <w:tcW w:w="17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Beneficios</w:t>
            </w:r>
          </w:p>
        </w:tc>
        <w:tc>
          <w:tcPr>
            <w:tcW w:w="19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Riesgos</w:t>
            </w:r>
          </w:p>
        </w:tc>
        <w:tc>
          <w:tcPr>
            <w:tcW w:w="11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Poder/Voz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1. Personas usuarias de la red</w:t>
            </w:r>
          </w:p>
        </w:tc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Quienes navegan, trabajan o se comunican por la red; su tráfico es el que se clasifica</w:t>
            </w:r>
          </w:p>
        </w:tc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Mejor calidad de servicio sin que nadie descifre sus comunicaciones</w:t>
            </w:r>
          </w:p>
        </w:tc>
        <w:tc>
          <w:tcPr>
            <w:tcW w:w="19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Inferencia de hábitos, vigilancia, degradación de los servicios que usan</w:t>
            </w:r>
          </w:p>
        </w:tc>
        <w:tc>
          <w:tcPr>
            <w:tcW w:w="1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Bajo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2. Administradores de red</w:t>
            </w:r>
          </w:p>
        </w:tc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Usuarios directos: operan el sistema y actúan sobre sus resultados</w:t>
            </w:r>
          </w:p>
        </w:tc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Visibilidad del tráfico cifrado; diagnóstico y planificación</w:t>
            </w:r>
          </w:p>
        </w:tc>
        <w:tc>
          <w:tcPr>
            <w:tcW w:w="19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Confiar en clasificaciones erróneas; responder por decisiones automatizadas</w:t>
            </w:r>
          </w:p>
        </w:tc>
        <w:tc>
          <w:tcPr>
            <w:tcW w:w="1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Alto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3. Organización que lo despliega</w:t>
            </w:r>
          </w:p>
        </w:tc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Universidad o ISP: decide si se usa, para qué y con qué controles</w:t>
            </w:r>
          </w:p>
        </w:tc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Eficiencia operativa; ahorro frente a soluciones comerciales</w:t>
            </w:r>
          </w:p>
        </w:tc>
        <w:tc>
          <w:tcPr>
            <w:tcW w:w="19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Sanciones por incumplir la neutralidad de red o la protección de datos</w:t>
            </w:r>
          </w:p>
        </w:tc>
        <w:tc>
          <w:tcPr>
            <w:tcW w:w="1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Alto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4. Proveedores de los servicios clasificados</w:t>
            </w:r>
          </w:p>
        </w:tc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Bancos, plataformas de teletrabajo, mensajería, medios, asistentes de voz</w:t>
            </w:r>
          </w:p>
        </w:tc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Ninguno directo</w:t>
            </w:r>
          </w:p>
        </w:tc>
        <w:tc>
          <w:tcPr>
            <w:tcW w:w="19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Que su servicio sea mal clasificado y, por tanto, degradado</w:t>
            </w:r>
          </w:p>
        </w:tc>
        <w:tc>
          <w:tcPr>
            <w:tcW w:w="1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Medio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5. Reguladores</w:t>
            </w:r>
          </w:p>
        </w:tc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ARCOTEL (Agencia de Regulación y Control de las Telecomunicaciones) y la Autoridad de Protección de Datos Personales</w:t>
            </w:r>
          </w:p>
        </w:tc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Una herramienta compatible con la confidencialidad, bien usada</w:t>
            </w:r>
          </w:p>
        </w:tc>
        <w:tc>
          <w:tcPr>
            <w:tcW w:w="19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Usos indebidos difíciles de detectar desde fuera</w:t>
            </w:r>
          </w:p>
        </w:tc>
        <w:tc>
          <w:tcPr>
            <w:tcW w:w="1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Alto formal, bajo en la práctica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6. Grupos en situación de vulnerabilidad</w:t>
            </w:r>
          </w:p>
        </w:tc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Periodistas, activistas y quienes dependen de servicios minoritarios</w:t>
            </w:r>
          </w:p>
        </w:tc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Los mismos que el grupo 1</w:t>
            </w:r>
          </w:p>
        </w:tc>
        <w:tc>
          <w:tcPr>
            <w:tcW w:w="19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Mayor impacto de la vigilancia y de los errores en servicios minoritarios</w:t>
            </w:r>
          </w:p>
        </w:tc>
        <w:tc>
          <w:tcPr>
            <w:tcW w:w="1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Muy bajo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2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Respuestas a las tres preguntas del análisis por stakeholder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1750"/>
        <w:gridCol w:w="2250"/>
        <w:gridCol w:w="2250"/>
        <w:gridCol w:w="2350"/>
      </w:tblGrid>
      <w:tr>
        <w:trPr>
          <w:cantSplit/>
          <w:tblHeader/>
        </w:trPr>
        <w:tc>
          <w:tcPr>
            <w:tcW w:w="17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Stakeholder</w:t>
            </w:r>
          </w:p>
        </w:tc>
        <w:tc>
          <w:tcPr>
            <w:tcW w:w="22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¿Cómo el sistema afecta su vida o trabajo?</w:t>
            </w:r>
          </w:p>
        </w:tc>
        <w:tc>
          <w:tcPr>
            <w:tcW w:w="22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¿Fue considerado en el diseño?</w:t>
            </w:r>
          </w:p>
        </w:tc>
        <w:tc>
          <w:tcPr>
            <w:tcW w:w="23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¿Cómo se protegen sus intereses?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1. Personas usuarias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Deduce qué servicios usan en cada conexión, aunque no lea el contenido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Sí, en parte: se excluyeron IP, nombres de dominio (SNI), huellas JA3 y sistema autónomo (ASN)</w:t>
            </w:r>
          </w:p>
        </w:tc>
        <w:tc>
          <w:tcPr>
            <w:tcW w:w="2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Minimización de datos y, en despliegue, salida solo agregada (Tabla 7)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2. Administradores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Les da información que hoy no tienen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Sí: la aplicación muestra confianza, desempeño por categoría y límites</w:t>
            </w:r>
          </w:p>
        </w:tc>
        <w:tc>
          <w:tcPr>
            <w:tcW w:w="2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Documentación de límites (deriva y categorías débiles) para evitar la confianza ciega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3. Organización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Asume la responsabilidad legal del tratamiento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Sí: evaluación de seguridad según OWASP y este análisis</w:t>
            </w:r>
          </w:p>
        </w:tc>
        <w:tc>
          <w:tcPr>
            <w:tcW w:w="2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Marco de responsabilidad y cumplimiento (secciones 6 y 7)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4. Proveedores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Un error puede hacer que su servicio sea tratado como otro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No en el diseño original; este análisis revela su exposición</w:t>
            </w:r>
          </w:p>
        </w:tc>
        <w:tc>
          <w:tcPr>
            <w:tcW w:w="2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Monitoreo por categoría y prohibición de priorizar servicios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5. Reguladores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Deben vigilar un uso que ocurre dentro de las redes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Sí, mediante el análisis normativo</w:t>
            </w:r>
          </w:p>
        </w:tc>
        <w:tc>
          <w:tcPr>
            <w:tcW w:w="2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Documentación auditable: ficha del modelo y registro de decisiones</w:t>
            </w:r>
          </w:p>
        </w:tc>
      </w:tr>
      <w:tr>
        <w:trPr>
          <w:cantSplit/>
        </w:trPr>
        <w:tc>
          <w:tcPr>
            <w:tcW w:w="17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6. Grupos vulnerables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Son los más perjudicados por la vigilancia o los errores</w:t>
            </w:r>
          </w:p>
        </w:tc>
        <w:tc>
          <w:tcPr>
            <w:tcW w:w="2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No explícitamente hasta este análisis</w:t>
            </w:r>
          </w:p>
        </w:tc>
        <w:tc>
          <w:tcPr>
            <w:tcW w:w="2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Prohibición de perfilar personas y umbral mínimo de desempeño por categoría</w:t>
            </w:r>
          </w:p>
        </w:tc>
      </w:tr>
    </w:tbl>
    <w:p>
      <w:pPr>
        <w:spacing w:before="0" w:after="0" w:line="240" w:lineRule="auto"/>
      </w:pP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3. Evaluación de impacto social</w:t>
      </w: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3.1 Impactos positivos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3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Impactos positivos del sistema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1800"/>
        <w:gridCol w:w="2650"/>
        <w:gridCol w:w="1650"/>
        <w:gridCol w:w="2500"/>
      </w:tblGrid>
      <w:tr>
        <w:trPr>
          <w:cantSplit/>
          <w:tblHeader/>
        </w:trPr>
        <w:tc>
          <w:tcPr>
            <w:tcW w:w="18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Impacto</w:t>
            </w:r>
          </w:p>
        </w:tc>
        <w:tc>
          <w:tcPr>
            <w:tcW w:w="26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Descripción concreta</w:t>
            </w:r>
          </w:p>
        </w:tc>
        <w:tc>
          <w:tcPr>
            <w:tcW w:w="16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Grupos beneficiados</w:t>
            </w:r>
          </w:p>
        </w:tc>
        <w:tc>
          <w:tcPr>
            <w:tcW w:w="25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Evidencia</w:t>
            </w:r>
          </w:p>
        </w:tc>
      </w:tr>
      <w:tr>
        <w:trPr>
          <w:cantSplit/>
        </w:trPr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1. Gestión sin vulnerar la confidencialidad</w:t>
            </w:r>
          </w:p>
        </w:tc>
        <w:tc>
          <w:tcPr>
            <w:tcW w:w="2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Conocer qué servicios circulan sin descifrar el contenido: menos invasivo que la inspección profunda o la interceptación TLS</w:t>
            </w:r>
          </w:p>
        </w:tc>
        <w:tc>
          <w:tcPr>
            <w:tcW w:w="1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Personas usuarias y administradores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Solo metadatos; F1 macro de 0,903 en datos no vistos; el dataset excluye IP, SNI, JA3 y ASN</w:t>
            </w:r>
          </w:p>
        </w:tc>
      </w:tr>
      <w:tr>
        <w:trPr>
          <w:cantSplit/>
        </w:trPr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2. Acceso para instituciones con pocos recursos</w:t>
            </w:r>
          </w:p>
        </w:tc>
        <w:tc>
          <w:tcPr>
            <w:tcW w:w="2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Código abierto que corre en procesadores comunes, sin depender de soluciones comerciales</w:t>
            </w:r>
          </w:p>
        </w:tc>
        <w:tc>
          <w:tcPr>
            <w:tcW w:w="1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Universidades e ISP pequeños; comunidad académica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0,149 ms por flujo en CPU (67 veces bajo el límite de 10 ms); redes de 0,12 a 0,30 MB</w:t>
            </w:r>
          </w:p>
        </w:tc>
      </w:tr>
      <w:tr>
        <w:trPr>
          <w:cantSplit/>
        </w:trPr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3. Mejor diagnóstico y planificación</w:t>
            </w:r>
          </w:p>
        </w:tc>
        <w:tc>
          <w:tcPr>
            <w:tcW w:w="2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Saber la composición del tráfico ayuda a planificar capacidad y detectar cambios anómalos</w:t>
            </w:r>
          </w:p>
        </w:tc>
        <w:tc>
          <w:tcPr>
            <w:tcW w:w="1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Administradores y, de forma indirecta, todas las personas usuarias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Deriva mensual medida (Jensen-Shannon) y desempeño en noviembre y diciembre</w:t>
            </w:r>
          </w:p>
        </w:tc>
      </w:tr>
      <w:tr>
        <w:trPr>
          <w:cantSplit/>
        </w:trPr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4. Conocimiento abierto y auditable</w:t>
            </w:r>
          </w:p>
        </w:tc>
        <w:tc>
          <w:tcPr>
            <w:tcW w:w="2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Código, muestra, resultados y aplicación web publicados permiten auditar y replicar</w:t>
            </w:r>
          </w:p>
        </w:tc>
        <w:tc>
          <w:tcPr>
            <w:tcW w:w="16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Academia, reguladores y estudiantes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Repositorio con 72 pruebas automáticas, informe de seguridad y aplicación pública</w:t>
            </w:r>
          </w:p>
        </w:tc>
      </w:tr>
    </w:tbl>
    <w:p>
      <w:pPr>
        <w:spacing w:before="0" w:after="0" w:line="240" w:lineRule="auto"/>
      </w:pP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3.2 Impactos negativos y riesgos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4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Impactos negativos y riesgos, con severidad y probabilidad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1550"/>
        <w:gridCol w:w="3050"/>
        <w:gridCol w:w="1400"/>
        <w:gridCol w:w="1250"/>
        <w:gridCol w:w="1350"/>
      </w:tblGrid>
      <w:tr>
        <w:trPr>
          <w:cantSplit/>
          <w:tblHeader/>
        </w:trPr>
        <w:tc>
          <w:tcPr>
            <w:tcW w:w="15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Riesgo</w:t>
            </w:r>
          </w:p>
        </w:tc>
        <w:tc>
          <w:tcPr>
            <w:tcW w:w="30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Descripción</w:t>
            </w:r>
          </w:p>
        </w:tc>
        <w:tc>
          <w:tcPr>
            <w:tcW w:w="14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Grupos vulnerables</w:t>
            </w:r>
          </w:p>
        </w:tc>
        <w:tc>
          <w:tcPr>
            <w:tcW w:w="12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Severidad</w:t>
            </w:r>
          </w:p>
        </w:tc>
        <w:tc>
          <w:tcPr>
            <w:tcW w:w="13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Probabilidad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1. Vigilancia y doble uso</w:t>
            </w:r>
          </w:p>
        </w:tc>
        <w:tc>
          <w:tcPr>
            <w:tcW w:w="30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Saber, sin orden judicial, que una persona usa banca en línea, mensajería o videoconferencia, y cuándo; con la IP, que un ISP conoce, se vuelve un perfil de hábitos (Constitución, art. 66, num. 20 y 21)</w:t>
            </w:r>
          </w:p>
        </w:tc>
        <w:tc>
          <w:tcPr>
            <w:tcW w:w="14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Personas usuarias, periodistas y activistas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Alta</w:t>
            </w:r>
          </w:p>
        </w:tc>
        <w:tc>
          <w:tcPr>
            <w:tcW w:w="1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Media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2. Discriminación de servicios</w:t>
            </w:r>
          </w:p>
        </w:tc>
        <w:tc>
          <w:tcPr>
            <w:tcW w:w="30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Usar la clasificación para priorizar unos servicios y degradar otros, prohibido por la Ley Orgánica de Telecomunicaciones (LOT, art. 24, num. 17)</w:t>
            </w:r>
          </w:p>
        </w:tc>
        <w:tc>
          <w:tcPr>
            <w:tcW w:w="14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Proveedores de servicios y sus usuarios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Alta</w:t>
            </w:r>
          </w:p>
        </w:tc>
        <w:tc>
          <w:tcPr>
            <w:tcW w:w="1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Media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3. Errores desiguales entre servicios</w:t>
            </w:r>
          </w:p>
        </w:tc>
        <w:tc>
          <w:tcPr>
            <w:tcW w:w="30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Los servicios peor clasificados sufrirían más errores en cualquier decisión automática (sección 3.3)</w:t>
            </w:r>
          </w:p>
        </w:tc>
        <w:tc>
          <w:tcPr>
            <w:tcW w:w="14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Usuarios de servicios minoritarios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Media</w:t>
            </w:r>
          </w:p>
        </w:tc>
        <w:tc>
          <w:tcPr>
            <w:tcW w:w="1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Alta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4. Degradación silenciosa por deriva</w:t>
            </w:r>
          </w:p>
        </w:tc>
        <w:tc>
          <w:tcPr>
            <w:tcW w:w="30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El F1 macro cae de 0,903 en octubre a 0,856 en diciembre; sin monitoreo, los errores crecen sin que nadie lo note</w:t>
            </w:r>
          </w:p>
        </w:tc>
        <w:tc>
          <w:tcPr>
            <w:tcW w:w="14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Todos los grupos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Media</w:t>
            </w:r>
          </w:p>
        </w:tc>
        <w:tc>
          <w:tcPr>
            <w:tcW w:w="13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Alta</w:t>
            </w:r>
          </w:p>
        </w:tc>
      </w:tr>
    </w:tbl>
    <w:p>
      <w:pPr>
        <w:spacing w:before="0" w:after="0" w:line="240" w:lineRule="auto"/>
      </w:pP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3.3 Análisis de equidad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¿El sistema reduce o aumenta desigualdades existentes?</w:t>
      </w:r>
      <w:r>
        <w:rPr>
          <w:sz w:val="24"/>
          <w:lang w:val="es-EC"/>
        </w:rPr>
        <w:t xml:space="preserve"> Depende del modelo y del uso. La evaluación desagregada por categoría, que Mitchell et al. (2019) recomiendan para las fichas de modelos, muestra que el F1 macro oculta diferencias importantes (Tabla 5).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5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Equidad del desempeño entre las 23 categorías (prueba de octubre de 2022)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1700"/>
        <w:gridCol w:w="1200"/>
        <w:gridCol w:w="2500"/>
        <w:gridCol w:w="1600"/>
        <w:gridCol w:w="1600"/>
      </w:tblGrid>
      <w:tr>
        <w:trPr>
          <w:cantSplit/>
          <w:tblHeader/>
        </w:trPr>
        <w:tc>
          <w:tcPr>
            <w:tcW w:w="17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Modelo</w:t>
            </w:r>
          </w:p>
        </w:tc>
        <w:tc>
          <w:tcPr>
            <w:tcW w:w="12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F1 macro</w:t>
            </w:r>
          </w:p>
        </w:tc>
        <w:tc>
          <w:tcPr>
            <w:tcW w:w="25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Peor categoría</w:t>
            </w:r>
          </w:p>
        </w:tc>
        <w:tc>
          <w:tcPr>
            <w:tcW w:w="16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Brecha mejor − peor</w:t>
            </w:r>
          </w:p>
        </w:tc>
        <w:tc>
          <w:tcPr>
            <w:tcW w:w="16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Categorías con F1 &lt; 0,70</w:t>
            </w:r>
          </w:p>
        </w:tc>
      </w:tr>
      <w:tr>
        <w:trPr>
          <w:cantSplit/>
        </w:trPr>
        <w:tc>
          <w:tcPr>
            <w:tcW w:w="1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XGBoost</w:t>
            </w:r>
          </w:p>
        </w:tc>
        <w:tc>
          <w:tcPr>
            <w:tcW w:w="12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0,903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Media (0,830)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15,6 puntos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0</w:t>
            </w:r>
          </w:p>
        </w:tc>
      </w:tr>
      <w:tr>
        <w:trPr>
          <w:cantSplit/>
        </w:trPr>
        <w:tc>
          <w:tcPr>
            <w:tcW w:w="1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Random Forest</w:t>
            </w:r>
          </w:p>
        </w:tc>
        <w:tc>
          <w:tcPr>
            <w:tcW w:w="12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0,860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Information systems (0,732)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25,0 puntos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0</w:t>
            </w:r>
          </w:p>
        </w:tc>
      </w:tr>
      <w:tr>
        <w:trPr>
          <w:cantSplit/>
        </w:trPr>
        <w:tc>
          <w:tcPr>
            <w:tcW w:w="1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Transformer</w:t>
            </w:r>
          </w:p>
        </w:tc>
        <w:tc>
          <w:tcPr>
            <w:tcW w:w="12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0,833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Virtual assistant (0,558)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39,9 puntos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3</w:t>
            </w:r>
          </w:p>
        </w:tc>
      </w:tr>
      <w:tr>
        <w:trPr>
          <w:cantSplit/>
        </w:trPr>
        <w:tc>
          <w:tcPr>
            <w:tcW w:w="1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CNN 1D</w:t>
            </w:r>
          </w:p>
        </w:tc>
        <w:tc>
          <w:tcPr>
            <w:tcW w:w="12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0,801</w:t>
            </w:r>
          </w:p>
        </w:tc>
        <w:tc>
          <w:tcPr>
            <w:tcW w:w="25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Virtual assistant (0,484)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48,6 puntos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3</w:t>
            </w:r>
          </w:p>
        </w:tc>
      </w:tr>
    </w:tbl>
    <w:p>
      <w:pPr>
        <w:spacing w:before="0" w:after="0" w:line="240" w:lineRule="auto"/>
      </w:pP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Distribución de beneficios y de riesgos.</w:t>
      </w:r>
      <w:r>
        <w:rPr>
          <w:sz w:val="24"/>
          <w:lang w:val="es-EC"/>
        </w:rPr>
        <w:t xml:space="preserve"> Se benefician más los servicios con patrones distintivos (notificaciones, actualizaciones, telemetría: F1 superior a 0,96). Los riesgos recaen sobre los servicios con pocos datos: las tres categorías más pequeñas de la prueba (asistentes virtuales, 896 flujos; escritorio remoto, 963; banca en línea, 3 581) son las tres peores del Transformer (0,558, 0,571 y 0,641) y de la CNN (0,484, 0,649 y 0,625), aunque XGBoost las clasifica bien (0,881, 0,901 y 0,880), y </w:t>
      </w:r>
      <w:r>
        <w:rPr>
          <w:b/>
          <w:sz w:val="24"/>
          <w:lang w:val="es-EC"/>
        </w:rPr>
        <w:t>a pesar de los pesos por clase</w:t>
      </w:r>
      <w:r>
        <w:rPr>
          <w:sz w:val="24"/>
          <w:lang w:val="es-EC"/>
        </w:rPr>
        <w:t xml:space="preserve"> del entrenamiento. Son servicios de impacto social: acceso financiero, teletrabajo y, como hipótesis a confirmar con datos de uso, accesibilidad para quienes dependen de asistentes de voz.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Acceso y barreras.</w:t>
      </w:r>
      <w:r>
        <w:rPr>
          <w:sz w:val="24"/>
          <w:lang w:val="es-EC"/>
        </w:rPr>
        <w:t xml:space="preserve"> El sistema no condiciona el acceso a la red, pero quien use servicios mal clasificados tendría peor servicio sin saber por qué. Además, el modelo aprendió del tráfico checo de 2022: los servicios locales ecuatorianos (bancos, gobierno electrónico, plataformas regionales) no están representados. </w:t>
      </w:r>
      <w:r>
        <w:rPr>
          <w:b/>
          <w:sz w:val="24"/>
          <w:lang w:val="es-EC"/>
        </w:rPr>
        <w:t>Desplegarlo en Ecuador sin reentrenarlo con datos locales aumentaría la desigualdad.</w:t>
      </w:r>
      <w:r>
        <w:rPr>
          <w:sz w:val="24"/>
          <w:lang w:val="es-EC"/>
        </w:rPr>
        <w:t xml:space="preserve"> Con XGBoost, monitoreo por categoría y uso agregado, el sistema no amplía desigualdades; con las redes actuales o para priorizar servicios, sí lo haría.</w:t>
      </w: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4. Riesgos éticos específicos</w:t>
      </w:r>
    </w:p>
    <w:p>
      <w:pPr>
        <w:spacing w:before="0" w:after="160" w:line="360" w:lineRule="auto"/>
        <w:ind w:left="405" w:firstLine="720"/>
        <w:jc w:val="both"/>
      </w:pPr>
      <w:r>
        <w:rPr>
          <w:sz w:val="24"/>
          <w:lang w:val="es-EC"/>
        </w:rPr>
        <w:t>Se analizan seis riesgos, uno por cada dimensión del checklist; la columna de evidencia responde además sus preguntas. El sistema no clasifica personas por género, raza o edad, por lo que esa discriminación no aplica: el sesgo pertinente es entre servicios.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6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Riesgos éticos específicos del sistema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1550"/>
        <w:gridCol w:w="1800"/>
        <w:gridCol w:w="2700"/>
        <w:gridCol w:w="1100"/>
        <w:gridCol w:w="1450"/>
      </w:tblGrid>
      <w:tr>
        <w:trPr>
          <w:cantSplit/>
          <w:tblHeader/>
        </w:trPr>
        <w:tc>
          <w:tcPr>
            <w:tcW w:w="15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Riesgo (dimensión)</w:t>
            </w:r>
          </w:p>
        </w:tc>
        <w:tc>
          <w:tcPr>
            <w:tcW w:w="18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Descripción en el proyecto</w:t>
            </w:r>
          </w:p>
        </w:tc>
        <w:tc>
          <w:tcPr>
            <w:tcW w:w="27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Evidencia y respuesta al checklist</w:t>
            </w:r>
          </w:p>
        </w:tc>
        <w:tc>
          <w:tcPr>
            <w:tcW w:w="11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Severidad</w:t>
            </w:r>
          </w:p>
        </w:tc>
        <w:tc>
          <w:tcPr>
            <w:tcW w:w="14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Grupo afectado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R1. Desempeño desigual entre servicios (fairness y sesgo)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El modelo clasifica peor algunos servicios, y esos errores pasarían a las decisiones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 xml:space="preserve">Brecha de 15,6 a 48,6 puntos de F1; tres categorías &lt; 0,70 en las redes. Datos </w:t>
            </w:r>
            <w:r>
              <w:rPr>
                <w:b/>
                <w:sz w:val="17"/>
                <w:lang w:val="es-EC"/>
              </w:rPr>
              <w:t>no</w:t>
            </w:r>
            <w:r>
              <w:rPr>
                <w:sz w:val="17"/>
                <w:lang w:val="es-EC"/>
              </w:rPr>
              <w:t xml:space="preserve"> balanceados (145:1); </w:t>
            </w:r>
            <w:r>
              <w:rPr>
                <w:b/>
                <w:sz w:val="17"/>
                <w:lang w:val="es-EC"/>
              </w:rPr>
              <w:t>sí</w:t>
            </w:r>
            <w:r>
              <w:rPr>
                <w:sz w:val="17"/>
                <w:lang w:val="es-EC"/>
              </w:rPr>
              <w:t xml:space="preserve"> se evaluó la equidad por categoría</w:t>
            </w:r>
          </w:p>
        </w:tc>
        <w:tc>
          <w:tcPr>
            <w:tcW w:w="1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Media</w:t>
            </w:r>
          </w:p>
        </w:tc>
        <w:tc>
          <w:tcPr>
            <w:tcW w:w="14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Proveedores y usuarios de servicios minoritarios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R2. Inferencia de hábitos y reidentificación (privacidad)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 xml:space="preserve">Aplicado al tráfico de una persona, revela qué servicios usa y cuándo: es </w:t>
            </w:r>
            <w:r>
              <w:rPr>
                <w:b/>
                <w:sz w:val="17"/>
                <w:lang w:val="es-EC"/>
              </w:rPr>
              <w:t>elaboración de perfiles</w:t>
            </w:r>
            <w:r>
              <w:rPr>
                <w:sz w:val="17"/>
                <w:lang w:val="es-EC"/>
              </w:rPr>
              <w:t xml:space="preserve"> (Ley Orgánica de Protección de Datos Personales, LOPDP, art. 4)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Distingue banca, correo y mensajería con F1 de 0,87 a 0,92. Las IP, incluso dinámicas, son datos personales (Tribunal de Justicia de la UE, asunto C-582/14, 2016). Sin datos personales en el proyecto (dataset anonimizado); sin consentimiento en un despliegue; reidentificación posible al asociar resultados e IP</w:t>
            </w:r>
          </w:p>
        </w:tc>
        <w:tc>
          <w:tcPr>
            <w:tcW w:w="1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Alta</w:t>
            </w:r>
          </w:p>
        </w:tc>
        <w:tc>
          <w:tcPr>
            <w:tcW w:w="14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Personas usuarias, sobre todo periodistas y activistas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R3. Opacidad del modelo y de su uso (transparencia)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XGBoost combina miles de árboles de decisión; las personas usuarias no saben que su tráfico se clasifica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Sin explicaciones por predicción todavía (por ejemplo, SHAP, basadas en valores de Shapley). Sí se comunican los límites (páginas Seguridad y Diagnóstico) y la documentación es pública</w:t>
            </w:r>
          </w:p>
        </w:tc>
        <w:tc>
          <w:tcPr>
            <w:tcW w:w="1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Media</w:t>
            </w:r>
          </w:p>
        </w:tc>
        <w:tc>
          <w:tcPr>
            <w:tcW w:w="14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Administradores y personas usuarias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R4. Decisiones automatizadas sin supervisión (autonomía)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Conectar la clasificación a reglas de priorización o bloqueo trataría distinto el tráfico sin intervención humana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Derecho a no ser objeto de decisiones automatizadas, con explicación e impugnación (LOPDP, art. 20). En el prototipo el usuario controla todo y nada se manipula; en un despliegue falta la supervisión humana</w:t>
            </w:r>
          </w:p>
        </w:tc>
        <w:tc>
          <w:tcPr>
            <w:tcW w:w="1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Alta</w:t>
            </w:r>
          </w:p>
        </w:tc>
        <w:tc>
          <w:tcPr>
            <w:tcW w:w="14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Personas usuarias y proveedores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R5. Fallos por deriva y evasión (seguridad)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El modelo pierde precisión con el tiempo y podría ser engañado alterando el patrón de los paquetes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F1 de 0,903 a 0,856 en dos meses; evasión no evaluada. Hay controles en la aplicación (validación de entradas, huella SHA-256 del modelo, manejo seguro de errores), pero no monitoreo de deriva en producción</w:t>
            </w:r>
          </w:p>
        </w:tc>
        <w:tc>
          <w:tcPr>
            <w:tcW w:w="1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Media</w:t>
            </w:r>
          </w:p>
        </w:tc>
        <w:tc>
          <w:tcPr>
            <w:tcW w:w="14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Todos los grupos</w:t>
            </w:r>
          </w:p>
        </w:tc>
      </w:tr>
      <w:tr>
        <w:trPr>
          <w:cantSplit/>
        </w:trPr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R6. Doble uso sin responsable (accountability)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La licencia MIT permite cualquier uso, incluida la vigilancia; no hay responsable del uso ni proceso de apelación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El Reglamento de Inteligencia Artificial de la UE (AI Act) considera de alto riesgo, en las áreas de su Anexo III, a los sistemas que perfilan personas (Reglamento (UE) 2024/1689, art. 6.3): el riesgo depende del uso. Auditoría limitada a la seguridad del prototipo</w:t>
            </w:r>
          </w:p>
        </w:tc>
        <w:tc>
          <w:tcPr>
            <w:tcW w:w="1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Alta</w:t>
            </w:r>
          </w:p>
        </w:tc>
        <w:tc>
          <w:tcPr>
            <w:tcW w:w="14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Personas usuarias y sociedad</w:t>
            </w:r>
          </w:p>
        </w:tc>
      </w:tr>
    </w:tbl>
    <w:p>
      <w:pPr>
        <w:spacing w:before="0" w:after="0" w:line="240" w:lineRule="auto"/>
      </w:pP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5. Estrategias de mitigación</w:t>
      </w:r>
    </w:p>
    <w:p>
      <w:pPr>
        <w:spacing w:before="0" w:after="160" w:line="360" w:lineRule="auto"/>
        <w:ind w:left="405" w:firstLine="720"/>
        <w:jc w:val="both"/>
      </w:pPr>
      <w:r>
        <w:rPr>
          <w:sz w:val="24"/>
          <w:lang w:val="es-EC"/>
        </w:rPr>
        <w:t>La Tabla 7 propone una estrategia por riesgo, con los campos de la plantilla del workshop. Las de prioridad alta (R1, R2, R4 y la ficha del modelo de R3) se implementarán antes del proyecto final.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7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Estrategias de mitigación por riesgo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850"/>
        <w:gridCol w:w="1800"/>
        <w:gridCol w:w="1000"/>
        <w:gridCol w:w="2150"/>
        <w:gridCol w:w="1550"/>
        <w:gridCol w:w="1250"/>
      </w:tblGrid>
      <w:tr>
        <w:trPr>
          <w:cantSplit/>
          <w:tblHeader/>
        </w:trPr>
        <w:tc>
          <w:tcPr>
            <w:tcW w:w="8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Riesgo</w:t>
            </w:r>
          </w:p>
        </w:tc>
        <w:tc>
          <w:tcPr>
            <w:tcW w:w="18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Estrategia propuesta</w:t>
            </w:r>
          </w:p>
        </w:tc>
        <w:tc>
          <w:tcPr>
            <w:tcW w:w="10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Tipo</w:t>
            </w:r>
          </w:p>
        </w:tc>
        <w:tc>
          <w:tcPr>
            <w:tcW w:w="21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Implementación (pasos)</w:t>
            </w:r>
          </w:p>
        </w:tc>
        <w:tc>
          <w:tcPr>
            <w:tcW w:w="15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Cuándo / responsable</w:t>
            </w:r>
          </w:p>
        </w:tc>
        <w:tc>
          <w:tcPr>
            <w:tcW w:w="125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Efectividad</w:t>
            </w:r>
          </w:p>
        </w:tc>
      </w:tr>
      <w:tr>
        <w:trPr>
          <w:cantSplit/>
        </w:trPr>
        <w:tc>
          <w:tcPr>
            <w:tcW w:w="8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R1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F1 de la peor categoría como métrica obligatoria (umbral 0,80); desplegar solo modelos que lo cumplan; abstenerse cuando la confianza es baja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Técnica</w:t>
            </w:r>
          </w:p>
        </w:tc>
        <w:tc>
          <w:tcPr>
            <w:tcW w:w="2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1) Reportar el F1 por categoría en cada versión. 2) Calibrar en validación el umbral de abstención. 3) Reentrenar las redes con sobremuestreo</w:t>
            </w:r>
          </w:p>
        </w:tc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Antes del despliegue y en cada reentrenamiento / científico de datos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Alta</w:t>
            </w:r>
          </w:p>
        </w:tc>
      </w:tr>
      <w:tr>
        <w:trPr>
          <w:cantSplit/>
        </w:trPr>
        <w:tc>
          <w:tcPr>
            <w:tcW w:w="8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R2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Limitación de finalidad y salida solo agregada, sin conservar la asociación IP–categoría; prohibición de perfilar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Técnica, política y diseño</w:t>
            </w:r>
          </w:p>
        </w:tc>
        <w:tc>
          <w:tcPr>
            <w:tcW w:w="2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1) Salida como proporciones por intervalo (p. ej., 5 min). 2) Política de uso que prohíba perfilar y usar el patrón de consumo (LOT, art. 82). 3) Evaluación de impacto (LOPDP, art. 42)</w:t>
            </w:r>
          </w:p>
        </w:tc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Antes del despliegue / organización (delegado de protección de datos) y desarrollador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Alta</w:t>
            </w:r>
          </w:p>
        </w:tc>
      </w:tr>
      <w:tr>
        <w:trPr>
          <w:cantSplit/>
        </w:trPr>
        <w:tc>
          <w:tcPr>
            <w:tcW w:w="8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R3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Ficha del modelo con usos previstos y prohibidos; explicaciones SHAP; aviso de privacidad del operador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Técnica y educación</w:t>
            </w:r>
          </w:p>
        </w:tc>
        <w:tc>
          <w:tcPr>
            <w:tcW w:w="2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1) Ficha del modelo en el repositorio. 2) SHAP en la página Clasificar. 3) Aviso de privacidad obligatorio en la política de uso</w:t>
            </w:r>
          </w:p>
        </w:tc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Antes del proyecto final / desarrollador; aviso, organización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Media</w:t>
            </w:r>
          </w:p>
        </w:tc>
      </w:tr>
      <w:tr>
        <w:trPr>
          <w:cantSplit/>
        </w:trPr>
        <w:tc>
          <w:tcPr>
            <w:tcW w:w="8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R4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Supervisión humana obligatoria: el sistema solo recomienda; canal de reclamos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Política y diseño</w:t>
            </w:r>
          </w:p>
        </w:tc>
        <w:tc>
          <w:tcPr>
            <w:tcW w:w="2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1) No conectar la clasificación a reglas de priorización o bloqueo. 2) Registrar cada decisión con su justificación. 3) Reclamos respondidos en 10 días (LOPDP, art. 62)</w:t>
            </w:r>
          </w:p>
        </w:tc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Antes del despliegue / responsable del servicio de red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Alta</w:t>
            </w:r>
          </w:p>
        </w:tc>
      </w:tr>
      <w:tr>
        <w:trPr>
          <w:cantSplit/>
        </w:trPr>
        <w:tc>
          <w:tcPr>
            <w:tcW w:w="8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R5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Monitoreo continuo, reentrenamiento periódico y pruebas de robustez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Técnica</w:t>
            </w:r>
          </w:p>
        </w:tc>
        <w:tc>
          <w:tcPr>
            <w:tcW w:w="2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1) Medir cada mes la deriva y el F1 en una muestra etiquetada; alerta si cae más de 3 puntos. 2) Reentrenar cada trimestre, adoptando solo versiones que mejoren en validación. 3) Simular evasión (relleno y alteración de tiempos)</w:t>
            </w:r>
          </w:p>
        </w:tc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Continuo / científico de datos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Media</w:t>
            </w:r>
          </w:p>
        </w:tc>
      </w:tr>
      <w:tr>
        <w:trPr>
          <w:cantSplit/>
        </w:trPr>
        <w:tc>
          <w:tcPr>
            <w:tcW w:w="8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R6</w:t>
            </w:r>
          </w:p>
        </w:tc>
        <w:tc>
          <w:tcPr>
            <w:tcW w:w="18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Declaración de uso responsable con usos prohibidos (vigilancia, perfilado, priorización comercial) y canal de reporte</w:t>
            </w:r>
          </w:p>
        </w:tc>
        <w:tc>
          <w:tcPr>
            <w:tcW w:w="1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Política y educación</w:t>
            </w:r>
          </w:p>
        </w:tc>
        <w:tc>
          <w:tcPr>
            <w:tcW w:w="21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1) Documento de uso responsable enlazado desde la aplicación. 2) Evaluar una licencia con cláusulas de uso responsable. 3) Reportes mediante los issues del repositorio</w:t>
            </w:r>
          </w:p>
        </w:tc>
        <w:tc>
          <w:tcPr>
            <w:tcW w:w="15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Inmediato / autor</w:t>
            </w:r>
          </w:p>
        </w:tc>
        <w:tc>
          <w:tcPr>
            <w:tcW w:w="125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Media</w:t>
            </w:r>
          </w:p>
        </w:tc>
      </w:tr>
    </w:tbl>
    <w:p>
      <w:pPr>
        <w:spacing w:before="0" w:after="0" w:line="240" w:lineRule="auto"/>
      </w:pP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6. Framework de responsabilidad</w:t>
      </w:r>
    </w:p>
    <w:p>
      <w:pPr>
        <w:spacing w:before="0" w:after="160" w:line="360" w:lineRule="auto"/>
        <w:ind w:left="405" w:firstLine="720"/>
        <w:jc w:val="both"/>
      </w:pPr>
      <w:r>
        <w:rPr>
          <w:sz w:val="24"/>
          <w:lang w:val="es-EC"/>
        </w:rPr>
        <w:t xml:space="preserve">El marco sigue las cuatro funciones del AI RMF del NIST (2023): </w:t>
      </w:r>
      <w:r>
        <w:rPr>
          <w:b/>
          <w:sz w:val="24"/>
          <w:lang w:val="es-EC"/>
        </w:rPr>
        <w:t>gobernar</w:t>
      </w:r>
      <w:r>
        <w:rPr>
          <w:sz w:val="24"/>
          <w:lang w:val="es-EC"/>
        </w:rPr>
        <w:t xml:space="preserve"> (roles y políticas, 6.1), </w:t>
      </w:r>
      <w:r>
        <w:rPr>
          <w:b/>
          <w:sz w:val="24"/>
          <w:lang w:val="es-EC"/>
        </w:rPr>
        <w:t>mapear</w:t>
      </w:r>
      <w:r>
        <w:rPr>
          <w:sz w:val="24"/>
          <w:lang w:val="es-EC"/>
        </w:rPr>
        <w:t xml:space="preserve"> (contexto y riesgos, secciones 1 a 4), </w:t>
      </w:r>
      <w:r>
        <w:rPr>
          <w:b/>
          <w:sz w:val="24"/>
          <w:lang w:val="es-EC"/>
        </w:rPr>
        <w:t>medir</w:t>
      </w:r>
      <w:r>
        <w:rPr>
          <w:sz w:val="24"/>
          <w:lang w:val="es-EC"/>
        </w:rPr>
        <w:t xml:space="preserve"> (monitoreo, 6.2) y </w:t>
      </w:r>
      <w:r>
        <w:rPr>
          <w:b/>
          <w:sz w:val="24"/>
          <w:lang w:val="es-EC"/>
        </w:rPr>
        <w:t>gestionar</w:t>
      </w:r>
      <w:r>
        <w:rPr>
          <w:sz w:val="24"/>
          <w:lang w:val="es-EC"/>
        </w:rPr>
        <w:t xml:space="preserve"> (mitigación y respuesta, sección 5 y 6.3).</w:t>
      </w: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6.1 Cadena de responsabilidad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8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Cadena de responsabilidad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2600"/>
        <w:gridCol w:w="3000"/>
        <w:gridCol w:w="3000"/>
      </w:tblGrid>
      <w:tr>
        <w:trPr>
          <w:cantSplit/>
          <w:tblHeader/>
        </w:trPr>
        <w:tc>
          <w:tcPr>
            <w:tcW w:w="26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Rol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Responsabilidades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Rendición de cuentas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Desarrollador (el autor)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Implementación correcta, seguridad de la aplicación, documentación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Revisión de código, 72 pruebas automáticas, informe de seguridad OWASP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Científico de datos (el autor)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Calidad de los datos, evaluación por categoría, control de la deriva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Versiones decididas en validación; F1 por categoría en cada versión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Product owner (responsable del servicio de red)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Finalidad del uso; aprobación de decisiones sobre el tráfico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Registro de decisiones y de los compromisos entre objetivos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Organización (UEES; en despliegue, universidad o ISP)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Gobierno, recursos y cumplimiento normativo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Políticas de uso, evaluación de impacto, auditorías</w:t>
            </w:r>
          </w:p>
        </w:tc>
      </w:tr>
      <w:tr>
        <w:trPr>
          <w:cantSplit/>
        </w:trPr>
        <w:tc>
          <w:tcPr>
            <w:tcW w:w="2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Reguladores (ARCOTEL y Autoridad de Protección de Datos)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Supervisión del secreto de las comunicaciones y de los datos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Inspecciones y sanciones según la ley</w:t>
            </w:r>
          </w:p>
        </w:tc>
      </w:tr>
    </w:tbl>
    <w:p>
      <w:pPr>
        <w:spacing w:before="0" w:after="0" w:line="240" w:lineRule="auto"/>
      </w:pP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6.2 Mecanismos de accountability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9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Mecanismos de accountability y su estado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1900"/>
        <w:gridCol w:w="2700"/>
        <w:gridCol w:w="4000"/>
      </w:tblGrid>
      <w:tr>
        <w:trPr>
          <w:cantSplit/>
          <w:tblHeader/>
        </w:trPr>
        <w:tc>
          <w:tcPr>
            <w:tcW w:w="19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Ámbito</w:t>
            </w:r>
          </w:p>
        </w:tc>
        <w:tc>
          <w:tcPr>
            <w:tcW w:w="27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Mecanismo</w:t>
            </w:r>
          </w:p>
        </w:tc>
        <w:tc>
          <w:tcPr>
            <w:tcW w:w="40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Estado en el proyecto</w:t>
            </w:r>
          </w:p>
        </w:tc>
      </w:tr>
      <w:tr>
        <w:trPr>
          <w:cantSplit/>
        </w:trPr>
        <w:tc>
          <w:tcPr>
            <w:tcW w:w="1900" w:type="dxa"/>
            <w:vMerge w:val="restart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Documentación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Ficha del modelo (model card)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Pendiente, prioridad alta (R3)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Ficha del dataset (datasheet)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Cumplido: publicación original del dataset (Hynek et al., 2024; ver Gebru et al., 2021) y análisis exploratorio de datos (EDA) del proyecto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Declaración ética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Cumplido: este documento; el dataset tiene aprobación de un comité de ética</w:t>
            </w:r>
          </w:p>
        </w:tc>
      </w:tr>
      <w:tr>
        <w:trPr>
          <w:cantSplit/>
        </w:trPr>
        <w:tc>
          <w:tcPr>
            <w:tcW w:w="1900" w:type="dxa"/>
            <w:vMerge w:val="restart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Supervisión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Revisión humana en decisiones críticas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Cumplido en el prototipo (sin decisiones automáticas); obligatoria en despliegue (R4)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Proceso de apelación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Propuesto: reclamos respondidos en 10 días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Auditoría periódica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Propuesta: trimestral, junto con el reentrenamiento</w:t>
            </w:r>
          </w:p>
        </w:tc>
      </w:tr>
      <w:tr>
        <w:trPr>
          <w:cantSplit/>
        </w:trPr>
        <w:tc>
          <w:tcPr>
            <w:tcW w:w="1900" w:type="dxa"/>
            <w:vMerge w:val="restart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Monitoreo continuo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Métricas de fairness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F1 por categoría en cada versión; seguimiento mensual en despliegue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Alertas por deriva o anomalías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Deriva medida en el EDA y el diagnóstico; alertas propuestas (R5)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Reportes de incidentes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Propuesto (sección 6.3)</w:t>
            </w:r>
          </w:p>
        </w:tc>
      </w:tr>
      <w:tr>
        <w:trPr>
          <w:cantSplit/>
        </w:trPr>
        <w:tc>
          <w:tcPr>
            <w:tcW w:w="1900" w:type="dxa"/>
            <w:vMerge w:val="restart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Transparencia</w:t>
            </w: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Información sobre el uso de IA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Página Seguridad de la aplicación; aviso del operador en despliegue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Comunicación de limitaciones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Cumplido: páginas Diagnóstico y Conclusiones; informes técnicos</w:t>
            </w:r>
          </w:p>
        </w:tc>
      </w:tr>
      <w:tr>
        <w:trPr>
          <w:cantSplit/>
        </w:trPr>
        <w:tc>
          <w:tcPr>
            <w:tcW w:w="1900" w:type="dxa"/>
            <w:vMerge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Explicaciones de decisiones</w:t>
            </w:r>
          </w:p>
        </w:tc>
        <w:tc>
          <w:tcPr>
            <w:tcW w:w="4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Pendiente: SHAP por predicción (R3)</w:t>
            </w:r>
          </w:p>
        </w:tc>
      </w:tr>
    </w:tbl>
    <w:p>
      <w:pPr>
        <w:spacing w:before="0" w:after="0" w:line="240" w:lineRule="auto"/>
      </w:pP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6.3 Plan de respuesta a incidentes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10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Plan de respuesta a incidentes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2000"/>
        <w:gridCol w:w="6600"/>
      </w:tblGrid>
      <w:tr>
        <w:trPr>
          <w:cantSplit/>
          <w:tblHeader/>
        </w:trPr>
        <w:tc>
          <w:tcPr>
            <w:tcW w:w="20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Fase</w:t>
            </w:r>
          </w:p>
        </w:tc>
        <w:tc>
          <w:tcPr>
            <w:tcW w:w="66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lang w:val="es-EC"/>
              </w:rPr>
              <w:t>Acciones</w:t>
            </w:r>
          </w:p>
        </w:tc>
      </w:tr>
      <w:tr>
        <w:trPr>
          <w:cantSplit/>
        </w:trPr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1. Detección</w:t>
            </w:r>
          </w:p>
        </w:tc>
        <w:tc>
          <w:tcPr>
            <w:tcW w:w="6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Alertas de deriva o de caída del F1 por categoría, reclamos de usuarios o proveedores, auditoría trimestral</w:t>
            </w:r>
          </w:p>
        </w:tc>
      </w:tr>
      <w:tr>
        <w:trPr>
          <w:cantSplit/>
        </w:trPr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2. Respuesta inmediata</w:t>
            </w:r>
          </w:p>
        </w:tc>
        <w:tc>
          <w:tcPr>
            <w:tcW w:w="6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Suspender el uso del modelo para decisiones (modo solo de observación). Si hubo vulneración de datos personales, notificar a la Autoridad de Protección de Datos y a ARCOTEL en máximo 5 días (LOPDP, art. 43) y a los afectados en 3 días si hay riesgo para sus derechos (art. 46)</w:t>
            </w:r>
          </w:p>
        </w:tc>
      </w:tr>
      <w:tr>
        <w:trPr>
          <w:cantSplit/>
        </w:trPr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3. Investigación</w:t>
            </w:r>
          </w:p>
        </w:tc>
        <w:tc>
          <w:tcPr>
            <w:tcW w:w="6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Reproducir el problema con la versión exacta del modelo (huella SHA-256) y determinar si la causa es la deriva, un sesgo por categoría o un ataque</w:t>
            </w:r>
          </w:p>
        </w:tc>
      </w:tr>
      <w:tr>
        <w:trPr>
          <w:cantSplit/>
        </w:trPr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4. Corrección</w:t>
            </w:r>
          </w:p>
        </w:tc>
        <w:tc>
          <w:tcPr>
            <w:tcW w:w="6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Volver a la versión anterior (el proyecto conserva la v1 y decide entre versiones en validación), reentrenar y atender los reclamos</w:t>
            </w:r>
          </w:p>
        </w:tc>
      </w:tr>
      <w:tr>
        <w:trPr>
          <w:cantSplit/>
        </w:trPr>
        <w:tc>
          <w:tcPr>
            <w:tcW w:w="2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8"/>
                <w:lang w:val="es-EC"/>
              </w:rPr>
              <w:t>5. Prevención</w:t>
            </w:r>
          </w:p>
        </w:tc>
        <w:tc>
          <w:tcPr>
            <w:tcW w:w="6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8"/>
                <w:lang w:val="es-EC"/>
              </w:rPr>
              <w:t>Convertir el caso en una prueba automática, ajustar umbrales y alertas, y registrar las lecciones en la bitácora</w:t>
            </w:r>
          </w:p>
        </w:tc>
      </w:tr>
    </w:tbl>
    <w:p>
      <w:pPr>
        <w:spacing w:before="0" w:after="0" w:line="240" w:lineRule="auto"/>
      </w:pP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7. Consideraciones de compliance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Regulaciones aplicables:</w:t>
      </w:r>
      <w:r>
        <w:rPr>
          <w:sz w:val="24"/>
          <w:lang w:val="es-EC"/>
        </w:rPr>
        <w:t xml:space="preserve"> Reglamento General de Protección de Datos (RGPD), porque los datos se recogieron en la Unión Europea; AI Act (como referencia de riesgo) y las normas ecuatorianas de la Tabla 11. </w:t>
      </w:r>
      <w:r>
        <w:rPr>
          <w:b/>
          <w:sz w:val="24"/>
          <w:lang w:val="es-EC"/>
        </w:rPr>
        <w:t>No aplican</w:t>
      </w:r>
      <w:r>
        <w:rPr>
          <w:sz w:val="24"/>
          <w:lang w:val="es-EC"/>
        </w:rPr>
        <w:t xml:space="preserve"> HIPAA (sin datos de salud), CCPA, las leyes laborales ni las antidiscriminación, porque el sistema no decide sobre empleo ni sobre personas.</w:t>
      </w:r>
    </w:p>
    <w:p>
      <w:pPr>
        <w:keepNext/>
        <w:spacing w:before="160" w:after="0" w:line="240" w:lineRule="auto"/>
        <w:ind w:left="405"/>
      </w:pPr>
      <w:r>
        <w:rPr>
          <w:b/>
          <w:sz w:val="24"/>
          <w:lang w:val="es-EC"/>
        </w:rPr>
        <w:t>Tabla 11</w:t>
      </w:r>
    </w:p>
    <w:p>
      <w:pPr>
        <w:keepNext/>
        <w:spacing w:before="0" w:after="80" w:line="240" w:lineRule="auto"/>
        <w:ind w:left="405"/>
      </w:pPr>
      <w:r>
        <w:rPr>
          <w:i/>
          <w:sz w:val="24"/>
          <w:lang w:val="es-EC"/>
        </w:rPr>
        <w:t>Cumplimiento normativo</w:t>
      </w:r>
    </w:p>
    <w:tbl>
      <w:tblPr>
        <w:tblStyle w:val="Tablaconcuadrcula"/>
        <w:tblW w:w="8600" w:type="dxa"/>
        <w:tblInd w:w="405" w:type="dxa"/>
        <w:tblLayout w:type="fixed"/>
        <w:tblLook w:firstColumn="1" w:firstRow="1" w:lastColumn="0" w:lastRow="0" w:noHBand="0" w:noVBand="1" w:val="04A0"/>
      </w:tblPr>
      <w:tblGrid>
        <w:gridCol w:w="2100"/>
        <w:gridCol w:w="3000"/>
        <w:gridCol w:w="1600"/>
        <w:gridCol w:w="1900"/>
      </w:tblGrid>
      <w:tr>
        <w:trPr>
          <w:cantSplit/>
          <w:tblHeader/>
        </w:trPr>
        <w:tc>
          <w:tcPr>
            <w:tcW w:w="21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Regulación</w:t>
            </w:r>
          </w:p>
        </w:tc>
        <w:tc>
          <w:tcPr>
            <w:tcW w:w="30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¿Qué requiere?</w:t>
            </w:r>
          </w:p>
        </w:tc>
        <w:tc>
          <w:tcPr>
            <w:tcW w:w="16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¿Cumple?</w:t>
            </w:r>
          </w:p>
        </w:tc>
        <w:tc>
          <w:tcPr>
            <w:tcW w:w="1900" w:type="dxa"/>
            <w:shd w:val="clear" w:color="auto" w:fill="D9D9D9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lang w:val="es-EC"/>
              </w:rPr>
              <w:t>Cambios necesarios en un despliegue</w:t>
            </w:r>
          </w:p>
        </w:tc>
      </w:tr>
      <w:tr>
        <w:trPr>
          <w:cantSplit/>
        </w:trPr>
        <w:tc>
          <w:tcPr>
            <w:tcW w:w="2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Constitución del Ecuador (2008), art. 66, num. 19, 20 y 21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Protección de datos, intimidad e inviolabilidad de la correspondencia virtual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Sí: no se lee ninguna comunicación</w:t>
            </w:r>
          </w:p>
        </w:tc>
        <w:tc>
          <w:tcPr>
            <w:tcW w:w="19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Impedir el examen de comunicaciones de personas concretas</w:t>
            </w:r>
          </w:p>
        </w:tc>
      </w:tr>
      <w:tr>
        <w:trPr>
          <w:cantSplit/>
        </w:trPr>
        <w:tc>
          <w:tcPr>
            <w:tcW w:w="2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LOT (2015)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No priorizar ni discriminar servicios (art. 24, num. 17); secreto de las comunicaciones (num. 13); interceptación solo con orden judicial (art. 77); no usar el patrón de consumo sin consentimiento (art. 82)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Sí en el prototipo, que no actúa sobre el tráfico</w:t>
            </w:r>
          </w:p>
        </w:tc>
        <w:tc>
          <w:tcPr>
            <w:tcW w:w="19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Limitar el uso a la administración de la red; prohibir la priorización comercial</w:t>
            </w:r>
          </w:p>
        </w:tc>
      </w:tr>
      <w:tr>
        <w:trPr>
          <w:cantSplit/>
        </w:trPr>
        <w:tc>
          <w:tcPr>
            <w:tcW w:w="2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LOPDP (2021)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Finalidad y minimización (art. 10); decisiones automatizadas (art. 20); protección desde el diseño (art. 39); evaluación de impacto (art. 42); notificación de vulneraciones (art. 43)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Sí: usa datos anonimizados, excluidos de la ley (art. 2, lit. c)</w:t>
            </w:r>
          </w:p>
        </w:tc>
        <w:tc>
          <w:tcPr>
            <w:tcW w:w="19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El tráfico de personas identificables sí es dato personal: salida agregada, evaluación de impacto, aviso y reclamos</w:t>
            </w:r>
          </w:p>
        </w:tc>
      </w:tr>
      <w:tr>
        <w:trPr>
          <w:cantSplit/>
        </w:trPr>
        <w:tc>
          <w:tcPr>
            <w:tcW w:w="2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RGPD (Reglamento (UE) 2016/679) y sentencia Breyer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Las IP, incluso dinámicas, son datos personales; la seguridad de la red es interés legítimo (considerando 49)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Sí: dataset anonimizado y aprobado por un comité de ética</w:t>
            </w:r>
          </w:p>
        </w:tc>
        <w:tc>
          <w:tcPr>
            <w:tcW w:w="19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Ninguno para el uso académico</w:t>
            </w:r>
          </w:p>
        </w:tc>
      </w:tr>
      <w:tr>
        <w:trPr>
          <w:cantSplit/>
        </w:trPr>
        <w:tc>
          <w:tcPr>
            <w:tcW w:w="2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AI Act (Reglamento (UE) 2024/1689)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Obligaciones según el riesgo; alto riesgo si perfila personas en un área del Anexo III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No rige en Ecuador; como gestión agregada, probablemente no sería de alto riesgo</w:t>
            </w:r>
          </w:p>
        </w:tc>
        <w:tc>
          <w:tcPr>
            <w:tcW w:w="19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Mantener la prohibición de perfilar; documentar la evaluación de riesgo</w:t>
            </w:r>
          </w:p>
        </w:tc>
      </w:tr>
      <w:tr>
        <w:trPr>
          <w:cantSplit/>
        </w:trPr>
        <w:tc>
          <w:tcPr>
            <w:tcW w:w="21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lang w:val="es-EC"/>
              </w:rPr>
              <w:t>Recomendación de la UNESCO (2021)</w:t>
            </w:r>
          </w:p>
        </w:tc>
        <w:tc>
          <w:tcPr>
            <w:tcW w:w="30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Marco ético no vinculante adoptado por Ecuador; rechaza la vigilancia masiva</w:t>
            </w:r>
          </w:p>
        </w:tc>
        <w:tc>
          <w:tcPr>
            <w:tcW w:w="16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Sí</w:t>
            </w:r>
          </w:p>
        </w:tc>
        <w:tc>
          <w:tcPr>
            <w:tcW w:w="1900" w:type="dxa"/>
            <w:tcMar>
              <w:top w:w="40" w:type="dxa"/>
              <w:bottom w:w="4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  <w:lang w:val="es-EC"/>
              </w:rPr>
              <w:t>Incluir la prohibición de vigilancia en la declaración de uso responsable</w:t>
            </w:r>
          </w:p>
        </w:tc>
      </w:tr>
    </w:tbl>
    <w:p>
      <w:pPr>
        <w:spacing w:before="0" w:after="0" w:line="240" w:lineRule="auto"/>
      </w:pPr>
    </w:p>
    <w:p>
      <w:pPr>
        <w:spacing w:before="0" w:after="160" w:line="360" w:lineRule="auto"/>
        <w:ind w:left="405" w:firstLine="720"/>
        <w:jc w:val="both"/>
      </w:pPr>
      <w:r>
        <w:rPr>
          <w:sz w:val="24"/>
          <w:lang w:val="es-EC"/>
        </w:rPr>
        <w:t xml:space="preserve">El análisis se basó en el texto oficial de las normas. </w:t>
      </w:r>
      <w:r>
        <w:rPr>
          <w:b/>
          <w:sz w:val="24"/>
          <w:lang w:val="es-EC"/>
        </w:rPr>
        <w:t>Una implementación real requeriría asesoría legal especializada</w:t>
      </w:r>
      <w:r>
        <w:rPr>
          <w:sz w:val="24"/>
          <w:lang w:val="es-EC"/>
        </w:rPr>
        <w:t>, sobre todo para definir la base de licitud del tratamiento y el alcance de la “administración de la red” que la LOT permite.</w:t>
      </w: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8. Reflexión y compromiso</w:t>
      </w: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8.1 Reflexión personal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El dilema más difícil: ciencia abierta frente a doble uso.</w:t>
      </w:r>
      <w:r>
        <w:rPr>
          <w:sz w:val="24"/>
          <w:lang w:val="es-EC"/>
        </w:rPr>
        <w:t xml:space="preserve"> Publicar el código, los datos y los modelos hace el trabajo verificable y útil para instituciones con pocos recursos, pero pone una herramienta de clasificación de tráfico al alcance de quien quiera vigilar. Chocan la </w:t>
      </w:r>
      <w:r>
        <w:rPr>
          <w:b/>
          <w:sz w:val="24"/>
          <w:lang w:val="es-EC"/>
        </w:rPr>
        <w:t>transparencia y el progreso científico</w:t>
      </w:r>
      <w:r>
        <w:rPr>
          <w:sz w:val="24"/>
          <w:lang w:val="es-EC"/>
        </w:rPr>
        <w:t xml:space="preserve"> con la </w:t>
      </w:r>
      <w:r>
        <w:rPr>
          <w:b/>
          <w:sz w:val="24"/>
          <w:lang w:val="es-EC"/>
        </w:rPr>
        <w:t>no maleficencia y la privacidad</w:t>
      </w:r>
      <w:r>
        <w:rPr>
          <w:sz w:val="24"/>
          <w:lang w:val="es-EC"/>
        </w:rPr>
        <w:t xml:space="preserve">. Lo resuelvo </w:t>
      </w:r>
      <w:r>
        <w:rPr>
          <w:b/>
          <w:sz w:val="24"/>
          <w:lang w:val="es-EC"/>
        </w:rPr>
        <w:t>manteniendo la apertura</w:t>
      </w:r>
      <w:r>
        <w:rPr>
          <w:sz w:val="24"/>
          <w:lang w:val="es-EC"/>
        </w:rPr>
        <w:t>, porque estas técnicas ya están publicadas y ocultarlas protegería poco, pero con salvaguardas concretas: salida agregada, declaración de uso responsable y una ficha del modelo con sus usos prohibidos.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Lo que aprendí.</w:t>
      </w:r>
      <w:r>
        <w:rPr>
          <w:sz w:val="24"/>
          <w:lang w:val="es-EC"/>
        </w:rPr>
        <w:t xml:space="preserve"> Que un buen promedio puede esconder una injusticia: el F1 macro de las redes mejoró mucho en la versión 2, pero tres servicios, entre ellos la banca en línea, quedaron por debajo de 0,70. Y que el riesgo regulatorio depende del uso, no de la técnica.</w:t>
      </w:r>
    </w:p>
    <w:p>
      <w:pPr>
        <w:spacing w:before="0" w:after="160" w:line="360" w:lineRule="auto"/>
        <w:ind w:left="405" w:firstLine="720"/>
        <w:jc w:val="both"/>
      </w:pPr>
      <w:r>
        <w:rPr>
          <w:b/>
          <w:sz w:val="24"/>
          <w:lang w:val="es-EC"/>
        </w:rPr>
        <w:t>Lo que cambiaría.</w:t>
      </w:r>
      <w:r>
        <w:rPr>
          <w:sz w:val="24"/>
          <w:lang w:val="es-EC"/>
        </w:rPr>
        <w:t xml:space="preserve"> Incorporaría el F1 de la peor categoría a la aplicación y a los informes, la salida agregada, la abstención con baja confianza, la ficha del modelo y las explicaciones SHAP. Con esas condiciones, </w:t>
      </w:r>
      <w:r>
        <w:rPr>
          <w:b/>
          <w:sz w:val="24"/>
          <w:lang w:val="es-EC"/>
        </w:rPr>
        <w:t>el sistema sí debería implementarse para la gestión agregada de redes</w:t>
      </w:r>
      <w:r>
        <w:rPr>
          <w:sz w:val="24"/>
          <w:lang w:val="es-EC"/>
        </w:rPr>
        <w:t xml:space="preserve">, y </w:t>
      </w:r>
      <w:r>
        <w:rPr>
          <w:b/>
          <w:sz w:val="24"/>
          <w:lang w:val="es-EC"/>
        </w:rPr>
        <w:t>no</w:t>
      </w:r>
      <w:r>
        <w:rPr>
          <w:sz w:val="24"/>
          <w:lang w:val="es-EC"/>
        </w:rPr>
        <w:t xml:space="preserve"> para perfilar o vigilar a personas, ni para priorizar servicios con fines comerciales.</w:t>
      </w:r>
    </w:p>
    <w:p>
      <w:pPr>
        <w:pStyle w:val="Ttulo2"/>
        <w:keepNext/>
        <w:spacing w:before="200" w:after="80" w:line="360" w:lineRule="auto"/>
      </w:pPr>
      <w:r>
        <w:rPr>
          <w:b/>
          <w:sz w:val="24"/>
          <w:lang w:val="es-EC"/>
        </w:rPr>
        <w:t>8.2 Compromiso ético</w:t>
      </w:r>
    </w:p>
    <w:p>
      <w:pPr>
        <w:spacing w:before="0" w:after="160" w:line="360" w:lineRule="auto"/>
        <w:ind w:left="405" w:firstLine="0"/>
        <w:jc w:val="both"/>
      </w:pPr>
      <w:r>
        <w:rPr>
          <w:sz w:val="24"/>
          <w:lang w:val="es-EC"/>
        </w:rPr>
        <w:t>Como creador de este sistema de IA, me comprometo a:</w:t>
      </w:r>
    </w:p>
    <w:p>
      <w:pPr>
        <w:pStyle w:val="Prrafodelista"/>
        <w:numPr>
          <w:ilvl w:val="0"/>
          <w:numId w:val="13"/>
        </w:numPr>
        <w:spacing w:before="40" w:after="40" w:line="300" w:lineRule="auto"/>
        <w:jc w:val="both"/>
      </w:pPr>
      <w:r>
        <w:rPr>
          <w:sz w:val="24"/>
          <w:lang w:val="es-EC"/>
        </w:rPr>
        <w:t>Reportar siempre el desempeño por categoría junto al promedio, y no desplegar un modelo con una categoría por debajo de 0,80 de F1.</w:t>
      </w:r>
    </w:p>
    <w:p>
      <w:pPr>
        <w:pStyle w:val="Prrafodelista"/>
        <w:numPr>
          <w:ilvl w:val="0"/>
          <w:numId w:val="13"/>
        </w:numPr>
        <w:spacing w:before="40" w:after="40" w:line="300" w:lineRule="auto"/>
        <w:jc w:val="both"/>
      </w:pPr>
      <w:r>
        <w:rPr>
          <w:sz w:val="24"/>
          <w:lang w:val="es-EC"/>
        </w:rPr>
        <w:t>Publicar la ficha del modelo con sus usos prohibidos antes del cierre del proyecto.</w:t>
      </w:r>
    </w:p>
    <w:p>
      <w:pPr>
        <w:pStyle w:val="Prrafodelista"/>
        <w:numPr>
          <w:ilvl w:val="0"/>
          <w:numId w:val="13"/>
        </w:numPr>
        <w:spacing w:before="40" w:after="40" w:line="300" w:lineRule="auto"/>
        <w:jc w:val="both"/>
      </w:pPr>
      <w:r>
        <w:rPr>
          <w:sz w:val="24"/>
          <w:lang w:val="es-EC"/>
        </w:rPr>
        <w:t>Medir la deriva cada mes en cualquier despliegue, y reentrenar o retirar el modelo si su desempeño cae.</w:t>
      </w:r>
    </w:p>
    <w:p>
      <w:pPr>
        <w:pStyle w:val="Prrafodelista"/>
        <w:numPr>
          <w:ilvl w:val="0"/>
          <w:numId w:val="13"/>
        </w:numPr>
        <w:spacing w:before="40" w:after="40" w:line="300" w:lineRule="auto"/>
        <w:jc w:val="both"/>
      </w:pPr>
      <w:r>
        <w:rPr>
          <w:sz w:val="24"/>
          <w:lang w:val="es-EC"/>
        </w:rPr>
        <w:t>Actuar responsablemente si se identifican daños.</w:t>
      </w:r>
    </w:p>
    <w:p>
      <w:pPr>
        <w:pStyle w:val="Prrafodelista"/>
        <w:numPr>
          <w:ilvl w:val="0"/>
          <w:numId w:val="13"/>
        </w:numPr>
        <w:spacing w:before="40" w:after="40" w:line="300" w:lineRule="auto"/>
        <w:jc w:val="both"/>
      </w:pPr>
      <w:r>
        <w:rPr>
          <w:sz w:val="24"/>
          <w:lang w:val="es-EC"/>
        </w:rPr>
        <w:t>Priorizar el bienestar de las personas usuarias y de los grupos en situación de vulnerabilidad.</w:t>
      </w:r>
    </w:p>
    <w:p>
      <w:pPr>
        <w:pStyle w:val="Prrafodelista"/>
        <w:numPr>
          <w:ilvl w:val="0"/>
          <w:numId w:val="13"/>
        </w:numPr>
        <w:spacing w:before="40" w:after="40" w:line="300" w:lineRule="auto"/>
        <w:jc w:val="both"/>
      </w:pPr>
      <w:r>
        <w:rPr>
          <w:sz w:val="24"/>
          <w:lang w:val="es-EC"/>
        </w:rPr>
        <w:t>Mantener transparencia sobre las limitaciones del sistema.</w:t>
      </w:r>
    </w:p>
    <w:p>
      <w:pPr>
        <w:spacing w:before="0" w:after="160" w:line="360" w:lineRule="auto"/>
        <w:ind w:left="405" w:firstLine="0"/>
        <w:jc w:val="both"/>
      </w:pPr>
      <w:r>
        <w:rPr>
          <w:b/>
          <w:sz w:val="24"/>
          <w:lang w:val="es-EC"/>
        </w:rPr>
        <w:t>Firma:</w:t>
      </w:r>
      <w:r>
        <w:rPr>
          <w:sz w:val="24"/>
          <w:lang w:val="es-EC"/>
        </w:rPr>
        <w:t xml:space="preserve"> Jairo Wladimir Jhayya Perlaza          </w:t>
      </w:r>
      <w:r>
        <w:rPr>
          <w:b/>
          <w:sz w:val="24"/>
          <w:lang w:val="es-EC"/>
        </w:rPr>
        <w:t>Fecha:</w:t>
      </w:r>
      <w:r>
        <w:rPr>
          <w:sz w:val="24"/>
          <w:lang w:val="es-EC"/>
        </w:rPr>
        <w:t xml:space="preserve"> 9 de octubre de 2026</w:t>
      </w:r>
    </w:p>
    <w:p>
      <w:r>
        <w:br w:type="page"/>
      </w:r>
    </w:p>
    <w:p>
      <w:pPr>
        <w:pStyle w:val="Ttulo1"/>
        <w:keepNext/>
        <w:spacing w:before="0" w:after="160" w:line="360" w:lineRule="auto"/>
      </w:pPr>
      <w:r>
        <w:rPr>
          <w:b/>
          <w:sz w:val="28"/>
          <w:lang w:val="es-EC"/>
        </w:rPr>
        <w:t>Referencias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Asamblea Constituyente. (2008). </w:t>
      </w:r>
      <w:r>
        <w:rPr>
          <w:i/>
          <w:sz w:val="22"/>
          <w:lang w:val="es-EC"/>
        </w:rPr>
        <w:t>Constitución de la República del Ecuador</w:t>
      </w:r>
      <w:r>
        <w:rPr>
          <w:sz w:val="22"/>
          <w:lang w:val="es-EC"/>
        </w:rPr>
        <w:t>. Registro Oficial 449, 20 de octubre de 2008.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Asamblea Nacional del Ecuador. (2015). </w:t>
      </w:r>
      <w:r>
        <w:rPr>
          <w:i/>
          <w:sz w:val="22"/>
          <w:lang w:val="es-EC"/>
        </w:rPr>
        <w:t>Ley Orgánica de Telecomunicaciones</w:t>
      </w:r>
      <w:r>
        <w:rPr>
          <w:sz w:val="22"/>
          <w:lang w:val="es-EC"/>
        </w:rPr>
        <w:t>. Registro Oficial, Tercer Suplemento 439, 18 de febrero de 2015.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Asamblea Nacional del Ecuador. (2021). </w:t>
      </w:r>
      <w:r>
        <w:rPr>
          <w:i/>
          <w:sz w:val="22"/>
          <w:lang w:val="es-EC"/>
        </w:rPr>
        <w:t>Ley Orgánica de Protección de Datos Personales</w:t>
      </w:r>
      <w:r>
        <w:rPr>
          <w:sz w:val="22"/>
          <w:lang w:val="es-EC"/>
        </w:rPr>
        <w:t>. Registro Oficial, Quinto Suplemento 459, 26 de mayo de 2021.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DrivenData. (s. f.). </w:t>
      </w:r>
      <w:r>
        <w:rPr>
          <w:i/>
          <w:sz w:val="22"/>
          <w:lang w:val="es-EC"/>
        </w:rPr>
        <w:t>Deon: An ethics checklist for data scientists</w:t>
      </w:r>
      <w:r>
        <w:rPr>
          <w:sz w:val="22"/>
          <w:lang w:val="es-EC"/>
        </w:rPr>
        <w:t>. https://deon.drivendata.org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Gebru, T., Morgenstern, J., Vecchione, B., Vaughan, J. W., Wallach, H., Daumé III, H., y Crawford, K. (2021). Datasheets for datasets. </w:t>
      </w:r>
      <w:r>
        <w:rPr>
          <w:i/>
          <w:sz w:val="22"/>
          <w:lang w:val="es-EC"/>
        </w:rPr>
        <w:t>Communications of the ACM, 64</w:t>
      </w:r>
      <w:r>
        <w:rPr>
          <w:sz w:val="22"/>
          <w:lang w:val="es-EC"/>
        </w:rPr>
        <w:t>(12), 86-92. https://doi.org/10.1145/3458723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Google. (s. f.). </w:t>
      </w:r>
      <w:r>
        <w:rPr>
          <w:i/>
          <w:sz w:val="22"/>
          <w:lang w:val="es-EC"/>
        </w:rPr>
        <w:t>HTTPS encryption on the web</w:t>
      </w:r>
      <w:r>
        <w:rPr>
          <w:sz w:val="22"/>
          <w:lang w:val="es-EC"/>
        </w:rPr>
        <w:t>. Google Transparency Report. https://transparencyreport.google.com/https/overview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Hynek, K., Luxemburk, J., Pešek, J., Čejka, T., y Šiška, P. (2024). CESNET-TLS-Year22: A year-spanning TLS network traffic dataset from backbone lines. </w:t>
      </w:r>
      <w:r>
        <w:rPr>
          <w:i/>
          <w:sz w:val="22"/>
          <w:lang w:val="es-EC"/>
        </w:rPr>
        <w:t>Scientific Data, 11</w:t>
      </w:r>
      <w:r>
        <w:rPr>
          <w:sz w:val="22"/>
          <w:lang w:val="es-EC"/>
        </w:rPr>
        <w:t>, 1156. https://doi.org/10.1038/s41597-024-03927-4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Mitchell, M., Wu, S., Zaldivar, A., Barnes, P., Vasserman, L., Hutchinson, B., Spitzer, E., Raji, I. D., y Gebru, T. (2019). Model cards for model reporting. En </w:t>
      </w:r>
      <w:r>
        <w:rPr>
          <w:i/>
          <w:sz w:val="22"/>
          <w:lang w:val="es-EC"/>
        </w:rPr>
        <w:t>Proceedings of the Conference on Fairness, Accountability, and Transparency</w:t>
      </w:r>
      <w:r>
        <w:rPr>
          <w:sz w:val="22"/>
          <w:lang w:val="es-EC"/>
        </w:rPr>
        <w:t xml:space="preserve"> (pp. 220-229). ACM. https://doi.org/10.1145/3287560.3287596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National Institute of Standards and Technology. (2023). </w:t>
      </w:r>
      <w:r>
        <w:rPr>
          <w:i/>
          <w:sz w:val="22"/>
          <w:lang w:val="es-EC"/>
        </w:rPr>
        <w:t>Artificial Intelligence Risk Management Framework (AI RMF 1.0)</w:t>
      </w:r>
      <w:r>
        <w:rPr>
          <w:sz w:val="22"/>
          <w:lang w:val="es-EC"/>
        </w:rPr>
        <w:t xml:space="preserve"> (NIST AI 100-1). https://doi.org/10.6028/NIST.AI.100-1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Parlamento Europeo y Consejo de la Unión Europea. (2016). Reglamento (UE) 2016/679 (Reglamento General de Protección de Datos). </w:t>
      </w:r>
      <w:r>
        <w:rPr>
          <w:i/>
          <w:sz w:val="22"/>
          <w:lang w:val="es-EC"/>
        </w:rPr>
        <w:t>Diario Oficial de la Unión Europea</w:t>
      </w:r>
      <w:r>
        <w:rPr>
          <w:sz w:val="22"/>
          <w:lang w:val="es-EC"/>
        </w:rPr>
        <w:t>.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Parlamento Europeo y Consejo de la Unión Europea. (2024). Reglamento (UE) 2024/1689 (Reglamento de Inteligencia Artificial). </w:t>
      </w:r>
      <w:r>
        <w:rPr>
          <w:i/>
          <w:sz w:val="22"/>
          <w:lang w:val="es-EC"/>
        </w:rPr>
        <w:t>Diario Oficial de la Unión Europea</w:t>
      </w:r>
      <w:r>
        <w:rPr>
          <w:sz w:val="22"/>
          <w:lang w:val="es-EC"/>
        </w:rPr>
        <w:t>, 12 de julio de 2024.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Tribunal de Justicia de la Unión Europea. (2016). Sentencia de 19 de octubre de 2016, </w:t>
      </w:r>
      <w:r>
        <w:rPr>
          <w:i/>
          <w:sz w:val="22"/>
          <w:lang w:val="es-EC"/>
        </w:rPr>
        <w:t>Patrick Breyer c. Bundesrepublik Deutschland</w:t>
      </w:r>
      <w:r>
        <w:rPr>
          <w:sz w:val="22"/>
          <w:lang w:val="es-EC"/>
        </w:rPr>
        <w:t>, asunto C-582/14.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UNESCO. (2021). </w:t>
      </w:r>
      <w:r>
        <w:rPr>
          <w:i/>
          <w:sz w:val="22"/>
          <w:lang w:val="es-EC"/>
        </w:rPr>
        <w:t>Recomendación sobre la ética de la inteligencia artificial</w:t>
      </w:r>
      <w:r>
        <w:rPr>
          <w:sz w:val="22"/>
          <w:lang w:val="es-EC"/>
        </w:rPr>
        <w:t>. https://unesdoc.unesco.org/ark:/48223/pf0000381137</w:t>
      </w:r>
    </w:p>
    <w:p>
      <w:pPr>
        <w:spacing w:before="0" w:after="120" w:line="240" w:lineRule="auto"/>
        <w:ind w:left="1125" w:hanging="720"/>
      </w:pPr>
      <w:r>
        <w:rPr>
          <w:sz w:val="22"/>
          <w:lang w:val="es-EC"/>
        </w:rPr>
        <w:t xml:space="preserve">Universidad de Especialidades Espíritu Santo. (2026). </w:t>
      </w:r>
      <w:r>
        <w:rPr>
          <w:i/>
          <w:sz w:val="22"/>
          <w:lang w:val="es-EC"/>
        </w:rPr>
        <w:t>Reflexión ética y presentación del proyecto</w:t>
      </w:r>
      <w:r>
        <w:rPr>
          <w:sz w:val="22"/>
          <w:lang w:val="es-EC"/>
        </w:rPr>
        <w:t xml:space="preserve"> [Presentación de clase, semana 4]. Proyecto Integrador en Inteligencia Artificial.</w:t>
      </w:r>
    </w:p>
    <w:sectPr w:rsidR="00B422C3" w:rsidRPr="00C57E57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4682B" w14:textId="77777777" w:rsidR="00E73167" w:rsidRDefault="00E73167">
      <w:pPr>
        <w:spacing w:line="240" w:lineRule="auto"/>
      </w:pPr>
      <w:r>
        <w:separator/>
      </w:r>
    </w:p>
  </w:endnote>
  <w:endnote w:type="continuationSeparator" w:id="0">
    <w:p w14:paraId="40FD70F7" w14:textId="77777777" w:rsidR="00E73167" w:rsidRDefault="00E731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F46B9" w14:textId="77777777" w:rsidR="00E73167" w:rsidRDefault="00E73167">
      <w:pPr>
        <w:spacing w:line="240" w:lineRule="auto"/>
      </w:pPr>
      <w:r>
        <w:separator/>
      </w:r>
    </w:p>
  </w:footnote>
  <w:footnote w:type="continuationSeparator" w:id="0">
    <w:p w14:paraId="3F87A1F1" w14:textId="77777777" w:rsidR="00E73167" w:rsidRDefault="00E731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63863" w14:textId="77777777" w:rsidR="00775782" w:rsidRDefault="00000000">
    <w:r>
      <w:rPr>
        <w:i/>
        <w:noProof/>
        <w:color w:val="999999"/>
        <w:sz w:val="20"/>
        <w:szCs w:val="20"/>
      </w:rPr>
      <w:drawing>
        <wp:anchor distT="114300" distB="114300" distL="114300" distR="114300" simplePos="0" relativeHeight="251657216" behindDoc="1" locked="0" layoutInCell="1" hidden="0" allowOverlap="1" wp14:anchorId="6B4BFDD4" wp14:editId="5D559843">
          <wp:simplePos x="0" y="0"/>
          <wp:positionH relativeFrom="page">
            <wp:posOffset>-19049</wp:posOffset>
          </wp:positionH>
          <wp:positionV relativeFrom="page">
            <wp:posOffset>-34296</wp:posOffset>
          </wp:positionV>
          <wp:extent cx="7614000" cy="107748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4000" cy="1077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i/>
        <w:color w:val="999999"/>
        <w:sz w:val="20"/>
        <w:szCs w:val="20"/>
      </w:rPr>
      <w:pict w14:anchorId="37BF3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46.3pt;margin-top:-60.75pt;width:104.9pt;height:67.6pt;z-index:-251658240;mso-position-horizontal:absolute;mso-position-horizontal-relative:margin;mso-position-vertical:absolute;mso-position-vertical-relative:margin">
          <v:imagedata r:id="rId2" o:title="image2" gain="19661f" blacklevel="22938f"/>
          <w10:wrap anchorx="margin" anchory="margin"/>
        </v:shape>
      </w:pict>
    </w:r>
    <w:r>
      <w:rPr>
        <w:i/>
        <w:color w:val="999999"/>
        <w:sz w:val="20"/>
        <w:szCs w:val="20"/>
      </w:rPr>
      <w:t>Universidad de Especialidades Espíritu Santo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60144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56E79"/>
    <w:multiLevelType w:val="hybridMultilevel"/>
    <w:tmpl w:val="BD667582"/>
    <w:lvl w:ilvl="0" w:tplc="BBD8DE0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938DD"/>
    <w:multiLevelType w:val="multilevel"/>
    <w:tmpl w:val="84F410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431399"/>
    <w:multiLevelType w:val="hybridMultilevel"/>
    <w:tmpl w:val="C640337A"/>
    <w:lvl w:ilvl="0" w:tplc="BBD8DE0A">
      <w:start w:val="1"/>
      <w:numFmt w:val="bullet"/>
      <w:lvlText w:val="-"/>
      <w:lvlJc w:val="left"/>
      <w:pPr>
        <w:ind w:left="765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20469BF"/>
    <w:multiLevelType w:val="hybridMultilevel"/>
    <w:tmpl w:val="49E65680"/>
    <w:lvl w:ilvl="0" w:tplc="BBD8DE0A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9F5FD8"/>
    <w:multiLevelType w:val="hybridMultilevel"/>
    <w:tmpl w:val="39F28360"/>
    <w:lvl w:ilvl="0" w:tplc="4EB61D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B45AB"/>
    <w:multiLevelType w:val="hybridMultilevel"/>
    <w:tmpl w:val="F2567402"/>
    <w:lvl w:ilvl="0" w:tplc="BBD8DE0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75103"/>
    <w:multiLevelType w:val="hybridMultilevel"/>
    <w:tmpl w:val="640CBD08"/>
    <w:lvl w:ilvl="0" w:tplc="4D94757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ED6302"/>
    <w:multiLevelType w:val="multilevel"/>
    <w:tmpl w:val="148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415F6D"/>
    <w:multiLevelType w:val="hybridMultilevel"/>
    <w:tmpl w:val="2364336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968C7"/>
    <w:multiLevelType w:val="multilevel"/>
    <w:tmpl w:val="7E24B3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4C38E6"/>
    <w:multiLevelType w:val="multilevel"/>
    <w:tmpl w:val="6AA60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0F313A"/>
    <w:multiLevelType w:val="hybridMultilevel"/>
    <w:tmpl w:val="620255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74D16"/>
    <w:multiLevelType w:val="multilevel"/>
    <w:tmpl w:val="0920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D14014"/>
    <w:multiLevelType w:val="hybridMultilevel"/>
    <w:tmpl w:val="FB242614"/>
    <w:lvl w:ilvl="0" w:tplc="183E77A2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F37765"/>
    <w:multiLevelType w:val="hybridMultilevel"/>
    <w:tmpl w:val="7B40C976"/>
    <w:lvl w:ilvl="0" w:tplc="BBD8DE0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61AD6"/>
    <w:multiLevelType w:val="hybridMultilevel"/>
    <w:tmpl w:val="65E8040C"/>
    <w:lvl w:ilvl="0" w:tplc="BBD8DE0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130BA"/>
    <w:multiLevelType w:val="hybridMultilevel"/>
    <w:tmpl w:val="3B92AEF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960147">
    <w:abstractNumId w:val="0"/>
  </w:num>
  <w:num w:numId="2" w16cid:durableId="1363820216">
    <w:abstractNumId w:val="7"/>
  </w:num>
  <w:num w:numId="3" w16cid:durableId="150217874">
    <w:abstractNumId w:val="11"/>
  </w:num>
  <w:num w:numId="4" w16cid:durableId="348986905">
    <w:abstractNumId w:val="12"/>
  </w:num>
  <w:num w:numId="5" w16cid:durableId="723679086">
    <w:abstractNumId w:val="17"/>
  </w:num>
  <w:num w:numId="6" w16cid:durableId="1783186614">
    <w:abstractNumId w:val="10"/>
  </w:num>
  <w:num w:numId="7" w16cid:durableId="785656023">
    <w:abstractNumId w:val="14"/>
  </w:num>
  <w:num w:numId="8" w16cid:durableId="874347898">
    <w:abstractNumId w:val="9"/>
  </w:num>
  <w:num w:numId="9" w16cid:durableId="840244916">
    <w:abstractNumId w:val="13"/>
  </w:num>
  <w:num w:numId="10" w16cid:durableId="1115639603">
    <w:abstractNumId w:val="8"/>
  </w:num>
  <w:num w:numId="11" w16cid:durableId="1925676286">
    <w:abstractNumId w:val="2"/>
  </w:num>
  <w:num w:numId="12" w16cid:durableId="898711840">
    <w:abstractNumId w:val="5"/>
  </w:num>
  <w:num w:numId="13" w16cid:durableId="1971932197">
    <w:abstractNumId w:val="3"/>
  </w:num>
  <w:num w:numId="14" w16cid:durableId="1131947146">
    <w:abstractNumId w:val="16"/>
  </w:num>
  <w:num w:numId="15" w16cid:durableId="491600496">
    <w:abstractNumId w:val="4"/>
  </w:num>
  <w:num w:numId="16" w16cid:durableId="1006324062">
    <w:abstractNumId w:val="15"/>
  </w:num>
  <w:num w:numId="17" w16cid:durableId="792821494">
    <w:abstractNumId w:val="1"/>
  </w:num>
  <w:num w:numId="18" w16cid:durableId="1974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782"/>
    <w:rsid w:val="00000D6E"/>
    <w:rsid w:val="00004BE0"/>
    <w:rsid w:val="0002187D"/>
    <w:rsid w:val="00040F4A"/>
    <w:rsid w:val="00066754"/>
    <w:rsid w:val="000704DD"/>
    <w:rsid w:val="00074540"/>
    <w:rsid w:val="000747FF"/>
    <w:rsid w:val="000A5347"/>
    <w:rsid w:val="000B2006"/>
    <w:rsid w:val="000B28CC"/>
    <w:rsid w:val="000B5007"/>
    <w:rsid w:val="000C0110"/>
    <w:rsid w:val="000C7639"/>
    <w:rsid w:val="000D456A"/>
    <w:rsid w:val="000D5AB6"/>
    <w:rsid w:val="000D6516"/>
    <w:rsid w:val="001164CE"/>
    <w:rsid w:val="00120A5A"/>
    <w:rsid w:val="00143DC0"/>
    <w:rsid w:val="00151AC6"/>
    <w:rsid w:val="00164499"/>
    <w:rsid w:val="0019463C"/>
    <w:rsid w:val="00197E61"/>
    <w:rsid w:val="001C18BA"/>
    <w:rsid w:val="001E6133"/>
    <w:rsid w:val="001E7271"/>
    <w:rsid w:val="00201B68"/>
    <w:rsid w:val="002107F6"/>
    <w:rsid w:val="00216A45"/>
    <w:rsid w:val="002E0AE6"/>
    <w:rsid w:val="002E7F96"/>
    <w:rsid w:val="00317F37"/>
    <w:rsid w:val="00322176"/>
    <w:rsid w:val="00352298"/>
    <w:rsid w:val="003548A6"/>
    <w:rsid w:val="00357E51"/>
    <w:rsid w:val="00360804"/>
    <w:rsid w:val="003738CB"/>
    <w:rsid w:val="00392967"/>
    <w:rsid w:val="003B5EFF"/>
    <w:rsid w:val="003C4029"/>
    <w:rsid w:val="003D2B20"/>
    <w:rsid w:val="003D46AE"/>
    <w:rsid w:val="003E2C51"/>
    <w:rsid w:val="00414318"/>
    <w:rsid w:val="004147C4"/>
    <w:rsid w:val="00427FD4"/>
    <w:rsid w:val="004432C8"/>
    <w:rsid w:val="0046271C"/>
    <w:rsid w:val="00474055"/>
    <w:rsid w:val="00483A2C"/>
    <w:rsid w:val="00496ABD"/>
    <w:rsid w:val="004D5C29"/>
    <w:rsid w:val="004E1ECA"/>
    <w:rsid w:val="004E60CB"/>
    <w:rsid w:val="004F5A75"/>
    <w:rsid w:val="004F7FA3"/>
    <w:rsid w:val="0050150B"/>
    <w:rsid w:val="00507947"/>
    <w:rsid w:val="00520D10"/>
    <w:rsid w:val="005448CA"/>
    <w:rsid w:val="005638FD"/>
    <w:rsid w:val="00590900"/>
    <w:rsid w:val="00593B8E"/>
    <w:rsid w:val="005B0774"/>
    <w:rsid w:val="005B2EC7"/>
    <w:rsid w:val="005D1B0A"/>
    <w:rsid w:val="005D63D1"/>
    <w:rsid w:val="005D7ED4"/>
    <w:rsid w:val="006362EE"/>
    <w:rsid w:val="00662D1C"/>
    <w:rsid w:val="0067116B"/>
    <w:rsid w:val="00675298"/>
    <w:rsid w:val="00683182"/>
    <w:rsid w:val="006A1740"/>
    <w:rsid w:val="006A6032"/>
    <w:rsid w:val="006B009D"/>
    <w:rsid w:val="006C05A0"/>
    <w:rsid w:val="006C37B3"/>
    <w:rsid w:val="006D4984"/>
    <w:rsid w:val="0072748A"/>
    <w:rsid w:val="0076338F"/>
    <w:rsid w:val="00775782"/>
    <w:rsid w:val="007760E4"/>
    <w:rsid w:val="007A0840"/>
    <w:rsid w:val="007A4279"/>
    <w:rsid w:val="007B0671"/>
    <w:rsid w:val="007C5D14"/>
    <w:rsid w:val="007F3A33"/>
    <w:rsid w:val="00801B2A"/>
    <w:rsid w:val="00835952"/>
    <w:rsid w:val="00846370"/>
    <w:rsid w:val="008529E2"/>
    <w:rsid w:val="00866E5C"/>
    <w:rsid w:val="00875829"/>
    <w:rsid w:val="00882BC7"/>
    <w:rsid w:val="00884805"/>
    <w:rsid w:val="008C7633"/>
    <w:rsid w:val="008D1887"/>
    <w:rsid w:val="008D1B43"/>
    <w:rsid w:val="008E632E"/>
    <w:rsid w:val="008E65C2"/>
    <w:rsid w:val="00923D06"/>
    <w:rsid w:val="009338E8"/>
    <w:rsid w:val="009704C9"/>
    <w:rsid w:val="009C436C"/>
    <w:rsid w:val="009E3F1E"/>
    <w:rsid w:val="00A177D8"/>
    <w:rsid w:val="00A300CA"/>
    <w:rsid w:val="00A30A52"/>
    <w:rsid w:val="00A46374"/>
    <w:rsid w:val="00A51658"/>
    <w:rsid w:val="00A81ECF"/>
    <w:rsid w:val="00A846B9"/>
    <w:rsid w:val="00A9403E"/>
    <w:rsid w:val="00AA50D2"/>
    <w:rsid w:val="00AB139A"/>
    <w:rsid w:val="00AE39DC"/>
    <w:rsid w:val="00B11328"/>
    <w:rsid w:val="00B16C5B"/>
    <w:rsid w:val="00B22BEE"/>
    <w:rsid w:val="00B330C7"/>
    <w:rsid w:val="00B41F30"/>
    <w:rsid w:val="00B422C3"/>
    <w:rsid w:val="00B509B6"/>
    <w:rsid w:val="00B65DEC"/>
    <w:rsid w:val="00BA461B"/>
    <w:rsid w:val="00BB2397"/>
    <w:rsid w:val="00BD3298"/>
    <w:rsid w:val="00BE1B5F"/>
    <w:rsid w:val="00BE2398"/>
    <w:rsid w:val="00BF5AA5"/>
    <w:rsid w:val="00C12D3E"/>
    <w:rsid w:val="00C311C8"/>
    <w:rsid w:val="00C57996"/>
    <w:rsid w:val="00C57E57"/>
    <w:rsid w:val="00C637B6"/>
    <w:rsid w:val="00C67E6F"/>
    <w:rsid w:val="00C860A9"/>
    <w:rsid w:val="00CA67F5"/>
    <w:rsid w:val="00CA6836"/>
    <w:rsid w:val="00CA762E"/>
    <w:rsid w:val="00D01B47"/>
    <w:rsid w:val="00D27E80"/>
    <w:rsid w:val="00D34980"/>
    <w:rsid w:val="00D45EE7"/>
    <w:rsid w:val="00D60508"/>
    <w:rsid w:val="00D72FED"/>
    <w:rsid w:val="00D762E5"/>
    <w:rsid w:val="00D92375"/>
    <w:rsid w:val="00D975C2"/>
    <w:rsid w:val="00DC1C7E"/>
    <w:rsid w:val="00DE57EA"/>
    <w:rsid w:val="00E14A35"/>
    <w:rsid w:val="00E22CDB"/>
    <w:rsid w:val="00E63422"/>
    <w:rsid w:val="00E73167"/>
    <w:rsid w:val="00E76D8A"/>
    <w:rsid w:val="00E80B54"/>
    <w:rsid w:val="00E90AA9"/>
    <w:rsid w:val="00E91BA1"/>
    <w:rsid w:val="00E9439E"/>
    <w:rsid w:val="00EB1815"/>
    <w:rsid w:val="00EB48B7"/>
    <w:rsid w:val="00EC74C5"/>
    <w:rsid w:val="00ED679F"/>
    <w:rsid w:val="00ED7978"/>
    <w:rsid w:val="00EE37DB"/>
    <w:rsid w:val="00EE3BEA"/>
    <w:rsid w:val="00EF0BE5"/>
    <w:rsid w:val="00F166BE"/>
    <w:rsid w:val="00F34BFF"/>
    <w:rsid w:val="00F56766"/>
    <w:rsid w:val="00FA09A8"/>
    <w:rsid w:val="00FD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32446"/>
  <w15:docId w15:val="{A5A9BC31-ED8A-432A-9011-F7EF4BEC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216A45"/>
    <w:pPr>
      <w:ind w:left="720"/>
      <w:contextualSpacing/>
    </w:pPr>
  </w:style>
  <w:style w:type="paragraph" w:customStyle="1" w:styleId="my-2">
    <w:name w:val="my-2"/>
    <w:basedOn w:val="Normal"/>
    <w:rsid w:val="00A9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357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422C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22C3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1132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2E7F96"/>
    <w:pPr>
      <w:tabs>
        <w:tab w:val="right" w:leader="dot" w:pos="9019"/>
      </w:tabs>
      <w:spacing w:after="100"/>
    </w:pPr>
    <w:rPr>
      <w:b/>
      <w:bCs/>
      <w:noProof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2E7F96"/>
    <w:pPr>
      <w:tabs>
        <w:tab w:val="right" w:leader="dot" w:pos="9019"/>
      </w:tabs>
      <w:spacing w:after="100"/>
      <w:ind w:left="220"/>
    </w:pPr>
    <w:rPr>
      <w:b/>
      <w:bCs/>
      <w:noProof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B113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4282">
                  <w:marLeft w:val="0"/>
                  <w:marRight w:val="0"/>
                  <w:marTop w:val="0"/>
                  <w:marBottom w:val="0"/>
                  <w:divBdr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divBdr>
                </w:div>
              </w:divsChild>
            </w:div>
          </w:divsChild>
        </w:div>
      </w:divsChild>
    </w:div>
    <w:div w:id="2546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16677">
                  <w:marLeft w:val="0"/>
                  <w:marRight w:val="0"/>
                  <w:marTop w:val="0"/>
                  <w:marBottom w:val="0"/>
                  <w:divBdr>
                    <w:top w:val="single" w:sz="6" w:space="0" w:color="666666"/>
                    <w:left w:val="single" w:sz="6" w:space="0" w:color="666666"/>
                    <w:bottom w:val="single" w:sz="6" w:space="0" w:color="666666"/>
                    <w:right w:val="single" w:sz="6" w:space="0" w:color="666666"/>
                  </w:divBdr>
                </w:div>
              </w:divsChild>
            </w:div>
          </w:divsChild>
        </w:div>
      </w:divsChild>
    </w:div>
    <w:div w:id="15909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tu.be/HUQSSuTwVu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F45157F-771A-4599-A02B-088DD92129DA}">
  <we:reference id="wa200000368" version="1.0.0.0" store="es-MX" storeType="OMEX"/>
  <we:alternateReferences>
    <we:reference id="wa200000368" version="1.0.0.0" store="es-MX" storeType="OMEX"/>
  </we:alternateReferences>
  <we:properties>
    <we:property name="documentId" value="&quot;aca947081a2e91e2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48AF7-358D-46D5-B47C-8C728E23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6586</Words>
  <Characters>36225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Wladimir Jhayya Perlaza</dc:creator>
  <cp:lastModifiedBy>Jairo Jhayya</cp:lastModifiedBy>
  <cp:revision>4</cp:revision>
  <cp:lastPrinted>2026-01-27T18:29:00Z</cp:lastPrinted>
  <dcterms:created xsi:type="dcterms:W3CDTF">2026-01-27T18:29:00Z</dcterms:created>
  <dcterms:modified xsi:type="dcterms:W3CDTF">2026-01-27T18:29:00Z</dcterms:modified>
  <dc:title>Impacto social y responsabilidad en el proyecto de IA</dc:title>
</cp:coreProperties>
</file>