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CONSULTING SERVICES AGREEMENT</w:t>
      </w:r>
    </w:p>
    <w:p>
      <w:r>
        <w:t>This Consulting Services Agreement (the "Agreement") is entered into as of June 11, 2026, by and between Apex Advisory ("Consultant") and Nexus Enterprises ("Client").</w:t>
      </w:r>
    </w:p>
    <w:p>
      <w:pPr>
        <w:pStyle w:val="Heading1"/>
      </w:pPr>
      <w:r>
        <w:t>Section 1. Indemnity</w:t>
      </w:r>
    </w:p>
    <w:p>
      <w:r>
        <w:t>Consultant shall indemnify Client from claims arising out of Consultant's gross negligence or willful misconduct in the performance of services. Client shall indemnify Consultant from claims arising out of Client's breach of Agreement.</w:t>
      </w:r>
    </w:p>
    <w:p>
      <w:pPr>
        <w:pStyle w:val="Heading1"/>
      </w:pPr>
      <w:r>
        <w:t>Section 2. Limitation of Liability</w:t>
      </w:r>
    </w:p>
    <w:p>
      <w:r>
        <w:t>Except for breach of confidentiality, each party's total liability under this Agreement shall be limited to the total fees paid by Client to Consultant under this Agreement.</w:t>
      </w:r>
    </w:p>
    <w:p>
      <w:pPr>
        <w:pStyle w:val="Heading1"/>
      </w:pPr>
      <w:r>
        <w:t>Section 3. Governing Law</w:t>
      </w:r>
    </w:p>
    <w:p>
      <w:r>
        <w:t>This Agreement shall be governed by, and construed in accordance with, the laws of the State of California. Any disputes shall be settled in the courts of San Francisco, California.</w:t>
      </w:r>
    </w:p>
    <w:p>
      <w:pPr>
        <w:pStyle w:val="Heading1"/>
      </w:pPr>
      <w:r>
        <w:t>Section 4. Termination</w:t>
      </w:r>
    </w:p>
    <w:p>
      <w:r>
        <w:t>Either party may terminate this Agreement upon thirty (30) days' written notice to the other party. Upon termination, Client shall pay Consultant for all services rendered up to the date of termination.</w:t>
      </w:r>
    </w:p>
    <w:p>
      <w:pPr>
        <w:pStyle w:val="Heading1"/>
      </w:pPr>
      <w:r>
        <w:t>Section 5. IP Ownership</w:t>
      </w:r>
    </w:p>
    <w:p>
      <w:r>
        <w:t>Upon full payment of all fees, all deliverables created for Client shall become the sole property of Client. Consultant retains ownership of all background consulting tools and methodologies used in performing the services.</w:t>
      </w:r>
    </w:p>
    <w:p>
      <w:pPr>
        <w:pStyle w:val="Heading1"/>
      </w:pPr>
      <w:r>
        <w:t>Section 6. Payments and Rates</w:t>
      </w:r>
    </w:p>
    <w:p>
      <w:r>
        <w:t>Client shall pay all invoices within thirty (30) days of receipt. Interest on late payments shall accrue at 0.5% per month.</w:t>
      </w:r>
    </w:p>
    <w:p>
      <w:pPr>
        <w:pStyle w:val="Heading1"/>
      </w:pPr>
      <w:r>
        <w:t>Section 7. Confidentiality</w:t>
      </w:r>
    </w:p>
    <w:p>
      <w:r>
        <w:t>Both parties agree to protect the other's confidential business information. This obligation shall survive the termination of this agreement for a period of two (2) years.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