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MUTUAL BUSINESS PARTNERSHIP AGREEMENT</w:t>
      </w:r>
    </w:p>
    <w:p>
      <w:r>
        <w:t>This Mutual Business Partnership Agreement (the "Agreement") is entered into as of June 11, 2026, by and between Alpha Corp, a Delaware corporation ("Alpha"), and Beta Holdings LLC, a Delaware limited liability company ("Beta").</w:t>
      </w:r>
    </w:p>
    <w:p>
      <w:pPr>
        <w:pStyle w:val="Heading1"/>
      </w:pPr>
      <w:r>
        <w:t>Section 1. Indemnification</w:t>
      </w:r>
    </w:p>
    <w:p>
      <w:r>
        <w:t>Each party (the "Indemnifying Party") shall indemnify, defend, and hold harmless the other party and its officers, directors, and employees (the "Indemnified Party") from and against any and all third-party claims, losses, damages, liabilities, costs, and expenses (including reasonable attorneys' fees) arising out of or relating to a material breach of this Agreement, gross negligence, or willful misconduct by the Indemnifying Party in connection with its obligations under this Agreement.</w:t>
      </w:r>
    </w:p>
    <w:p>
      <w:pPr>
        <w:pStyle w:val="Heading1"/>
      </w:pPr>
      <w:r>
        <w:t>Section 2. Limitation of Liability</w:t>
      </w:r>
    </w:p>
    <w:p>
      <w:r>
        <w:t>Except for breaches of confidentiality under Section 7, indemnification obligations under Section 1, or willful misconduct, neither party shall be liable for any indirect, incidental, special, consequential, or punitive damages, or loss of profits or revenues under this Agreement. Each party's maximum aggregate liability under this Agreement shall be limited to the total fees paid or payable under this Agreement in the twelve (12) months preceding the event giving rise to liability.</w:t>
      </w:r>
    </w:p>
    <w:p>
      <w:pPr>
        <w:pStyle w:val="Heading1"/>
      </w:pPr>
      <w:r>
        <w:t>Section 3. Governing Law and Jurisdiction</w:t>
      </w:r>
    </w:p>
    <w:p>
      <w:r>
        <w:t>This Agreement shall be governed by, and construed in accordance with, the laws of the State of Delaware, without regard to its conflict of laws principles. The parties submit to the exclusive jurisdiction of the state and federal courts located in Wilmington, Delaware, for the resolution of any dispute arising hereunder.</w:t>
      </w:r>
    </w:p>
    <w:p>
      <w:pPr>
        <w:pStyle w:val="Heading1"/>
      </w:pPr>
      <w:r>
        <w:t>Section 4. Term and Termination</w:t>
      </w:r>
    </w:p>
    <w:p>
      <w:r>
        <w:t>This Agreement shall commence on the Effective Date and continue for one (1) year. Either party may terminate this Agreement for convenience upon ninety (90) days' written notice to the other party. Either party may terminate this Agreement for cause if the other party materially breaches this Agreement and fails to cure such breach within thirty (30) days of receiving written notice thereof.</w:t>
      </w:r>
    </w:p>
    <w:p>
      <w:pPr>
        <w:pStyle w:val="Heading1"/>
      </w:pPr>
      <w:r>
        <w:t>Section 5. Intellectual Property Rights</w:t>
      </w:r>
    </w:p>
    <w:p>
      <w:r>
        <w:t>Each party retains all right, title, and interest in its pre-existing intellectual property. Any intellectual property created or developed solely or jointly by a party in connection with the services shall be owned by the party that created it, and to the extent it constitutes deliverables, shall be licensed to the other party on a non-exclusive, worldwide, royalty-free, perpetual basis.</w:t>
      </w:r>
    </w:p>
    <w:p>
      <w:pPr>
        <w:pStyle w:val="Heading1"/>
      </w:pPr>
      <w:r>
        <w:t>Section 6. Payment Terms and Invoicing</w:t>
      </w:r>
    </w:p>
    <w:p>
      <w:r>
        <w:t>Client shall pay all undisputed invoices within thirty (30) days of receipt. Any late payments not subject to a good faith dispute shall accrue interest at a rate of 1.0% per month, or the maximum rate permitted by law, whichever is lower.</w:t>
      </w:r>
    </w:p>
    <w:p>
      <w:pPr>
        <w:pStyle w:val="Heading1"/>
      </w:pPr>
      <w:r>
        <w:t>Section 7. Confidentiality Obligations</w:t>
      </w:r>
    </w:p>
    <w:p>
      <w:r>
        <w:t>Each party agrees to hold the other party's Confidential Information in strict confidence and to use at least the same degree of care it uses to protect its own confidential information, but in no event less than a reasonable degree of care. Confidential Information shall not be disclosed to third parties except to employees, consultants, or advisors with a need to know. This obligation survives termination for a period of three (3)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