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rtl w:val="0"/>
        </w:rPr>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Media Schedule and Media Order Approval Policy Acknowledgement </w:t>
      </w:r>
    </w:p>
    <w:p w:rsidR="00000000" w:rsidDel="00000000" w:rsidP="00000000" w:rsidRDefault="00000000" w:rsidRPr="00000000" w14:paraId="00000003">
      <w:pPr>
        <w:rPr>
          <w:b w:val="1"/>
          <w:bCs w:val="1"/>
          <w:sz w:val="34"/>
          <w:szCs w:val="34"/>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Name</w:t>
        <w:tab/>
        <w:tab/>
        <w:tab/>
        <w:t xml:space="preserve">: Namrata Sharma</w:t>
      </w:r>
    </w:p>
    <w:p w:rsidR="00000000" w:rsidDel="00000000" w:rsidP="00000000" w:rsidRDefault="00000000" w:rsidRPr="00000000" w14:paraId="00000006">
      <w:pPr>
        <w:rPr/>
      </w:pPr>
      <w:r w:rsidDel="00000000" w:rsidR="00000000" w:rsidRPr="00000000">
        <w:rPr>
          <w:rtl w:val="0"/>
        </w:rPr>
        <w:t xml:space="preserve">Passport Number</w:t>
        <w:tab/>
        <w:t xml:space="preserve">: Z6068454 </w:t>
      </w:r>
    </w:p>
    <w:p w:rsidR="00000000" w:rsidDel="00000000" w:rsidP="00000000" w:rsidRDefault="00000000" w:rsidRPr="00000000" w14:paraId="00000007">
      <w:pPr>
        <w:rPr/>
      </w:pPr>
      <w:r w:rsidDel="00000000" w:rsidR="00000000" w:rsidRPr="00000000">
        <w:rPr>
          <w:rtl w:val="0"/>
        </w:rPr>
        <w:t xml:space="preserve">Department</w:t>
        <w:tab/>
        <w:tab/>
        <w:t xml:space="preserve">: Account Management Team</w:t>
      </w:r>
    </w:p>
    <w:p w:rsidR="00000000" w:rsidDel="00000000" w:rsidP="00000000" w:rsidRDefault="00000000" w:rsidRPr="00000000" w14:paraId="00000008">
      <w:pPr>
        <w:rPr/>
      </w:pPr>
      <w:r w:rsidDel="00000000" w:rsidR="00000000" w:rsidRPr="00000000">
        <w:rPr>
          <w:rtl w:val="0"/>
        </w:rPr>
        <w:t xml:space="preserve">Date Joined.               : 28/04/2025 ______________________________________________________________</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 acknowledge that I have received, read, and understood the </w:t>
      </w:r>
      <w:r w:rsidDel="00000000" w:rsidR="00000000" w:rsidRPr="00000000">
        <w:rPr>
          <w:b w:val="1"/>
          <w:bCs w:val="1"/>
          <w:rtl w:val="0"/>
        </w:rPr>
        <w:t xml:space="preserve">Policy for Media Schedule and Media Order Approvals</w:t>
      </w:r>
      <w:r w:rsidDel="00000000" w:rsidR="00000000" w:rsidRPr="00000000">
        <w:rPr>
          <w:rtl w:val="0"/>
        </w:rPr>
        <w:t xml:space="preserve"> as outlined below:</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numPr>
          <w:ilvl w:val="0"/>
          <w:numId w:val="2"/>
        </w:numPr>
        <w:spacing w:after="0" w:afterAutospacing="0" w:before="240" w:line="360" w:lineRule="auto"/>
        <w:ind w:left="720" w:hanging="360"/>
        <w:jc w:val="both"/>
        <w:rPr>
          <w:color w:val="252525"/>
        </w:rPr>
      </w:pPr>
      <w:r w:rsidDel="00000000" w:rsidR="00000000" w:rsidRPr="00000000">
        <w:rPr>
          <w:color w:val="252525"/>
          <w:rtl w:val="0"/>
        </w:rPr>
        <w:t xml:space="preserve">All Media Schedules and Media Orders must be approved by Amutha Subramaniam via the designated SLACK channels.</w:t>
      </w:r>
    </w:p>
    <w:p w:rsidR="00000000" w:rsidDel="00000000" w:rsidP="00000000" w:rsidRDefault="00000000" w:rsidRPr="00000000" w14:paraId="0000000D">
      <w:pPr>
        <w:numPr>
          <w:ilvl w:val="0"/>
          <w:numId w:val="2"/>
        </w:numPr>
        <w:spacing w:after="0" w:afterAutospacing="0" w:before="0" w:beforeAutospacing="0" w:line="360" w:lineRule="auto"/>
        <w:ind w:left="720" w:hanging="360"/>
        <w:jc w:val="both"/>
        <w:rPr>
          <w:color w:val="252525"/>
        </w:rPr>
      </w:pPr>
      <w:r w:rsidDel="00000000" w:rsidR="00000000" w:rsidRPr="00000000">
        <w:rPr>
          <w:color w:val="252525"/>
          <w:rtl w:val="0"/>
        </w:rPr>
        <w:t xml:space="preserve">Media Schedules and Media Orders may only be sent to clients or media owners (as applicable) after receiving explicit approval from Amutha Subramaniam.</w:t>
      </w:r>
    </w:p>
    <w:p w:rsidR="00000000" w:rsidDel="00000000" w:rsidP="00000000" w:rsidRDefault="00000000" w:rsidRPr="00000000" w14:paraId="0000000E">
      <w:pPr>
        <w:numPr>
          <w:ilvl w:val="0"/>
          <w:numId w:val="2"/>
        </w:numPr>
        <w:spacing w:after="0" w:afterAutospacing="0" w:before="0" w:beforeAutospacing="0" w:line="360" w:lineRule="auto"/>
        <w:ind w:left="720" w:hanging="360"/>
        <w:jc w:val="both"/>
        <w:rPr>
          <w:color w:val="252525"/>
        </w:rPr>
      </w:pPr>
      <w:r w:rsidDel="00000000" w:rsidR="00000000" w:rsidRPr="00000000">
        <w:rPr>
          <w:color w:val="252525"/>
          <w:rtl w:val="0"/>
        </w:rPr>
        <w:t xml:space="preserve">Sending Media Schedules or Media Orders (even if accurate) to clients without prior approval from Amutha Subramaniam will result in:</w:t>
      </w:r>
    </w:p>
    <w:p w:rsidR="00000000" w:rsidDel="00000000" w:rsidP="00000000" w:rsidRDefault="00000000" w:rsidRPr="00000000" w14:paraId="0000000F">
      <w:pPr>
        <w:numPr>
          <w:ilvl w:val="1"/>
          <w:numId w:val="2"/>
        </w:numPr>
        <w:spacing w:after="0" w:afterAutospacing="0" w:before="0" w:beforeAutospacing="0" w:line="360" w:lineRule="auto"/>
        <w:ind w:left="1440" w:hanging="360"/>
        <w:jc w:val="both"/>
        <w:rPr>
          <w:color w:val="252525"/>
        </w:rPr>
      </w:pPr>
      <w:r w:rsidDel="00000000" w:rsidR="00000000" w:rsidRPr="00000000">
        <w:rPr>
          <w:color w:val="252525"/>
          <w:rtl w:val="0"/>
        </w:rPr>
        <w:t xml:space="preserve">Issuance of a </w:t>
      </w:r>
      <w:r w:rsidDel="00000000" w:rsidR="00000000" w:rsidRPr="00000000">
        <w:rPr>
          <w:b w:val="1"/>
          <w:bCs w:val="1"/>
          <w:color w:val="252525"/>
          <w:rtl w:val="0"/>
        </w:rPr>
        <w:t xml:space="preserve">Warning Letter</w:t>
      </w:r>
      <w:r w:rsidDel="00000000" w:rsidR="00000000" w:rsidRPr="00000000">
        <w:rPr>
          <w:color w:val="252525"/>
          <w:rtl w:val="0"/>
        </w:rPr>
        <w:t xml:space="preserve">.</w:t>
      </w:r>
    </w:p>
    <w:p w:rsidR="00000000" w:rsidDel="00000000" w:rsidP="00000000" w:rsidRDefault="00000000" w:rsidRPr="00000000" w14:paraId="00000010">
      <w:pPr>
        <w:numPr>
          <w:ilvl w:val="1"/>
          <w:numId w:val="2"/>
        </w:numPr>
        <w:spacing w:after="0" w:afterAutospacing="0" w:before="0" w:beforeAutospacing="0" w:line="360" w:lineRule="auto"/>
        <w:ind w:left="1440" w:hanging="360"/>
        <w:jc w:val="both"/>
        <w:rPr>
          <w:color w:val="252525"/>
        </w:rPr>
      </w:pPr>
      <w:r w:rsidDel="00000000" w:rsidR="00000000" w:rsidRPr="00000000">
        <w:rPr>
          <w:color w:val="252525"/>
          <w:rtl w:val="0"/>
        </w:rPr>
        <w:t xml:space="preserve">A </w:t>
      </w:r>
      <w:r w:rsidDel="00000000" w:rsidR="00000000" w:rsidRPr="00000000">
        <w:rPr>
          <w:b w:val="1"/>
          <w:bCs w:val="1"/>
          <w:color w:val="252525"/>
          <w:rtl w:val="0"/>
        </w:rPr>
        <w:t xml:space="preserve">domestic inquiry</w:t>
      </w:r>
      <w:r w:rsidDel="00000000" w:rsidR="00000000" w:rsidRPr="00000000">
        <w:rPr>
          <w:color w:val="252525"/>
          <w:rtl w:val="0"/>
        </w:rPr>
        <w:t xml:space="preserve"> for non-compliance by HR.</w:t>
      </w:r>
    </w:p>
    <w:p w:rsidR="00000000" w:rsidDel="00000000" w:rsidP="00000000" w:rsidRDefault="00000000" w:rsidRPr="00000000" w14:paraId="00000011">
      <w:pPr>
        <w:numPr>
          <w:ilvl w:val="0"/>
          <w:numId w:val="2"/>
        </w:numPr>
        <w:spacing w:after="0" w:afterAutospacing="0" w:before="0" w:beforeAutospacing="0" w:line="360" w:lineRule="auto"/>
        <w:ind w:left="720" w:hanging="360"/>
        <w:jc w:val="both"/>
        <w:rPr>
          <w:color w:val="252525"/>
        </w:rPr>
      </w:pPr>
      <w:r w:rsidDel="00000000" w:rsidR="00000000" w:rsidRPr="00000000">
        <w:rPr>
          <w:color w:val="252525"/>
          <w:rtl w:val="0"/>
        </w:rPr>
        <w:t xml:space="preserve">If an unapproved Media Schedule contains mistakes, the campaign will not proceed unless the client signs a rectified version. Responsibility for corrections and obtaining the client's signature lies with the staff member.</w:t>
      </w:r>
    </w:p>
    <w:p w:rsidR="00000000" w:rsidDel="00000000" w:rsidP="00000000" w:rsidRDefault="00000000" w:rsidRPr="00000000" w14:paraId="00000012">
      <w:pPr>
        <w:numPr>
          <w:ilvl w:val="0"/>
          <w:numId w:val="2"/>
        </w:numPr>
        <w:spacing w:after="0" w:afterAutospacing="0" w:before="0" w:beforeAutospacing="0" w:line="360" w:lineRule="auto"/>
        <w:ind w:left="720" w:hanging="360"/>
        <w:jc w:val="both"/>
        <w:rPr>
          <w:color w:val="252525"/>
        </w:rPr>
      </w:pPr>
      <w:r w:rsidDel="00000000" w:rsidR="00000000" w:rsidRPr="00000000">
        <w:rPr>
          <w:color w:val="252525"/>
          <w:rtl w:val="0"/>
        </w:rPr>
        <w:t xml:space="preserve">In cases where a client refuses to sign a rectified Media Schedule, and the campaign proceeds to retain the client relationship, any financial loss will be borne by the responsible staff member. This amount will be deducted from their remuneration.</w:t>
      </w:r>
    </w:p>
    <w:p w:rsidR="00000000" w:rsidDel="00000000" w:rsidP="00000000" w:rsidRDefault="00000000" w:rsidRPr="00000000" w14:paraId="00000013">
      <w:pPr>
        <w:numPr>
          <w:ilvl w:val="0"/>
          <w:numId w:val="2"/>
        </w:numPr>
        <w:spacing w:after="240" w:before="0" w:beforeAutospacing="0" w:line="360" w:lineRule="auto"/>
        <w:ind w:left="720" w:hanging="360"/>
        <w:jc w:val="both"/>
        <w:rPr>
          <w:color w:val="252525"/>
        </w:rPr>
      </w:pPr>
      <w:r w:rsidDel="00000000" w:rsidR="00000000" w:rsidRPr="00000000">
        <w:rPr>
          <w:color w:val="252525"/>
          <w:rtl w:val="0"/>
        </w:rPr>
        <w:t xml:space="preserve">If an unapproved Media Order contains errors, the responsible staff member must rectify the issue at their own expense.</w:t>
      </w:r>
    </w:p>
    <w:p w:rsidR="00000000" w:rsidDel="00000000" w:rsidP="00000000" w:rsidRDefault="00000000" w:rsidRPr="00000000" w14:paraId="00000014">
      <w:pPr>
        <w:spacing w:after="240" w:before="240" w:line="360" w:lineRule="auto"/>
        <w:jc w:val="both"/>
        <w:rPr>
          <w:color w:val="252525"/>
        </w:rPr>
      </w:pPr>
      <w:r w:rsidDel="00000000" w:rsidR="00000000" w:rsidRPr="00000000">
        <w:rPr>
          <w:rtl w:val="0"/>
        </w:rPr>
      </w:r>
    </w:p>
    <w:p w:rsidR="00000000" w:rsidDel="00000000" w:rsidP="00000000" w:rsidRDefault="00000000" w:rsidRPr="00000000" w14:paraId="00000015">
      <w:pPr>
        <w:numPr>
          <w:ilvl w:val="0"/>
          <w:numId w:val="2"/>
        </w:numPr>
        <w:spacing w:after="0" w:afterAutospacing="0" w:before="240" w:line="360" w:lineRule="auto"/>
        <w:ind w:left="720" w:hanging="360"/>
        <w:jc w:val="both"/>
        <w:rPr>
          <w:color w:val="252525"/>
        </w:rPr>
      </w:pPr>
      <w:r w:rsidDel="00000000" w:rsidR="00000000" w:rsidRPr="00000000">
        <w:rPr>
          <w:color w:val="252525"/>
          <w:rtl w:val="0"/>
        </w:rPr>
        <w:t xml:space="preserve">If a client or media owner files a complaint regarding staff actions, the staff member will:</w:t>
      </w:r>
    </w:p>
    <w:p w:rsidR="00000000" w:rsidDel="00000000" w:rsidP="00000000" w:rsidRDefault="00000000" w:rsidRPr="00000000" w14:paraId="00000016">
      <w:pPr>
        <w:numPr>
          <w:ilvl w:val="1"/>
          <w:numId w:val="2"/>
        </w:numPr>
        <w:spacing w:after="0" w:afterAutospacing="0" w:before="0" w:beforeAutospacing="0" w:line="360" w:lineRule="auto"/>
        <w:ind w:left="1440" w:hanging="360"/>
        <w:jc w:val="both"/>
        <w:rPr>
          <w:color w:val="252525"/>
        </w:rPr>
      </w:pPr>
      <w:r w:rsidDel="00000000" w:rsidR="00000000" w:rsidRPr="00000000">
        <w:rPr>
          <w:color w:val="252525"/>
          <w:rtl w:val="0"/>
        </w:rPr>
        <w:t xml:space="preserve">Receive a </w:t>
      </w:r>
      <w:r w:rsidDel="00000000" w:rsidR="00000000" w:rsidRPr="00000000">
        <w:rPr>
          <w:b w:val="1"/>
          <w:bCs w:val="1"/>
          <w:color w:val="252525"/>
          <w:rtl w:val="0"/>
        </w:rPr>
        <w:t xml:space="preserve">Warning Letter</w:t>
      </w:r>
      <w:r w:rsidDel="00000000" w:rsidR="00000000" w:rsidRPr="00000000">
        <w:rPr>
          <w:color w:val="252525"/>
          <w:rtl w:val="0"/>
        </w:rPr>
        <w:t xml:space="preserve"> from HR.</w:t>
      </w:r>
    </w:p>
    <w:p w:rsidR="00000000" w:rsidDel="00000000" w:rsidP="00000000" w:rsidRDefault="00000000" w:rsidRPr="00000000" w14:paraId="00000017">
      <w:pPr>
        <w:numPr>
          <w:ilvl w:val="1"/>
          <w:numId w:val="2"/>
        </w:numPr>
        <w:spacing w:after="0" w:afterAutospacing="0" w:before="0" w:beforeAutospacing="0" w:line="360" w:lineRule="auto"/>
        <w:ind w:left="1440" w:hanging="360"/>
        <w:jc w:val="both"/>
        <w:rPr>
          <w:color w:val="252525"/>
        </w:rPr>
      </w:pPr>
      <w:r w:rsidDel="00000000" w:rsidR="00000000" w:rsidRPr="00000000">
        <w:rPr>
          <w:color w:val="252525"/>
          <w:rtl w:val="0"/>
        </w:rPr>
        <w:t xml:space="preserve">Be liable for any loss of potential earnings as outlined in point 5.</w:t>
      </w:r>
    </w:p>
    <w:p w:rsidR="00000000" w:rsidDel="00000000" w:rsidP="00000000" w:rsidRDefault="00000000" w:rsidRPr="00000000" w14:paraId="00000018">
      <w:pPr>
        <w:numPr>
          <w:ilvl w:val="0"/>
          <w:numId w:val="2"/>
        </w:numPr>
        <w:spacing w:after="240" w:before="0" w:beforeAutospacing="0" w:line="360" w:lineRule="auto"/>
        <w:ind w:left="720" w:hanging="360"/>
        <w:jc w:val="both"/>
        <w:rPr>
          <w:color w:val="252525"/>
        </w:rPr>
      </w:pPr>
      <w:r w:rsidDel="00000000" w:rsidR="00000000" w:rsidRPr="00000000">
        <w:rPr>
          <w:color w:val="252525"/>
          <w:rtl w:val="0"/>
        </w:rPr>
        <w:t xml:space="preserve">Non-compliance leading to the loss of business will result in </w:t>
      </w:r>
      <w:r w:rsidDel="00000000" w:rsidR="00000000" w:rsidRPr="00000000">
        <w:rPr>
          <w:b w:val="1"/>
          <w:bCs w:val="1"/>
          <w:color w:val="252525"/>
          <w:rtl w:val="0"/>
        </w:rPr>
        <w:t xml:space="preserve">immediate termination</w:t>
      </w:r>
      <w:r w:rsidDel="00000000" w:rsidR="00000000" w:rsidRPr="00000000">
        <w:rPr>
          <w:color w:val="252525"/>
          <w:rtl w:val="0"/>
        </w:rPr>
        <w:t xml:space="preserve"> of the responsible staff member.</w:t>
      </w:r>
      <w:r w:rsidDel="00000000" w:rsidR="00000000" w:rsidRPr="00000000">
        <w:rPr>
          <w:rtl w:val="0"/>
        </w:rPr>
      </w:r>
    </w:p>
    <w:p w:rsidR="00000000" w:rsidDel="00000000" w:rsidP="00000000" w:rsidRDefault="00000000" w:rsidRPr="00000000" w14:paraId="00000019">
      <w:pPr>
        <w:spacing w:after="240" w:before="240" w:lineRule="auto"/>
        <w:rPr>
          <w:b w:val="1"/>
          <w:bCs w:val="1"/>
          <w:color w:val="252525"/>
        </w:rPr>
      </w:pPr>
      <w:r w:rsidDel="00000000" w:rsidR="00000000" w:rsidRPr="00000000">
        <w:rPr>
          <w:b w:val="1"/>
          <w:bCs w:val="1"/>
          <w:color w:val="252525"/>
          <w:rtl w:val="0"/>
        </w:rPr>
        <w:t xml:space="preserve">DEDUCTION FROM REMUNERATION.</w:t>
      </w:r>
    </w:p>
    <w:p w:rsidR="00000000" w:rsidDel="00000000" w:rsidP="00000000" w:rsidRDefault="00000000" w:rsidRPr="00000000" w14:paraId="0000001A">
      <w:pPr>
        <w:numPr>
          <w:ilvl w:val="0"/>
          <w:numId w:val="1"/>
        </w:numPr>
        <w:spacing w:after="0" w:afterAutospacing="0" w:before="240" w:lineRule="auto"/>
        <w:ind w:left="720" w:hanging="360"/>
        <w:rPr>
          <w:color w:val="252525"/>
        </w:rPr>
      </w:pPr>
      <w:r w:rsidDel="00000000" w:rsidR="00000000" w:rsidRPr="00000000">
        <w:rPr>
          <w:color w:val="252525"/>
          <w:rtl w:val="0"/>
        </w:rPr>
        <w:t xml:space="preserve">Deductions to cover financial losses will be made from the next immediate salary or commission cycle.</w:t>
      </w:r>
    </w:p>
    <w:p w:rsidR="00000000" w:rsidDel="00000000" w:rsidP="00000000" w:rsidRDefault="00000000" w:rsidRPr="00000000" w14:paraId="0000001B">
      <w:pPr>
        <w:numPr>
          <w:ilvl w:val="0"/>
          <w:numId w:val="1"/>
        </w:numPr>
        <w:spacing w:after="240" w:before="0" w:beforeAutospacing="0" w:lineRule="auto"/>
        <w:ind w:left="720" w:hanging="360"/>
        <w:rPr>
          <w:color w:val="252525"/>
        </w:rPr>
      </w:pPr>
      <w:r w:rsidDel="00000000" w:rsidR="00000000" w:rsidRPr="00000000">
        <w:rPr>
          <w:color w:val="252525"/>
          <w:rtl w:val="0"/>
        </w:rPr>
        <w:t xml:space="preserve">If the remuneration for that cycle is insufficient, deductions will continue in subsequent cycles until the total amount is recovered.</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jc w:val="center"/>
        <w:rPr>
          <w:b w:val="1"/>
          <w:bCs w:val="1"/>
          <w:sz w:val="24"/>
          <w:szCs w:val="24"/>
        </w:rPr>
      </w:pPr>
      <w:r w:rsidDel="00000000" w:rsidR="00000000" w:rsidRPr="00000000">
        <w:rPr>
          <w:b w:val="1"/>
          <w:bCs w:val="1"/>
          <w:sz w:val="24"/>
          <w:szCs w:val="24"/>
          <w:rtl w:val="0"/>
        </w:rPr>
        <w:t xml:space="preserve">Employee Acknowledgement</w:t>
      </w:r>
    </w:p>
    <w:p w:rsidR="00000000" w:rsidDel="00000000" w:rsidP="00000000" w:rsidRDefault="00000000" w:rsidRPr="00000000" w14:paraId="0000001E">
      <w:pPr>
        <w:spacing w:after="240" w:before="240" w:line="360" w:lineRule="auto"/>
        <w:jc w:val="both"/>
        <w:rPr/>
      </w:pPr>
      <w:r w:rsidDel="00000000" w:rsidR="00000000" w:rsidRPr="00000000">
        <w:rPr>
          <w:rtl w:val="0"/>
        </w:rPr>
        <w:t xml:space="preserve">I hereby confirm that I have read and understood the above policy and agree to adhere to its terms. I am aware of the consequences of non-compliance, including warnings, financial liability, or termination, as applicable.</w:t>
      </w:r>
    </w:p>
    <w:p w:rsidR="00000000" w:rsidDel="00000000" w:rsidP="00000000" w:rsidRDefault="00000000" w:rsidRPr="00000000" w14:paraId="0000001F">
      <w:pPr>
        <w:spacing w:after="240" w:before="240" w:line="480" w:lineRule="auto"/>
        <w:ind w:left="0" w:firstLine="0"/>
        <w:jc w:val="both"/>
        <w:rPr/>
      </w:pPr>
      <w:r w:rsidDel="00000000" w:rsidR="00000000" w:rsidRPr="00000000">
        <w:rPr>
          <w:b w:val="1"/>
          <w:bCs w:val="1"/>
          <w:rtl w:val="0"/>
        </w:rPr>
        <w:t xml:space="preserve">Employee Signature:</w:t>
      </w:r>
      <w:r w:rsidDel="00000000" w:rsidR="00000000" w:rsidRPr="00000000">
        <w:rPr>
          <w:rtl w:val="0"/>
        </w:rPr>
        <w:t xml:space="preserve"> _________________________________________</w:t>
      </w:r>
    </w:p>
    <w:p w:rsidR="00000000" w:rsidDel="00000000" w:rsidP="00000000" w:rsidRDefault="00000000" w:rsidRPr="00000000" w14:paraId="00000020">
      <w:pPr>
        <w:spacing w:after="240" w:before="240" w:line="480" w:lineRule="auto"/>
        <w:ind w:left="0" w:firstLine="0"/>
        <w:jc w:val="both"/>
        <w:rPr/>
      </w:pPr>
      <w:r w:rsidDel="00000000" w:rsidR="00000000" w:rsidRPr="00000000">
        <w:rPr>
          <w:b w:val="1"/>
          <w:bCs w:val="1"/>
          <w:rtl w:val="0"/>
        </w:rPr>
        <w:t xml:space="preserve">Date:</w:t>
      </w:r>
      <w:r w:rsidDel="00000000" w:rsidR="00000000" w:rsidRPr="00000000">
        <w:rPr>
          <w:rtl w:val="0"/>
        </w:rPr>
        <w:t xml:space="preserve"> ______________________________________________________</w:t>
      </w:r>
    </w:p>
    <w:p w:rsidR="00000000" w:rsidDel="00000000" w:rsidP="00000000" w:rsidRDefault="00000000" w:rsidRPr="00000000" w14:paraId="00000021">
      <w:pPr>
        <w:spacing w:line="360" w:lineRule="auto"/>
        <w:jc w:val="both"/>
        <w:rPr>
          <w:color w:val="252525"/>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0000000000001" w:footer="720.00000000000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spacing w:line="240" w:lineRule="auto"/>
      <w:jc w:val="both"/>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447675</wp:posOffset>
          </wp:positionH>
          <wp:positionV relativeFrom="paragraph">
            <wp:posOffset>189582</wp:posOffset>
          </wp:positionV>
          <wp:extent cx="1241753" cy="1047262"/>
          <wp:effectExtent b="0" l="0" r="0" t="0"/>
          <wp:wrapNone/>
          <wp:docPr id="1"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241753" cy="1047262"/>
                  </a:xfrm>
                  <a:prstGeom prst="rect"/>
                  <a:ln/>
                </pic:spPr>
              </pic:pic>
            </a:graphicData>
          </a:graphic>
        </wp:anchor>
      </w:drawing>
    </w:r>
  </w:p>
  <w:tbl>
    <w:tblPr>
      <w:tblStyle w:val="Table1"/>
      <w:tblW w:w="9016.0" w:type="dxa"/>
      <w:jc w:val="left"/>
      <w:tblInd w:w="-108.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3114"/>
      <w:gridCol w:w="5902"/>
      <w:tblGridChange w:id="0">
        <w:tblGrid>
          <w:gridCol w:w="3114"/>
          <w:gridCol w:w="5902"/>
        </w:tblGrid>
      </w:tblGridChange>
    </w:tblGrid>
    <w:tr>
      <w:trPr>
        <w:cantSplit w:val="0"/>
        <w:trHeight w:val="1718.0859375" w:hRule="atLeast"/>
        <w:tblHeader w:val="0"/>
      </w:trPr>
      <w:tc>
        <w:tcPr>
          <w:tcBorders>
            <w:bottom w:color="000000" w:space="0" w:sz="12" w:val="single"/>
          </w:tcBorders>
        </w:tcPr>
        <w:p w:rsidR="00000000" w:rsidDel="00000000" w:rsidP="00000000" w:rsidRDefault="00000000" w:rsidRPr="00000000" w14:paraId="00000024">
          <w:pPr>
            <w:tabs>
              <w:tab w:val="center" w:leader="none" w:pos="4513"/>
              <w:tab w:val="right" w:leader="none" w:pos="9026"/>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tabs>
              <w:tab w:val="center" w:leader="none" w:pos="4513"/>
              <w:tab w:val="right" w:leader="none" w:pos="9026"/>
            </w:tabs>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26">
          <w:pPr>
            <w:tabs>
              <w:tab w:val="center" w:leader="none" w:pos="4513"/>
              <w:tab w:val="right" w:leader="none" w:pos="9026"/>
            </w:tabs>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TIMES MEDIA SDN. BHD. (</w:t>
          </w:r>
          <w:r w:rsidDel="00000000" w:rsidR="00000000" w:rsidRPr="00000000">
            <w:rPr>
              <w:rFonts w:ascii="Calibri" w:cs="Calibri" w:eastAsia="Calibri" w:hAnsi="Calibri"/>
              <w:b w:val="1"/>
              <w:bCs w:val="1"/>
              <w:sz w:val="32"/>
              <w:szCs w:val="32"/>
              <w:rtl w:val="0"/>
            </w:rPr>
            <w:t xml:space="preserve">955976-P</w:t>
          </w:r>
          <w:r w:rsidDel="00000000" w:rsidR="00000000" w:rsidRPr="00000000">
            <w:rPr>
              <w:rFonts w:ascii="Times New Roman" w:cs="Times New Roman" w:eastAsia="Times New Roman" w:hAnsi="Times New Roman"/>
              <w:b w:val="1"/>
              <w:bCs w:val="1"/>
              <w:sz w:val="32"/>
              <w:szCs w:val="32"/>
              <w:rtl w:val="0"/>
            </w:rPr>
            <w:t xml:space="preserve">)</w:t>
          </w:r>
        </w:p>
        <w:p w:rsidR="00000000" w:rsidDel="00000000" w:rsidP="00000000" w:rsidRDefault="00000000" w:rsidRPr="00000000" w14:paraId="00000027">
          <w:pPr>
            <w:tabs>
              <w:tab w:val="center" w:leader="none" w:pos="4513"/>
              <w:tab w:val="right" w:leader="none" w:pos="902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B-01-36 Dataran Cascades, No.13A, Jalan PJU 5/1,</w:t>
          </w:r>
        </w:p>
        <w:p w:rsidR="00000000" w:rsidDel="00000000" w:rsidP="00000000" w:rsidRDefault="00000000" w:rsidRPr="00000000" w14:paraId="00000028">
          <w:pPr>
            <w:tabs>
              <w:tab w:val="center" w:leader="none" w:pos="4513"/>
              <w:tab w:val="right" w:leader="none" w:pos="902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Damansara, 47810 Petaling Jaya,  </w:t>
          </w:r>
        </w:p>
        <w:p w:rsidR="00000000" w:rsidDel="00000000" w:rsidP="00000000" w:rsidRDefault="00000000" w:rsidRPr="00000000" w14:paraId="00000029">
          <w:pPr>
            <w:tabs>
              <w:tab w:val="center" w:leader="none" w:pos="4513"/>
              <w:tab w:val="right" w:leader="none" w:pos="902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w:t>
          </w:r>
        </w:p>
        <w:p w:rsidR="00000000" w:rsidDel="00000000" w:rsidP="00000000" w:rsidRDefault="00000000" w:rsidRPr="00000000" w14:paraId="0000002A">
          <w:pPr>
            <w:tabs>
              <w:tab w:val="center" w:leader="none" w:pos="4513"/>
              <w:tab w:val="right" w:leader="none" w:pos="9026"/>
            </w:tabs>
            <w:spacing w:line="240" w:lineRule="auto"/>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Tel: +603-76284597  </w:t>
          </w:r>
          <w:r w:rsidDel="00000000" w:rsidR="00000000" w:rsidRPr="00000000">
            <w:rPr>
              <w:rtl w:val="0"/>
            </w:rPr>
          </w:r>
        </w:p>
      </w:tc>
    </w:tr>
  </w:tbl>
  <w:p w:rsidR="00000000" w:rsidDel="00000000" w:rsidP="00000000" w:rsidRDefault="00000000" w:rsidRPr="00000000" w14:paraId="0000002B">
    <w:pPr>
      <w:spacing w:line="240" w:lineRule="auto"/>
      <w:jc w:val="both"/>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widowControl w:val="0"/>
      <w:spacing w:line="276" w:lineRule="auto"/>
      <w:rPr/>
    </w:pPr>
    <w:r w:rsidDel="00000000" w:rsidR="00000000" w:rsidRPr="00000000">
      <w:rPr>
        <w:rtl w:val="0"/>
      </w:rPr>
    </w:r>
  </w:p>
  <w:tbl>
    <w:tblPr>
      <w:tblStyle w:val="Table2"/>
      <w:tblW w:w="9026.0" w:type="dxa"/>
      <w:jc w:val="left"/>
      <w:tblInd w:w="-108.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3119"/>
      <w:gridCol w:w="5907"/>
      <w:tblGridChange w:id="0">
        <w:tblGrid>
          <w:gridCol w:w="3119"/>
          <w:gridCol w:w="5907"/>
        </w:tblGrid>
      </w:tblGridChange>
    </w:tblGrid>
    <w:tr>
      <w:trPr>
        <w:cantSplit w:val="0"/>
        <w:trHeight w:val="1748.0859375" w:hRule="atLeast"/>
        <w:tblHeader w:val="0"/>
      </w:trPr>
      <w:tc>
        <w:tcPr>
          <w:tcBorders>
            <w:bottom w:color="000000" w:space="0" w:sz="12" w:val="single"/>
          </w:tcBorders>
        </w:tcPr>
        <w:p w:rsidR="00000000" w:rsidDel="00000000" w:rsidP="00000000" w:rsidRDefault="00000000" w:rsidRPr="00000000" w14:paraId="0000002D">
          <w:pPr>
            <w:tabs>
              <w:tab w:val="center" w:leader="none" w:pos="4513"/>
              <w:tab w:val="right" w:leader="none" w:pos="9026"/>
            </w:tabs>
            <w:spacing w:line="240" w:lineRule="auto"/>
            <w:jc w:val="center"/>
            <w:rPr>
              <w:rFonts w:ascii="Calibri" w:cs="Calibri" w:eastAsia="Calibri" w:hAnsi="Calibri"/>
            </w:rPr>
          </w:pPr>
          <w:bookmarkStart w:colFirst="0" w:colLast="0" w:name="_1fob9te" w:id="0"/>
          <w:bookmarkEnd w:id="0"/>
          <w:r w:rsidDel="00000000" w:rsidR="00000000" w:rsidRPr="00000000">
            <w:rPr>
              <w:rFonts w:ascii="Calibri" w:cs="Calibri" w:eastAsia="Calibri" w:hAnsi="Calibri"/>
            </w:rPr>
            <w:drawing>
              <wp:inline distB="0" distT="0" distL="0" distR="0">
                <wp:extent cx="1467869" cy="930831"/>
                <wp:effectExtent b="0" l="0" r="0" t="0"/>
                <wp:docPr id="2" name="image1.png"/>
                <a:graphic>
                  <a:graphicData uri="http://schemas.openxmlformats.org/drawingml/2006/picture">
                    <pic:pic>
                      <pic:nvPicPr>
                        <pic:cNvPr id="0" name="image1.png"/>
                        <pic:cNvPicPr preferRelativeResize="0"/>
                      </pic:nvPicPr>
                      <pic:blipFill>
                        <a:blip r:embed="rId1"/>
                        <a:srcRect b="0" l="0" r="0" t="10314"/>
                        <a:stretch>
                          <a:fillRect/>
                        </a:stretch>
                      </pic:blipFill>
                      <pic:spPr>
                        <a:xfrm>
                          <a:off x="0" y="0"/>
                          <a:ext cx="1467869" cy="930831"/>
                        </a:xfrm>
                        <a:prstGeom prst="rect"/>
                        <a:ln/>
                      </pic:spPr>
                    </pic:pic>
                  </a:graphicData>
                </a:graphic>
              </wp:inline>
            </w:drawing>
          </w:r>
          <w:r w:rsidDel="00000000" w:rsidR="00000000" w:rsidRPr="00000000">
            <w:rPr>
              <w:rtl w:val="0"/>
            </w:rPr>
          </w:r>
        </w:p>
      </w:tc>
      <w:tc>
        <w:tcPr>
          <w:tcBorders>
            <w:bottom w:color="000000" w:space="0" w:sz="12" w:val="single"/>
          </w:tcBorders>
        </w:tcPr>
        <w:p w:rsidR="00000000" w:rsidDel="00000000" w:rsidP="00000000" w:rsidRDefault="00000000" w:rsidRPr="00000000" w14:paraId="0000002E">
          <w:pPr>
            <w:tabs>
              <w:tab w:val="center" w:leader="none" w:pos="4513"/>
              <w:tab w:val="right" w:leader="none" w:pos="9026"/>
            </w:tabs>
            <w:spacing w:line="240" w:lineRule="auto"/>
            <w:rPr>
              <w:rFonts w:ascii="Times New Roman" w:cs="Times New Roman" w:eastAsia="Times New Roman" w:hAnsi="Times New Roman"/>
              <w:b w:val="1"/>
              <w:bCs w:val="1"/>
              <w:sz w:val="32"/>
              <w:szCs w:val="32"/>
            </w:rPr>
          </w:pPr>
          <w:bookmarkStart w:colFirst="0" w:colLast="0" w:name="_3znysh7" w:id="1"/>
          <w:bookmarkEnd w:id="1"/>
          <w:r w:rsidDel="00000000" w:rsidR="00000000" w:rsidRPr="00000000">
            <w:rPr>
              <w:rFonts w:ascii="Times New Roman" w:cs="Times New Roman" w:eastAsia="Times New Roman" w:hAnsi="Times New Roman"/>
              <w:b w:val="1"/>
              <w:bCs w:val="1"/>
              <w:sz w:val="32"/>
              <w:szCs w:val="32"/>
              <w:rtl w:val="0"/>
            </w:rPr>
            <w:t xml:space="preserve">TIMES GUIDES SDN. BHD. (</w:t>
          </w:r>
          <w:r w:rsidDel="00000000" w:rsidR="00000000" w:rsidRPr="00000000">
            <w:rPr>
              <w:rFonts w:ascii="Calibri" w:cs="Calibri" w:eastAsia="Calibri" w:hAnsi="Calibri"/>
              <w:b w:val="1"/>
              <w:bCs w:val="1"/>
              <w:sz w:val="32"/>
              <w:szCs w:val="32"/>
              <w:rtl w:val="0"/>
            </w:rPr>
            <w:t xml:space="preserve">721944-K</w:t>
          </w:r>
          <w:r w:rsidDel="00000000" w:rsidR="00000000" w:rsidRPr="00000000">
            <w:rPr>
              <w:rFonts w:ascii="Times New Roman" w:cs="Times New Roman" w:eastAsia="Times New Roman" w:hAnsi="Times New Roman"/>
              <w:b w:val="1"/>
              <w:bCs w:val="1"/>
              <w:sz w:val="32"/>
              <w:szCs w:val="32"/>
              <w:rtl w:val="0"/>
            </w:rPr>
            <w:t xml:space="preserve">)</w:t>
          </w:r>
        </w:p>
        <w:p w:rsidR="00000000" w:rsidDel="00000000" w:rsidP="00000000" w:rsidRDefault="00000000" w:rsidRPr="00000000" w14:paraId="0000002F">
          <w:pPr>
            <w:tabs>
              <w:tab w:val="center" w:leader="none" w:pos="4513"/>
              <w:tab w:val="right" w:leader="none" w:pos="902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B-01-36 Dataran Cascades, No.13A, Jalan PJU 5/1,</w:t>
          </w:r>
        </w:p>
        <w:p w:rsidR="00000000" w:rsidDel="00000000" w:rsidP="00000000" w:rsidRDefault="00000000" w:rsidRPr="00000000" w14:paraId="00000030">
          <w:pPr>
            <w:tabs>
              <w:tab w:val="center" w:leader="none" w:pos="4513"/>
              <w:tab w:val="right" w:leader="none" w:pos="902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Damansara, 47810 Petaling Jaya,  </w:t>
          </w:r>
        </w:p>
        <w:p w:rsidR="00000000" w:rsidDel="00000000" w:rsidP="00000000" w:rsidRDefault="00000000" w:rsidRPr="00000000" w14:paraId="00000031">
          <w:pPr>
            <w:tabs>
              <w:tab w:val="center" w:leader="none" w:pos="4513"/>
              <w:tab w:val="right" w:leader="none" w:pos="902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w:t>
          </w:r>
        </w:p>
        <w:p w:rsidR="00000000" w:rsidDel="00000000" w:rsidP="00000000" w:rsidRDefault="00000000" w:rsidRPr="00000000" w14:paraId="00000032">
          <w:pPr>
            <w:tabs>
              <w:tab w:val="center" w:leader="none" w:pos="4513"/>
              <w:tab w:val="right" w:leader="none" w:pos="902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 +603-76284597  </w:t>
          </w:r>
        </w:p>
        <w:p w:rsidR="00000000" w:rsidDel="00000000" w:rsidP="00000000" w:rsidRDefault="00000000" w:rsidRPr="00000000" w14:paraId="00000033">
          <w:pPr>
            <w:tabs>
              <w:tab w:val="center" w:leader="none" w:pos="4513"/>
              <w:tab w:val="right" w:leader="none" w:pos="9026"/>
            </w:tabs>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34">
    <w:pPr>
      <w:spacing w:line="240" w:lineRule="auto"/>
      <w:jc w:val="both"/>
      <w:rPr>
        <w:rFonts w:ascii="Calibri" w:cs="Calibri" w:eastAsia="Calibri" w:hAnsi="Calibri"/>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