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1st September 2025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Chin Kim Heng (Marcus)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AE,18 1st Floor, Ansals Golf Link-2, 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201306, Greater Noida,India..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color w:val="222222"/>
          <w:rtl w:val="0"/>
        </w:rPr>
        <w:t xml:space="preserve">Dear [Employee Name],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entury Gothic" w:cs="Century Gothic" w:eastAsia="Century Gothic" w:hAnsi="Century Gothic"/>
          <w:color w:val="22222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Subject: Biannual Salary Increment Based on KPI Achievement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360" w:lineRule="auto"/>
        <w:jc w:val="both"/>
        <w:rPr>
          <w:rFonts w:ascii="Century Gothic" w:cs="Century Gothic" w:eastAsia="Century Gothic" w:hAnsi="Century Gothic"/>
          <w:color w:val="222222"/>
        </w:rPr>
      </w:pPr>
      <w:r w:rsidDel="00000000" w:rsidR="00000000" w:rsidRPr="00000000">
        <w:rPr>
          <w:rFonts w:ascii="Century Gothic" w:cs="Century Gothic" w:eastAsia="Century Gothic" w:hAnsi="Century Gothic"/>
          <w:color w:val="222222"/>
          <w:rtl w:val="0"/>
        </w:rPr>
        <w:t xml:space="preserve">As outlined in the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color w:val="222222"/>
          <w:rtl w:val="0"/>
        </w:rPr>
        <w:t xml:space="preserve">Company Handbook 2025</w:t>
      </w:r>
      <w:r w:rsidDel="00000000" w:rsidR="00000000" w:rsidRPr="00000000">
        <w:rPr>
          <w:rFonts w:ascii="Century Gothic" w:cs="Century Gothic" w:eastAsia="Century Gothic" w:hAnsi="Century Gothic"/>
          <w:color w:val="222222"/>
          <w:rtl w:val="0"/>
        </w:rPr>
        <w:t xml:space="preserve">, salaries are reviewed and revised bi-annually, every January and July, based on KPI performance. For the period of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222222"/>
          <w:rtl w:val="0"/>
        </w:rPr>
        <w:t xml:space="preserve">Jan – Jun 2025</w:t>
      </w:r>
      <w:r w:rsidDel="00000000" w:rsidR="00000000" w:rsidRPr="00000000">
        <w:rPr>
          <w:rFonts w:ascii="Century Gothic" w:cs="Century Gothic" w:eastAsia="Century Gothic" w:hAnsi="Century Gothic"/>
          <w:color w:val="222222"/>
          <w:rtl w:val="0"/>
        </w:rPr>
        <w:t xml:space="preserve">, your average KPI score was ____, which falls within the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222222"/>
          <w:rtl w:val="0"/>
        </w:rPr>
        <w:t xml:space="preserve">80% – 100% range</w:t>
      </w:r>
      <w:r w:rsidDel="00000000" w:rsidR="00000000" w:rsidRPr="00000000">
        <w:rPr>
          <w:rFonts w:ascii="Century Gothic" w:cs="Century Gothic" w:eastAsia="Century Gothic" w:hAnsi="Century Gothic"/>
          <w:color w:val="222222"/>
          <w:rtl w:val="0"/>
        </w:rPr>
        <w:t xml:space="preserve">.  This entitles you to a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222222"/>
          <w:rtl w:val="0"/>
        </w:rPr>
        <w:t xml:space="preserve">5% salary increment</w:t>
      </w:r>
      <w:r w:rsidDel="00000000" w:rsidR="00000000" w:rsidRPr="00000000">
        <w:rPr>
          <w:rFonts w:ascii="Century Gothic" w:cs="Century Gothic" w:eastAsia="Century Gothic" w:hAnsi="Century Gothic"/>
          <w:color w:val="222222"/>
          <w:rtl w:val="0"/>
        </w:rPr>
        <w:t xml:space="preserve">.  Your new basic salary is __________ effective July 2025. </w:t>
      </w:r>
    </w:p>
    <w:p w:rsidR="00000000" w:rsidDel="00000000" w:rsidP="00000000" w:rsidRDefault="00000000" w:rsidRPr="00000000" w14:paraId="0000000B">
      <w:pPr>
        <w:spacing w:after="240" w:before="240" w:line="360" w:lineRule="auto"/>
        <w:jc w:val="both"/>
        <w:rPr>
          <w:rFonts w:ascii="Century Gothic" w:cs="Century Gothic" w:eastAsia="Century Gothic" w:hAnsi="Century Gothic"/>
          <w:color w:val="222222"/>
        </w:rPr>
      </w:pPr>
      <w:r w:rsidDel="00000000" w:rsidR="00000000" w:rsidRPr="00000000">
        <w:rPr>
          <w:rFonts w:ascii="Century Gothic" w:cs="Century Gothic" w:eastAsia="Century Gothic" w:hAnsi="Century Gothic"/>
          <w:color w:val="222222"/>
          <w:rtl w:val="0"/>
        </w:rPr>
        <w:t xml:space="preserve">We congratulate you on this milestone and commend your valuable contributions to the team and the company’s growth. This achievement is a reflection of your dedication, consistent performance, and commitment to excellence. </w:t>
      </w:r>
    </w:p>
    <w:p w:rsidR="00000000" w:rsidDel="00000000" w:rsidP="00000000" w:rsidRDefault="00000000" w:rsidRPr="00000000" w14:paraId="0000000C">
      <w:pPr>
        <w:spacing w:after="240" w:before="240" w:line="360" w:lineRule="auto"/>
        <w:jc w:val="both"/>
        <w:rPr>
          <w:rFonts w:ascii="Century Gothic" w:cs="Century Gothic" w:eastAsia="Century Gothic" w:hAnsi="Century Gothic"/>
          <w:color w:val="222222"/>
        </w:rPr>
      </w:pPr>
      <w:r w:rsidDel="00000000" w:rsidR="00000000" w:rsidRPr="00000000">
        <w:rPr>
          <w:rFonts w:ascii="Century Gothic" w:cs="Century Gothic" w:eastAsia="Century Gothic" w:hAnsi="Century Gothic"/>
          <w:color w:val="222222"/>
          <w:rtl w:val="0"/>
        </w:rPr>
        <w:t xml:space="preserve">The next salary review will be done in January 2026 for the performance period of July - December 2025. We encourage you to continue sustaining this momentum and go beyond in the coming review cycles. With consistent achievement of KPI scores 80% and beyond, you will not only secure future increments but also be strongly considered for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222222"/>
          <w:rtl w:val="0"/>
        </w:rPr>
        <w:t xml:space="preserve">career advancement opportunities and promotions</w:t>
      </w:r>
      <w:r w:rsidDel="00000000" w:rsidR="00000000" w:rsidRPr="00000000">
        <w:rPr>
          <w:rFonts w:ascii="Century Gothic" w:cs="Century Gothic" w:eastAsia="Century Gothic" w:hAnsi="Century Gothic"/>
          <w:color w:val="222222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="360" w:lineRule="auto"/>
        <w:jc w:val="both"/>
        <w:rPr>
          <w:rFonts w:ascii="Century Gothic" w:cs="Century Gothic" w:eastAsia="Century Gothic" w:hAnsi="Century Gothic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360" w:lineRule="auto"/>
        <w:jc w:val="both"/>
        <w:rPr>
          <w:rFonts w:ascii="Century Gothic" w:cs="Century Gothic" w:eastAsia="Century Gothic" w:hAnsi="Century Gothic"/>
          <w:color w:val="222222"/>
        </w:rPr>
      </w:pPr>
      <w:r w:rsidDel="00000000" w:rsidR="00000000" w:rsidRPr="00000000">
        <w:rPr>
          <w:rFonts w:ascii="Century Gothic" w:cs="Century Gothic" w:eastAsia="Century Gothic" w:hAnsi="Century Gothic"/>
          <w:color w:val="222222"/>
          <w:rtl w:val="0"/>
        </w:rPr>
        <w:t xml:space="preserve">Keep aiming higher and continue to inspire others with your excellence.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222222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color w:val="222222"/>
          <w:rtl w:val="0"/>
        </w:rPr>
        <w:t xml:space="preserve">Well done — we are proud to have you in the team!</w:t>
      </w:r>
    </w:p>
    <w:p w:rsidR="00000000" w:rsidDel="00000000" w:rsidP="00000000" w:rsidRDefault="00000000" w:rsidRPr="00000000" w14:paraId="0000000F">
      <w:pPr>
        <w:spacing w:after="240" w:before="240" w:line="360" w:lineRule="auto"/>
        <w:jc w:val="both"/>
        <w:rPr>
          <w:rFonts w:ascii="Century Gothic" w:cs="Century Gothic" w:eastAsia="Century Gothic" w:hAnsi="Century Gothic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Yours sincerely,</w:t>
        <w:tab/>
        <w:tab/>
      </w:r>
    </w:p>
    <w:p w:rsidR="00000000" w:rsidDel="00000000" w:rsidP="00000000" w:rsidRDefault="00000000" w:rsidRPr="00000000" w14:paraId="00000011">
      <w:pPr>
        <w:spacing w:line="36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ab/>
        <w:tab/>
        <w:tab/>
        <w:tab/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………………………………………….</w:t>
        <w:tab/>
        <w:tab/>
        <w:tab/>
        <w:tab/>
        <w:t xml:space="preserve">          </w:t>
        <w:tab/>
        <w:t xml:space="preserve">              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Amutha Subramaniam</w:t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Operations Director</w:t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Century Gothic" w:cs="Century Gothic" w:eastAsia="Century Gothic" w:hAnsi="Century Gothic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Century Gothic" w:cs="Century Gothic" w:eastAsia="Century Gothic" w:hAnsi="Century Gothic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u w:val="single"/>
          <w:rtl w:val="0"/>
        </w:rPr>
        <w:t xml:space="preserve">EMPLOYEE ACKNOWLEDGEMENT: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rFonts w:ascii="Century Gothic" w:cs="Century Gothic" w:eastAsia="Century Gothic" w:hAnsi="Century Gothic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59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I,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u w:val="single"/>
          <w:rtl w:val="0"/>
        </w:rPr>
        <w:t xml:space="preserve">Anand Kumar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, IC: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u w:val="single"/>
          <w:rtl w:val="0"/>
        </w:rPr>
        <w:t xml:space="preserve">N8456303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hereby have read, agreed with, and acknowledged the terms and conditions.</w:t>
      </w:r>
    </w:p>
    <w:p w:rsidR="00000000" w:rsidDel="00000000" w:rsidP="00000000" w:rsidRDefault="00000000" w:rsidRPr="00000000" w14:paraId="0000001B">
      <w:pPr>
        <w:spacing w:line="259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59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59" w:lineRule="auto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59" w:lineRule="auto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 </w:t>
      </w:r>
    </w:p>
    <w:p w:rsidR="00000000" w:rsidDel="00000000" w:rsidP="00000000" w:rsidRDefault="00000000" w:rsidRPr="00000000" w14:paraId="00000020">
      <w:pPr>
        <w:spacing w:line="24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Name:                                       </w:t>
      </w:r>
    </w:p>
    <w:p w:rsidR="00000000" w:rsidDel="00000000" w:rsidP="00000000" w:rsidRDefault="00000000" w:rsidRPr="00000000" w14:paraId="00000021">
      <w:pPr>
        <w:spacing w:line="24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Date:</w:t>
      </w:r>
    </w:p>
    <w:p w:rsidR="00000000" w:rsidDel="00000000" w:rsidP="00000000" w:rsidRDefault="00000000" w:rsidRPr="00000000" w14:paraId="00000023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spacing w:line="240" w:lineRule="auto"/>
      <w:jc w:val="both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tbl>
    <w:tblPr>
      <w:tblStyle w:val="Table1"/>
      <w:tblW w:w="9078.0" w:type="dxa"/>
      <w:jc w:val="left"/>
      <w:tblInd w:w="-108.0" w:type="dxa"/>
      <w:tblBorders>
        <w:top w:color="000000" w:space="0" w:sz="0" w:val="nil"/>
        <w:left w:color="000000" w:space="0" w:sz="0" w:val="nil"/>
        <w:bottom w:color="000000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2694"/>
      <w:gridCol w:w="6384"/>
      <w:tblGridChange w:id="0">
        <w:tblGrid>
          <w:gridCol w:w="2694"/>
          <w:gridCol w:w="6384"/>
        </w:tblGrid>
      </w:tblGridChange>
    </w:tblGrid>
    <w:tr>
      <w:trPr>
        <w:cantSplit w:val="0"/>
        <w:trHeight w:val="2033.84765625" w:hRule="atLeast"/>
        <w:tblHeader w:val="0"/>
      </w:trPr>
      <w:tc>
        <w:tcPr>
          <w:tcBorders>
            <w:bottom w:color="000000" w:space="0" w:sz="12" w:val="single"/>
          </w:tcBorders>
        </w:tcPr>
        <w:p w:rsidR="00000000" w:rsidDel="00000000" w:rsidP="00000000" w:rsidRDefault="00000000" w:rsidRPr="00000000" w14:paraId="00000026">
          <w:pPr>
            <w:jc w:val="both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   </w:t>
          </w:r>
          <w:r w:rsidDel="00000000" w:rsidR="00000000" w:rsidRPr="00000000">
            <w:rPr>
              <w:rFonts w:ascii="Calibri" w:cs="Calibri" w:eastAsia="Calibri" w:hAnsi="Calibri"/>
            </w:rPr>
            <w:drawing>
              <wp:inline distB="114300" distT="114300" distL="114300" distR="114300">
                <wp:extent cx="1337171" cy="1057275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7171" cy="10572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jc w:val="both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         </w:t>
          </w:r>
        </w:p>
      </w:tc>
      <w:tc>
        <w:tcPr>
          <w:tcBorders>
            <w:bottom w:color="000000" w:space="0" w:sz="12" w:val="single"/>
          </w:tcBorders>
        </w:tcPr>
        <w:p w:rsidR="00000000" w:rsidDel="00000000" w:rsidP="00000000" w:rsidRDefault="00000000" w:rsidRPr="00000000" w14:paraId="00000028">
          <w:pPr>
            <w:rPr>
              <w:rFonts w:ascii="Times New Roman" w:cs="Times New Roman" w:eastAsia="Times New Roman" w:hAnsi="Times New Roman"/>
              <w:b w:val="1"/>
              <w:bCs w:val="1"/>
              <w:sz w:val="32"/>
              <w:szCs w:val="32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32"/>
              <w:szCs w:val="32"/>
              <w:rtl w:val="0"/>
            </w:rPr>
            <w:t xml:space="preserve">XCalibur Digital Sdn Bhd (1296093-D)</w:t>
          </w:r>
        </w:p>
        <w:p w:rsidR="00000000" w:rsidDel="00000000" w:rsidP="00000000" w:rsidRDefault="00000000" w:rsidRPr="00000000" w14:paraId="00000029">
          <w:pPr>
            <w:tabs>
              <w:tab w:val="center" w:leader="none" w:pos="4513"/>
              <w:tab w:val="right" w:leader="none" w:pos="9026"/>
            </w:tabs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(Formerly known as Maverick Integrated Marketing Sdn. Bhd.) </w:t>
          </w:r>
        </w:p>
        <w:p w:rsidR="00000000" w:rsidDel="00000000" w:rsidP="00000000" w:rsidRDefault="00000000" w:rsidRPr="00000000" w14:paraId="0000002A">
          <w:pPr>
            <w:tabs>
              <w:tab w:val="center" w:leader="none" w:pos="4513"/>
              <w:tab w:val="right" w:leader="none" w:pos="9026"/>
            </w:tabs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B-01-36 Dataran Cascades, No.13A, Jalan PJU 5/1,</w:t>
          </w:r>
        </w:p>
        <w:p w:rsidR="00000000" w:rsidDel="00000000" w:rsidP="00000000" w:rsidRDefault="00000000" w:rsidRPr="00000000" w14:paraId="0000002B">
          <w:pPr>
            <w:tabs>
              <w:tab w:val="center" w:leader="none" w:pos="4513"/>
              <w:tab w:val="right" w:leader="none" w:pos="9026"/>
            </w:tabs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Kota Damansara, 47810 Petaling Jaya,</w:t>
          </w:r>
        </w:p>
        <w:p w:rsidR="00000000" w:rsidDel="00000000" w:rsidP="00000000" w:rsidRDefault="00000000" w:rsidRPr="00000000" w14:paraId="0000002C">
          <w:pPr>
            <w:tabs>
              <w:tab w:val="center" w:leader="none" w:pos="4513"/>
              <w:tab w:val="right" w:leader="none" w:pos="9026"/>
            </w:tabs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Selangor Darul Ehsan.</w:t>
          </w:r>
        </w:p>
        <w:p w:rsidR="00000000" w:rsidDel="00000000" w:rsidP="00000000" w:rsidRDefault="00000000" w:rsidRPr="00000000" w14:paraId="0000002D">
          <w:pPr>
            <w:jc w:val="both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Tel: +603-76284597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E">
    <w:pPr>
      <w:spacing w:line="240" w:lineRule="auto"/>
      <w:jc w:val="both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