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1st September 2025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Anand Kumar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AE,18 1st Floor, Ansals Golf Link-2,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201306, Greater Noida,India..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Dear Anand, </w:t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Subject: Biannual Salary Increment</w:t>
      </w:r>
    </w:p>
    <w:p w:rsidR="00000000" w:rsidDel="00000000" w:rsidP="00000000" w:rsidRDefault="00000000" w:rsidRPr="00000000" w14:paraId="0000000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As outlined in our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222222"/>
          <w:rtl w:val="0"/>
        </w:rPr>
        <w:t xml:space="preserve">Company Handbook 2025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, the company practices a bi-annual salary review cycle in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January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 and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July 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based on KPI scores.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 While certain roles are assessed through KPIs, we also recognize and value the contributions of employees whose responsibilities are currently not measured in this way.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In appreciation of your dedication and commitment, you will be receiving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basic mid-year salary increment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, effective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July 2025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. This adjustment reflects our recognition of your continued effort in supporting the company’s operations and success.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We would also like to highlight that the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end-of-year review in December 2025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 will be the key evaluation period for you. During this review, your overall performance, growth, and contributions throughout the year will be carefully assessed, and any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22222"/>
          <w:rtl w:val="0"/>
        </w:rPr>
        <w:t xml:space="preserve">significant salary revisions </w:t>
      </w: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will be determined at that stage.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This mid-year increment is therefore an acknowledgement of your ongoing efforts, while the year-end review will serve as the more comprehensive assessment of your impact. We encourage you to continue giving your best in the months ahead, as your dedication plays a direct role in shaping future opportunities.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Century Gothic" w:cs="Century Gothic" w:eastAsia="Century Gothic" w:hAnsi="Century Gothic"/>
          <w:color w:val="222222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rtl w:val="0"/>
        </w:rPr>
        <w:t xml:space="preserve">Thank you for your hard work and commitment.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Yours sincerely,</w:t>
        <w:tab/>
        <w:tab/>
      </w:r>
    </w:p>
    <w:p w:rsidR="00000000" w:rsidDel="00000000" w:rsidP="00000000" w:rsidRDefault="00000000" w:rsidRPr="00000000" w14:paraId="00000012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ab/>
        <w:tab/>
        <w:tab/>
        <w:tab/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………………………………………….</w:t>
        <w:tab/>
        <w:tab/>
        <w:tab/>
        <w:tab/>
        <w:t xml:space="preserve">          </w:t>
        <w:tab/>
        <w:t xml:space="preserve">             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Amutha Subramaniam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Operations Director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u w:val="single"/>
          <w:rtl w:val="0"/>
        </w:rPr>
        <w:t xml:space="preserve">EMPLOYEE ACKNOWLEDGEMENT: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u w:val="single"/>
          <w:rtl w:val="0"/>
        </w:rPr>
        <w:t xml:space="preserve">Anand Kumar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IC: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u w:val="single"/>
          <w:rtl w:val="0"/>
        </w:rPr>
        <w:t xml:space="preserve">N8456303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hereby have read, agreed with, and acknowledged the terms and conditions.</w:t>
      </w:r>
    </w:p>
    <w:p w:rsidR="00000000" w:rsidDel="00000000" w:rsidP="00000000" w:rsidRDefault="00000000" w:rsidRPr="00000000" w14:paraId="0000001C">
      <w:pPr>
        <w:spacing w:line="259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 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Name:                                       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Date:</w:t>
      </w:r>
    </w:p>
    <w:p w:rsidR="00000000" w:rsidDel="00000000" w:rsidP="00000000" w:rsidRDefault="00000000" w:rsidRPr="00000000" w14:paraId="0000002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9078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694"/>
      <w:gridCol w:w="6384"/>
      <w:tblGridChange w:id="0">
        <w:tblGrid>
          <w:gridCol w:w="2694"/>
          <w:gridCol w:w="6384"/>
        </w:tblGrid>
      </w:tblGridChange>
    </w:tblGrid>
    <w:tr>
      <w:trPr>
        <w:cantSplit w:val="0"/>
        <w:trHeight w:val="2033.8476562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7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</w:rPr>
            <w:drawing>
              <wp:inline distB="114300" distT="114300" distL="114300" distR="114300">
                <wp:extent cx="1337171" cy="10572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171" cy="1057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      </w:t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9">
          <w:pPr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XCalibur Digital Sdn Bhd (1296093-D)</w:t>
          </w:r>
        </w:p>
        <w:p w:rsidR="00000000" w:rsidDel="00000000" w:rsidP="00000000" w:rsidRDefault="00000000" w:rsidRPr="00000000" w14:paraId="0000002A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(Formerly known as Maverick Integrated Marketing Sdn. Bhd.) </w:t>
          </w:r>
        </w:p>
        <w:p w:rsidR="00000000" w:rsidDel="00000000" w:rsidP="00000000" w:rsidRDefault="00000000" w:rsidRPr="00000000" w14:paraId="0000002B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2C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</w:t>
          </w:r>
        </w:p>
        <w:p w:rsidR="00000000" w:rsidDel="00000000" w:rsidP="00000000" w:rsidRDefault="00000000" w:rsidRPr="00000000" w14:paraId="0000002D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Ehsan.</w:t>
          </w:r>
        </w:p>
        <w:p w:rsidR="00000000" w:rsidDel="00000000" w:rsidP="00000000" w:rsidRDefault="00000000" w:rsidRPr="00000000" w14:paraId="0000002E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spacing w:lin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