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9C9D" w14:textId="77777777" w:rsidR="0020607A" w:rsidRPr="0020607A" w:rsidRDefault="0020607A" w:rsidP="0020607A">
      <w:p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Project Title:</w:t>
      </w:r>
      <w:r w:rsidRPr="0020607A">
        <w:rPr>
          <w:rFonts w:ascii="Deutsche Bank Display" w:hAnsi="Deutsche Bank Display" w:cs="Deutsche Bank Display"/>
          <w:sz w:val="20"/>
          <w:szCs w:val="20"/>
        </w:rPr>
        <w:t> High-Frequency Forex Simulation and Econometric Analysis (Volatility Focus)</w:t>
      </w:r>
    </w:p>
    <w:p w14:paraId="0380E2EB" w14:textId="77777777" w:rsidR="0020607A" w:rsidRPr="0020607A" w:rsidRDefault="0020607A" w:rsidP="0020607A">
      <w:p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Project Goal:</w:t>
      </w:r>
      <w:r w:rsidRPr="0020607A">
        <w:rPr>
          <w:rFonts w:ascii="Deutsche Bank Display" w:hAnsi="Deutsche Bank Display" w:cs="Deutsche Bank Display"/>
          <w:sz w:val="20"/>
          <w:szCs w:val="20"/>
        </w:rPr>
        <w:t> Simulate high-frequency Forex tick data, and perform econometric analysis focused on calculating and analyzing volatility, using only the 'mid' price.</w:t>
      </w:r>
    </w:p>
    <w:p w14:paraId="028E0779" w14:textId="77777777" w:rsidR="0020607A" w:rsidRPr="0020607A" w:rsidRDefault="0020607A" w:rsidP="0020607A">
      <w:p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Core Components:</w:t>
      </w:r>
    </w:p>
    <w:p w14:paraId="1DC165FB" w14:textId="284532A5" w:rsidR="0020607A" w:rsidRPr="0020607A" w:rsidRDefault="0020607A" w:rsidP="0020607A">
      <w:pPr>
        <w:numPr>
          <w:ilvl w:val="0"/>
          <w:numId w:val="1"/>
        </w:num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 xml:space="preserve">Data Generation: </w:t>
      </w:r>
      <w:r w:rsidRPr="0020607A">
        <w:rPr>
          <w:rFonts w:ascii="Deutsche Bank Display" w:hAnsi="Deutsche Bank Display" w:cs="Deutsche Bank Display"/>
          <w:sz w:val="20"/>
          <w:szCs w:val="20"/>
        </w:rPr>
        <w:t xml:space="preserve">Generate artificial data for 1 min and 5 min interval for 10 currency pairs (prefer G10) at least for </w:t>
      </w:r>
      <w:r w:rsidR="00B47636">
        <w:rPr>
          <w:rFonts w:ascii="Deutsche Bank Display" w:hAnsi="Deutsche Bank Display" w:cs="Deutsche Bank Display"/>
          <w:sz w:val="20"/>
          <w:szCs w:val="20"/>
        </w:rPr>
        <w:t>1</w:t>
      </w:r>
      <w:r w:rsidRPr="0020607A">
        <w:rPr>
          <w:rFonts w:ascii="Deutsche Bank Display" w:hAnsi="Deutsche Bank Display" w:cs="Deutsche Bank Display"/>
          <w:sz w:val="20"/>
          <w:szCs w:val="20"/>
        </w:rPr>
        <w:t xml:space="preserve"> years</w:t>
      </w:r>
    </w:p>
    <w:p w14:paraId="0271AE50" w14:textId="06BE76A3" w:rsidR="0020607A" w:rsidRPr="0020607A" w:rsidRDefault="0020607A" w:rsidP="0020607A">
      <w:pPr>
        <w:numPr>
          <w:ilvl w:val="0"/>
          <w:numId w:val="1"/>
        </w:num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Volatility Calculation:</w:t>
      </w:r>
    </w:p>
    <w:p w14:paraId="5E38F0F4" w14:textId="77777777" w:rsidR="0020607A" w:rsidRPr="0020607A" w:rsidRDefault="0020607A" w:rsidP="0020607A">
      <w:pPr>
        <w:numPr>
          <w:ilvl w:val="1"/>
          <w:numId w:val="1"/>
        </w:num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Objective:</w:t>
      </w:r>
      <w:r w:rsidRPr="0020607A">
        <w:rPr>
          <w:rFonts w:ascii="Deutsche Bank Display" w:hAnsi="Deutsche Bank Display" w:cs="Deutsche Bank Display"/>
          <w:sz w:val="20"/>
          <w:szCs w:val="20"/>
        </w:rPr>
        <w:t> Calculate different types of volatility measures from the 'mid' price data.</w:t>
      </w:r>
    </w:p>
    <w:p w14:paraId="49809BD5" w14:textId="77777777" w:rsidR="0020607A" w:rsidRPr="0020607A" w:rsidRDefault="0020607A" w:rsidP="0020607A">
      <w:pPr>
        <w:numPr>
          <w:ilvl w:val="1"/>
          <w:numId w:val="1"/>
        </w:num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Implementation:</w:t>
      </w:r>
    </w:p>
    <w:p w14:paraId="65E70707" w14:textId="77777777" w:rsidR="0020607A" w:rsidRPr="0020607A" w:rsidRDefault="0020607A" w:rsidP="0020607A">
      <w:pPr>
        <w:numPr>
          <w:ilvl w:val="1"/>
          <w:numId w:val="1"/>
        </w:num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Historical Volatility:</w:t>
      </w:r>
      <w:r w:rsidRPr="0020607A">
        <w:rPr>
          <w:rFonts w:ascii="Deutsche Bank Display" w:hAnsi="Deutsche Bank Display" w:cs="Deutsche Bank Display"/>
          <w:sz w:val="20"/>
          <w:szCs w:val="20"/>
        </w:rPr>
        <w:t> Calculate the standard deviation of returns (log returns are generally preferred). Experiment with different window sizes (e.g., 1 minute, 5 minutes, 1 hour). Calculate both simple historical volatility and exponentially weighted moving average volatility (EWMA).</w:t>
      </w:r>
    </w:p>
    <w:p w14:paraId="6B0590C6" w14:textId="2AB4965F" w:rsidR="0020607A" w:rsidRPr="0020607A" w:rsidRDefault="0020607A" w:rsidP="0020607A">
      <w:pPr>
        <w:numPr>
          <w:ilvl w:val="1"/>
          <w:numId w:val="1"/>
        </w:num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Realized Volatility:</w:t>
      </w:r>
      <w:r w:rsidRPr="0020607A">
        <w:rPr>
          <w:rFonts w:ascii="Deutsche Bank Display" w:hAnsi="Deutsche Bank Display" w:cs="Deutsche Bank Display"/>
          <w:sz w:val="20"/>
          <w:szCs w:val="20"/>
        </w:rPr>
        <w:t xml:space="preserve"> Calculate realized volatility using the sum of squared returns within a specific period (e.g., 1 minute, 5 minutes). This is a high-frequency estimate of volatility. </w:t>
      </w:r>
    </w:p>
    <w:p w14:paraId="4F8FF816" w14:textId="77777777" w:rsidR="0020607A" w:rsidRPr="0020607A" w:rsidRDefault="0020607A" w:rsidP="0020607A">
      <w:pPr>
        <w:numPr>
          <w:ilvl w:val="1"/>
          <w:numId w:val="1"/>
        </w:numPr>
        <w:rPr>
          <w:rFonts w:ascii="Deutsche Bank Display" w:hAnsi="Deutsche Bank Display" w:cs="Deutsche Bank Display"/>
          <w:sz w:val="20"/>
          <w:szCs w:val="20"/>
        </w:rPr>
      </w:pPr>
      <w:r w:rsidRPr="0020607A">
        <w:rPr>
          <w:rFonts w:ascii="Deutsche Bank Display" w:hAnsi="Deutsche Bank Display" w:cs="Deutsche Bank Display"/>
          <w:b/>
          <w:bCs/>
          <w:sz w:val="20"/>
          <w:szCs w:val="20"/>
        </w:rPr>
        <w:t>Volatility Jumps:</w:t>
      </w:r>
      <w:r w:rsidRPr="0020607A">
        <w:rPr>
          <w:rFonts w:ascii="Deutsche Bank Display" w:hAnsi="Deutsche Bank Display" w:cs="Deutsche Bank Display"/>
          <w:sz w:val="20"/>
          <w:szCs w:val="20"/>
        </w:rPr>
        <w:t> Implement a method to detect volatility jumps. This can be done by comparing the realized volatility to a rolling average of past realized volatility. A jump is detected if the current realized volatility exceeds the rolling average by a certain threshold (e.g., 3 standard deviations).</w:t>
      </w:r>
    </w:p>
    <w:p w14:paraId="251CD430" w14:textId="5972D655" w:rsidR="0020607A" w:rsidRPr="0020607A" w:rsidRDefault="0020607A" w:rsidP="0020607A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b/>
          <w:bCs/>
          <w:color w:val="0D131C"/>
          <w:kern w:val="0"/>
          <w:sz w:val="20"/>
          <w:szCs w:val="20"/>
          <w14:ligatures w14:val="none"/>
        </w:rPr>
        <w:t>Analysis and Visualization (Do Charts in Excel):</w:t>
      </w:r>
    </w:p>
    <w:p w14:paraId="5E04F008" w14:textId="77777777" w:rsidR="0020607A" w:rsidRPr="0020607A" w:rsidRDefault="0020607A" w:rsidP="0020607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b/>
          <w:bCs/>
          <w:color w:val="0D131C"/>
          <w:kern w:val="0"/>
          <w:sz w:val="20"/>
          <w:szCs w:val="20"/>
          <w14:ligatures w14:val="none"/>
        </w:rPr>
        <w:t>Objective:</w:t>
      </w:r>
      <w:r w:rsidRPr="0020607A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> Analyze and visualize the calculated volatility measures.</w:t>
      </w:r>
    </w:p>
    <w:p w14:paraId="7E7949E4" w14:textId="77777777" w:rsidR="0020607A" w:rsidRPr="0020607A" w:rsidRDefault="0020607A" w:rsidP="0020607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b/>
          <w:bCs/>
          <w:color w:val="0D131C"/>
          <w:kern w:val="0"/>
          <w:sz w:val="20"/>
          <w:szCs w:val="20"/>
          <w14:ligatures w14:val="none"/>
        </w:rPr>
        <w:t>Implementation:</w:t>
      </w:r>
    </w:p>
    <w:p w14:paraId="0E14B667" w14:textId="77777777" w:rsidR="0020607A" w:rsidRPr="0020607A" w:rsidRDefault="0020607A" w:rsidP="0020607A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>Plot the historical volatility, EWMA volatility, and realized volatility over time.</w:t>
      </w:r>
    </w:p>
    <w:p w14:paraId="4BA64996" w14:textId="77777777" w:rsidR="0020607A" w:rsidRPr="0020607A" w:rsidRDefault="0020607A" w:rsidP="0020607A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>Plot the detected volatility jumps on the same chart, highlighting the jump events.</w:t>
      </w:r>
    </w:p>
    <w:p w14:paraId="4561D3DD" w14:textId="77777777" w:rsidR="0020607A" w:rsidRPr="0020607A" w:rsidRDefault="0020607A" w:rsidP="0020607A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>Calculate descriptive statistics for each volatility measure (mean, standard deviation, min, max).</w:t>
      </w:r>
    </w:p>
    <w:p w14:paraId="55098CFE" w14:textId="77777777" w:rsidR="0020607A" w:rsidRPr="0020607A" w:rsidRDefault="0020607A" w:rsidP="0020607A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>Analyze the relationship between different volatility measures (e.g., correlation).</w:t>
      </w:r>
    </w:p>
    <w:p w14:paraId="6A72BF97" w14:textId="77777777" w:rsidR="0020607A" w:rsidRPr="0020607A" w:rsidRDefault="0020607A" w:rsidP="0020607A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>Consider creating a histogram of the volatility values.</w:t>
      </w:r>
    </w:p>
    <w:p w14:paraId="161E7354" w14:textId="079A2FA9" w:rsidR="0020607A" w:rsidRPr="0020607A" w:rsidRDefault="0020607A" w:rsidP="0020607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</w:pPr>
      <w:r w:rsidRPr="0020607A">
        <w:rPr>
          <w:rFonts w:ascii="Deutsche Bank Display" w:eastAsia="Times New Roman" w:hAnsi="Deutsche Bank Display" w:cs="Deutsche Bank Display"/>
          <w:b/>
          <w:bCs/>
          <w:color w:val="0D131C"/>
          <w:kern w:val="0"/>
          <w:sz w:val="20"/>
          <w:szCs w:val="20"/>
          <w14:ligatures w14:val="none"/>
        </w:rPr>
        <w:t>Intraday Seasonality:</w:t>
      </w:r>
      <w:r w:rsidRPr="0020607A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> Analyze and model the intraday seasonality of volatility</w:t>
      </w:r>
      <w:r w:rsidR="009B16D7">
        <w:rPr>
          <w:rFonts w:ascii="Deutsche Bank Display" w:eastAsia="Times New Roman" w:hAnsi="Deutsche Bank Display" w:cs="Deutsche Bank Display"/>
          <w:color w:val="0D131C"/>
          <w:kern w:val="0"/>
          <w:sz w:val="20"/>
          <w:szCs w:val="20"/>
          <w14:ligatures w14:val="none"/>
        </w:rPr>
        <w:t xml:space="preserve"> in python. </w:t>
      </w:r>
    </w:p>
    <w:p w14:paraId="5BC3DF61" w14:textId="77777777" w:rsidR="0020607A" w:rsidRPr="0020607A" w:rsidRDefault="0020607A" w:rsidP="0020607A">
      <w:pPr>
        <w:ind w:left="360"/>
        <w:rPr>
          <w:rFonts w:ascii="Times New Roman" w:hAnsi="Times New Roman" w:cs="Times New Roman"/>
          <w:sz w:val="20"/>
          <w:szCs w:val="20"/>
        </w:rPr>
      </w:pPr>
      <w:r w:rsidRPr="0020607A">
        <w:rPr>
          <w:rFonts w:ascii="Times New Roman" w:hAnsi="Times New Roman" w:cs="Times New Roman"/>
          <w:b/>
          <w:bCs/>
          <w:sz w:val="20"/>
          <w:szCs w:val="20"/>
        </w:rPr>
        <w:t>Deliverables:</w:t>
      </w:r>
    </w:p>
    <w:p w14:paraId="045D6BB3" w14:textId="77777777" w:rsidR="0020607A" w:rsidRPr="0020607A" w:rsidRDefault="0020607A" w:rsidP="0020607A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607A">
        <w:rPr>
          <w:rFonts w:ascii="Times New Roman" w:hAnsi="Times New Roman" w:cs="Times New Roman"/>
          <w:sz w:val="20"/>
          <w:szCs w:val="20"/>
        </w:rPr>
        <w:t>A Python script containing all the functions and code.</w:t>
      </w:r>
    </w:p>
    <w:p w14:paraId="0EF9753E" w14:textId="77777777" w:rsidR="0020607A" w:rsidRPr="0020607A" w:rsidRDefault="0020607A" w:rsidP="0020607A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607A">
        <w:rPr>
          <w:rFonts w:ascii="Times New Roman" w:hAnsi="Times New Roman" w:cs="Times New Roman"/>
          <w:sz w:val="20"/>
          <w:szCs w:val="20"/>
        </w:rPr>
        <w:t>A report (2-3 pages) summarizing the project, the data generation process, the volatility calculations, jump detection method, and the analysis of the results. Include the plots and descriptive statistics.</w:t>
      </w:r>
    </w:p>
    <w:p w14:paraId="13137C61" w14:textId="77777777" w:rsidR="0020607A" w:rsidRPr="0020607A" w:rsidRDefault="0020607A" w:rsidP="0020607A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0607A">
        <w:rPr>
          <w:rFonts w:ascii="Times New Roman" w:hAnsi="Times New Roman" w:cs="Times New Roman"/>
          <w:sz w:val="20"/>
          <w:szCs w:val="20"/>
        </w:rPr>
        <w:t>Clear comments in the code explaining the logic and implementation.</w:t>
      </w:r>
    </w:p>
    <w:p w14:paraId="12ADF6F8" w14:textId="417C681C" w:rsidR="0020607A" w:rsidRPr="0020607A" w:rsidRDefault="0020607A" w:rsidP="0020607A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DB61341" w14:textId="77777777" w:rsidR="001E3DC2" w:rsidRPr="0020607A" w:rsidRDefault="001E3DC2">
      <w:pPr>
        <w:rPr>
          <w:rFonts w:ascii="Times New Roman" w:hAnsi="Times New Roman" w:cs="Times New Roman"/>
          <w:sz w:val="20"/>
          <w:szCs w:val="20"/>
        </w:rPr>
      </w:pPr>
    </w:p>
    <w:sectPr w:rsidR="001E3DC2" w:rsidRPr="0020607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B7CF" w14:textId="77777777" w:rsidR="004B2772" w:rsidRDefault="004B2772" w:rsidP="0020607A">
      <w:pPr>
        <w:spacing w:after="0" w:line="240" w:lineRule="auto"/>
      </w:pPr>
      <w:r>
        <w:separator/>
      </w:r>
    </w:p>
  </w:endnote>
  <w:endnote w:type="continuationSeparator" w:id="0">
    <w:p w14:paraId="3A8E47B4" w14:textId="77777777" w:rsidR="004B2772" w:rsidRDefault="004B2772" w:rsidP="0020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utsche Bank Display">
    <w:panose1 w:val="020F0403020203030304"/>
    <w:charset w:val="00"/>
    <w:family w:val="swiss"/>
    <w:pitch w:val="variable"/>
    <w:sig w:usb0="A000006F" w:usb1="0000006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727D" w14:textId="6599AC6C" w:rsidR="0020607A" w:rsidRDefault="00206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1A93" w14:textId="31B59B54" w:rsidR="0020607A" w:rsidRDefault="00206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7D4E" w14:textId="6A8A32EC" w:rsidR="0020607A" w:rsidRDefault="00206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44CD" w14:textId="77777777" w:rsidR="004B2772" w:rsidRDefault="004B2772" w:rsidP="0020607A">
      <w:pPr>
        <w:spacing w:after="0" w:line="240" w:lineRule="auto"/>
      </w:pPr>
      <w:r>
        <w:separator/>
      </w:r>
    </w:p>
  </w:footnote>
  <w:footnote w:type="continuationSeparator" w:id="0">
    <w:p w14:paraId="79D7FD73" w14:textId="77777777" w:rsidR="004B2772" w:rsidRDefault="004B2772" w:rsidP="0020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511"/>
    <w:multiLevelType w:val="multilevel"/>
    <w:tmpl w:val="F5F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F3E7E"/>
    <w:multiLevelType w:val="multilevel"/>
    <w:tmpl w:val="471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6A4A"/>
    <w:multiLevelType w:val="multilevel"/>
    <w:tmpl w:val="DBD4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55E12"/>
    <w:multiLevelType w:val="multilevel"/>
    <w:tmpl w:val="3A22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51622"/>
    <w:multiLevelType w:val="multilevel"/>
    <w:tmpl w:val="8E32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293385">
    <w:abstractNumId w:val="0"/>
  </w:num>
  <w:num w:numId="2" w16cid:durableId="1646080875">
    <w:abstractNumId w:val="4"/>
  </w:num>
  <w:num w:numId="3" w16cid:durableId="1209299560">
    <w:abstractNumId w:val="2"/>
  </w:num>
  <w:num w:numId="4" w16cid:durableId="1630280650">
    <w:abstractNumId w:val="3"/>
  </w:num>
  <w:num w:numId="5" w16cid:durableId="1102184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A"/>
    <w:rsid w:val="001E3DC2"/>
    <w:rsid w:val="0020607A"/>
    <w:rsid w:val="002718C2"/>
    <w:rsid w:val="002E0A58"/>
    <w:rsid w:val="00467610"/>
    <w:rsid w:val="004B2772"/>
    <w:rsid w:val="00624147"/>
    <w:rsid w:val="006351EC"/>
    <w:rsid w:val="006E2D22"/>
    <w:rsid w:val="00795EB8"/>
    <w:rsid w:val="00846013"/>
    <w:rsid w:val="009B16D7"/>
    <w:rsid w:val="009B2A8E"/>
    <w:rsid w:val="00B2337D"/>
    <w:rsid w:val="00B47636"/>
    <w:rsid w:val="00E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B792"/>
  <w15:chartTrackingRefBased/>
  <w15:docId w15:val="{BB8199BF-0FA6-41FD-AAAD-0299D0A1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0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607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0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41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4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Company>Deutsche Bank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Nandy</dc:creator>
  <cp:keywords/>
  <dc:description/>
  <cp:lastModifiedBy>Christabel Charles</cp:lastModifiedBy>
  <cp:revision>4</cp:revision>
  <dcterms:created xsi:type="dcterms:W3CDTF">2025-06-17T09:29:00Z</dcterms:created>
  <dcterms:modified xsi:type="dcterms:W3CDTF">2025-06-20T06:41:00Z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7f8449-e5d3-4eba-8da7-ffd6ca5bf3e9_Enabled">
    <vt:lpwstr>true</vt:lpwstr>
  </property>
  <property fmtid="{D5CDD505-2E9C-101B-9397-08002B2CF9AE}" pid="3" name="MSIP_Label_1b7f8449-e5d3-4eba-8da7-ffd6ca5bf3e9_SetDate">
    <vt:lpwstr>2025-06-20T06:41:22Z</vt:lpwstr>
  </property>
  <property fmtid="{D5CDD505-2E9C-101B-9397-08002B2CF9AE}" pid="4" name="MSIP_Label_1b7f8449-e5d3-4eba-8da7-ffd6ca5bf3e9_Method">
    <vt:lpwstr>Privileged</vt:lpwstr>
  </property>
  <property fmtid="{D5CDD505-2E9C-101B-9397-08002B2CF9AE}" pid="5" name="MSIP_Label_1b7f8449-e5d3-4eba-8da7-ffd6ca5bf3e9_Name">
    <vt:lpwstr>1b7f8449-e5d3-4eba-8da7-ffd6ca5bf3e9</vt:lpwstr>
  </property>
  <property fmtid="{D5CDD505-2E9C-101B-9397-08002B2CF9AE}" pid="6" name="MSIP_Label_1b7f8449-e5d3-4eba-8da7-ffd6ca5bf3e9_SiteId">
    <vt:lpwstr>1e9b61e8-e590-4abc-b1af-24125e330d2a</vt:lpwstr>
  </property>
  <property fmtid="{D5CDD505-2E9C-101B-9397-08002B2CF9AE}" pid="7" name="MSIP_Label_1b7f8449-e5d3-4eba-8da7-ffd6ca5bf3e9_ActionId">
    <vt:lpwstr>c6a31f27-15a2-4195-b3e8-cdb219dce5fd</vt:lpwstr>
  </property>
  <property fmtid="{D5CDD505-2E9C-101B-9397-08002B2CF9AE}" pid="8" name="MSIP_Label_1b7f8449-e5d3-4eba-8da7-ffd6ca5bf3e9_ContentBits">
    <vt:lpwstr>0</vt:lpwstr>
  </property>
</Properties>
</file>