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2CE9D" w14:textId="77777777" w:rsidR="00CA165C" w:rsidRDefault="00000000">
      <w:pPr>
        <w:spacing w:before="1200"/>
        <w:jc w:val="center"/>
      </w:pPr>
      <w:r>
        <w:rPr>
          <w:rFonts w:ascii="Calibri" w:hAnsi="Calibri"/>
          <w:b/>
          <w:color w:val="1F4E79"/>
          <w:sz w:val="52"/>
        </w:rPr>
        <w:t>Technical Documentation</w:t>
      </w:r>
    </w:p>
    <w:p w14:paraId="146D09C5" w14:textId="77777777" w:rsidR="00CA165C" w:rsidRDefault="00000000">
      <w:pPr>
        <w:jc w:val="center"/>
      </w:pPr>
      <w:r>
        <w:rPr>
          <w:rFonts w:ascii="Calibri" w:hAnsi="Calibri"/>
          <w:color w:val="156082"/>
          <w:sz w:val="32"/>
        </w:rPr>
        <w:t>ApexSignal — Stakeholder Relationship Visualiser</w:t>
      </w:r>
    </w:p>
    <w:p w14:paraId="361C8EE7" w14:textId="77777777" w:rsidR="00CA165C" w:rsidRDefault="00CA165C"/>
    <w:p w14:paraId="00A30093" w14:textId="77777777" w:rsidR="00CA165C" w:rsidRDefault="00000000">
      <w:pPr>
        <w:jc w:val="center"/>
      </w:pPr>
      <w:r>
        <w:rPr>
          <w:rFonts w:ascii="Calibri" w:hAnsi="Calibri"/>
          <w:i/>
          <w:color w:val="646464"/>
          <w:sz w:val="24"/>
        </w:rPr>
        <w:t>Yash Garg  |  August 2026</w:t>
      </w:r>
    </w:p>
    <w:p w14:paraId="0859B3EA" w14:textId="091C197A" w:rsidR="00CA165C" w:rsidRDefault="00000000">
      <w:pPr>
        <w:jc w:val="center"/>
      </w:pPr>
      <w:r>
        <w:rPr>
          <w:rFonts w:ascii="Calibri" w:hAnsi="Calibri"/>
          <w:color w:val="646464"/>
        </w:rPr>
        <w:t>Client: Shell plc</w:t>
      </w:r>
      <w:r w:rsidR="00985D44">
        <w:rPr>
          <w:rFonts w:ascii="Calibri" w:hAnsi="Calibri"/>
          <w:color w:val="646464"/>
        </w:rPr>
        <w:t xml:space="preserve"> (assumed)</w:t>
      </w:r>
    </w:p>
    <w:p w14:paraId="7457C770" w14:textId="2A6856CA" w:rsidR="00CA165C" w:rsidRDefault="00000000">
      <w:pPr>
        <w:jc w:val="center"/>
        <w:rPr>
          <w:rFonts w:ascii="Calibri" w:hAnsi="Calibri"/>
          <w:i/>
          <w:color w:val="156082"/>
        </w:rPr>
      </w:pPr>
      <w:r>
        <w:rPr>
          <w:rFonts w:ascii="Calibri" w:hAnsi="Calibri"/>
          <w:i/>
          <w:color w:val="156082"/>
        </w:rPr>
        <w:t xml:space="preserve">Live URL: </w:t>
      </w:r>
      <w:hyperlink r:id="rId6" w:history="1">
        <w:r w:rsidR="00985D44" w:rsidRPr="00060D9B">
          <w:rPr>
            <w:rStyle w:val="Hyperlink"/>
            <w:rFonts w:ascii="Calibri" w:hAnsi="Calibri"/>
            <w:i/>
          </w:rPr>
          <w:t>https://assignment-puce-three.vercel.app</w:t>
        </w:r>
      </w:hyperlink>
    </w:p>
    <w:p w14:paraId="595D1BFC" w14:textId="77777777" w:rsidR="00985D44" w:rsidRDefault="00985D44">
      <w:pPr>
        <w:jc w:val="center"/>
      </w:pPr>
    </w:p>
    <w:p w14:paraId="668AF834" w14:textId="77777777" w:rsidR="00CA165C" w:rsidRDefault="00000000">
      <w:r>
        <w:br w:type="page"/>
      </w:r>
    </w:p>
    <w:p w14:paraId="2732183A" w14:textId="73C65BA5" w:rsidR="00CA165C" w:rsidRDefault="00000000" w:rsidP="00985D44">
      <w:pPr>
        <w:spacing w:before="360" w:after="120"/>
      </w:pPr>
      <w:r>
        <w:rPr>
          <w:rFonts w:ascii="Calibri" w:hAnsi="Calibri"/>
          <w:b/>
          <w:color w:val="1F4E79"/>
          <w:sz w:val="36"/>
        </w:rPr>
        <w:lastRenderedPageBreak/>
        <w:t>1. What This Is</w:t>
      </w:r>
    </w:p>
    <w:p w14:paraId="47D8313A" w14:textId="57E94FD7" w:rsidR="00CA165C" w:rsidRDefault="00000000">
      <w:pPr>
        <w:spacing w:after="120"/>
      </w:pPr>
      <w:r>
        <w:rPr>
          <w:rFonts w:ascii="Calibri" w:hAnsi="Calibri"/>
        </w:rPr>
        <w:t xml:space="preserve">This is a tool that makes the stakeholder network around a major energy company </w:t>
      </w:r>
      <w:proofErr w:type="gramStart"/>
      <w:r w:rsidR="00985D44">
        <w:rPr>
          <w:rFonts w:ascii="Calibri" w:hAnsi="Calibri"/>
        </w:rPr>
        <w:t>(</w:t>
      </w:r>
      <w:r>
        <w:rPr>
          <w:rFonts w:ascii="Calibri" w:hAnsi="Calibri"/>
        </w:rPr>
        <w:t xml:space="preserve"> in</w:t>
      </w:r>
      <w:proofErr w:type="gramEnd"/>
      <w:r>
        <w:rPr>
          <w:rFonts w:ascii="Calibri" w:hAnsi="Calibri"/>
        </w:rPr>
        <w:t xml:space="preserve"> my case, </w:t>
      </w:r>
      <w:proofErr w:type="gramStart"/>
      <w:r>
        <w:rPr>
          <w:rFonts w:ascii="Calibri" w:hAnsi="Calibri"/>
        </w:rPr>
        <w:t xml:space="preserve">Shell </w:t>
      </w:r>
      <w:r w:rsidR="00985D44">
        <w:rPr>
          <w:rFonts w:ascii="Calibri" w:hAnsi="Calibri"/>
        </w:rPr>
        <w:t>)</w:t>
      </w:r>
      <w:r>
        <w:rPr>
          <w:rFonts w:ascii="Calibri" w:hAnsi="Calibri"/>
        </w:rPr>
        <w:t>visible</w:t>
      </w:r>
      <w:proofErr w:type="gramEnd"/>
      <w:r>
        <w:rPr>
          <w:rFonts w:ascii="Calibri" w:hAnsi="Calibri"/>
        </w:rPr>
        <w:t xml:space="preserve"> and interactive. The premise is simple: most of a company's geopolitical exposure doesn't live in its assets or balance sheet, it lives in its relationships. A regulator that turns hostile, a major investor that divests, an NGO that wins a court </w:t>
      </w:r>
      <w:proofErr w:type="gramStart"/>
      <w:r>
        <w:rPr>
          <w:rFonts w:ascii="Calibri" w:hAnsi="Calibri"/>
        </w:rPr>
        <w:t xml:space="preserve">case </w:t>
      </w:r>
      <w:r w:rsidR="00985D44">
        <w:rPr>
          <w:rFonts w:ascii="Calibri" w:hAnsi="Calibri"/>
        </w:rPr>
        <w:t>,</w:t>
      </w:r>
      <w:proofErr w:type="gramEnd"/>
      <w:r>
        <w:rPr>
          <w:rFonts w:ascii="Calibri" w:hAnsi="Calibri"/>
        </w:rPr>
        <w:t xml:space="preserve"> these are the things that actually change a company's strategic position. This tool tries to make that structure readable at a glance.</w:t>
      </w:r>
    </w:p>
    <w:p w14:paraId="4BE554D6" w14:textId="77777777" w:rsidR="00CA165C" w:rsidRDefault="00000000">
      <w:pPr>
        <w:spacing w:after="120"/>
      </w:pPr>
      <w:r>
        <w:rPr>
          <w:rFonts w:ascii="Calibri" w:hAnsi="Calibri"/>
        </w:rPr>
        <w:t>The output is an interactive force-directed graph built in D3.js, with a sidebar that shows relationship details when you click on any stakeholder node. Users can also search, filter by stakeholder type, and zoom and pan across the full network.</w:t>
      </w:r>
    </w:p>
    <w:p w14:paraId="0E6027AC" w14:textId="28D0CF7F" w:rsidR="00CA165C" w:rsidRDefault="00000000" w:rsidP="00985D44">
      <w:pPr>
        <w:spacing w:before="360" w:after="120"/>
      </w:pPr>
      <w:r>
        <w:rPr>
          <w:rFonts w:ascii="Calibri" w:hAnsi="Calibri"/>
          <w:b/>
          <w:color w:val="1F4E79"/>
          <w:sz w:val="36"/>
        </w:rPr>
        <w:t xml:space="preserve"> The Data Model</w:t>
      </w:r>
    </w:p>
    <w:p w14:paraId="3CCFCE55" w14:textId="2CA8D8A7" w:rsidR="00985D44" w:rsidRDefault="00000000" w:rsidP="00985D44">
      <w:pPr>
        <w:spacing w:after="120"/>
      </w:pPr>
      <w:r>
        <w:rPr>
          <w:rFonts w:ascii="Calibri" w:hAnsi="Calibri"/>
        </w:rPr>
        <w:t xml:space="preserve">This is the part I spent the most time thinking about. </w:t>
      </w:r>
    </w:p>
    <w:p w14:paraId="0B93D841" w14:textId="7F88C3E3" w:rsidR="00CA165C" w:rsidRDefault="00000000" w:rsidP="00985D44">
      <w:pPr>
        <w:spacing w:after="120"/>
      </w:pPr>
      <w:r>
        <w:rPr>
          <w:rFonts w:ascii="Calibri" w:hAnsi="Calibri"/>
          <w:b/>
          <w:color w:val="156082"/>
          <w:sz w:val="28"/>
        </w:rPr>
        <w:t xml:space="preserve">  Node (Stakeholder)</w:t>
      </w:r>
    </w:p>
    <w:p w14:paraId="41DBD9F4" w14:textId="77777777" w:rsidR="00CA165C" w:rsidRDefault="00000000">
      <w:pPr>
        <w:spacing w:after="120"/>
      </w:pPr>
      <w:r>
        <w:rPr>
          <w:rFonts w:ascii="Calibri" w:hAnsi="Calibri"/>
        </w:rPr>
        <w:t xml:space="preserve">A node is any actor with </w:t>
      </w:r>
      <w:r>
        <w:rPr>
          <w:rFonts w:ascii="Calibri" w:hAnsi="Calibri"/>
          <w:b/>
        </w:rPr>
        <w:t>material influence</w:t>
      </w:r>
      <w:r>
        <w:rPr>
          <w:rFonts w:ascii="Calibri" w:hAnsi="Calibri"/>
        </w:rPr>
        <w:t xml:space="preserve"> on Shell. The test: can this actor meaningfully affect Shell's operations, reputation, finances, or strategic options? If yes, it's a node.</w:t>
      </w:r>
    </w:p>
    <w:tbl>
      <w:tblPr>
        <w:tblStyle w:val="TableGrid"/>
        <w:tblW w:w="0" w:type="auto"/>
        <w:tblLook w:val="04A0" w:firstRow="1" w:lastRow="0" w:firstColumn="1" w:lastColumn="0" w:noHBand="0" w:noVBand="1"/>
      </w:tblPr>
      <w:tblGrid>
        <w:gridCol w:w="2946"/>
        <w:gridCol w:w="2946"/>
        <w:gridCol w:w="2946"/>
      </w:tblGrid>
      <w:tr w:rsidR="00CA165C" w14:paraId="7B1BEAEF" w14:textId="77777777">
        <w:tc>
          <w:tcPr>
            <w:tcW w:w="2946" w:type="dxa"/>
            <w:shd w:val="clear" w:color="auto" w:fill="1F4E79"/>
          </w:tcPr>
          <w:p w14:paraId="2A454327" w14:textId="77777777" w:rsidR="00CA165C" w:rsidRDefault="00000000">
            <w:r>
              <w:rPr>
                <w:b/>
                <w:color w:val="FFFFFF"/>
                <w:sz w:val="20"/>
              </w:rPr>
              <w:t>Field</w:t>
            </w:r>
          </w:p>
        </w:tc>
        <w:tc>
          <w:tcPr>
            <w:tcW w:w="2946" w:type="dxa"/>
            <w:shd w:val="clear" w:color="auto" w:fill="1F4E79"/>
          </w:tcPr>
          <w:p w14:paraId="3E2DFD05" w14:textId="77777777" w:rsidR="00CA165C" w:rsidRDefault="00000000">
            <w:r>
              <w:rPr>
                <w:b/>
                <w:color w:val="FFFFFF"/>
                <w:sz w:val="20"/>
              </w:rPr>
              <w:t>Type</w:t>
            </w:r>
          </w:p>
        </w:tc>
        <w:tc>
          <w:tcPr>
            <w:tcW w:w="2946" w:type="dxa"/>
            <w:shd w:val="clear" w:color="auto" w:fill="1F4E79"/>
          </w:tcPr>
          <w:p w14:paraId="05507818" w14:textId="77777777" w:rsidR="00CA165C" w:rsidRDefault="00000000">
            <w:r>
              <w:rPr>
                <w:b/>
                <w:color w:val="FFFFFF"/>
                <w:sz w:val="20"/>
              </w:rPr>
              <w:t>Purpose</w:t>
            </w:r>
          </w:p>
        </w:tc>
      </w:tr>
      <w:tr w:rsidR="00CA165C" w14:paraId="7EB85098" w14:textId="77777777">
        <w:tc>
          <w:tcPr>
            <w:tcW w:w="2946" w:type="dxa"/>
            <w:shd w:val="clear" w:color="auto" w:fill="DCE6F1"/>
          </w:tcPr>
          <w:p w14:paraId="7910D832" w14:textId="77777777" w:rsidR="00CA165C" w:rsidRDefault="00000000">
            <w:r>
              <w:rPr>
                <w:sz w:val="20"/>
              </w:rPr>
              <w:t>id</w:t>
            </w:r>
          </w:p>
        </w:tc>
        <w:tc>
          <w:tcPr>
            <w:tcW w:w="2946" w:type="dxa"/>
            <w:shd w:val="clear" w:color="auto" w:fill="DCE6F1"/>
          </w:tcPr>
          <w:p w14:paraId="1642DC4B" w14:textId="77777777" w:rsidR="00CA165C" w:rsidRDefault="00000000">
            <w:r>
              <w:rPr>
                <w:sz w:val="20"/>
              </w:rPr>
              <w:t>string</w:t>
            </w:r>
          </w:p>
        </w:tc>
        <w:tc>
          <w:tcPr>
            <w:tcW w:w="2946" w:type="dxa"/>
            <w:shd w:val="clear" w:color="auto" w:fill="DCE6F1"/>
          </w:tcPr>
          <w:p w14:paraId="1E09F2E7" w14:textId="74A2A220" w:rsidR="00CA165C" w:rsidRDefault="00000000">
            <w:r>
              <w:rPr>
                <w:sz w:val="20"/>
              </w:rPr>
              <w:t>Slug-style unique ID e.g. "gov_uk", "ngo_greenpeace"</w:t>
            </w:r>
          </w:p>
        </w:tc>
      </w:tr>
      <w:tr w:rsidR="00CA165C" w14:paraId="0DD9CE58" w14:textId="77777777">
        <w:tc>
          <w:tcPr>
            <w:tcW w:w="2946" w:type="dxa"/>
          </w:tcPr>
          <w:p w14:paraId="7FF8DEC3" w14:textId="77777777" w:rsidR="00CA165C" w:rsidRDefault="00000000">
            <w:r>
              <w:rPr>
                <w:sz w:val="20"/>
              </w:rPr>
              <w:t>name</w:t>
            </w:r>
          </w:p>
        </w:tc>
        <w:tc>
          <w:tcPr>
            <w:tcW w:w="2946" w:type="dxa"/>
          </w:tcPr>
          <w:p w14:paraId="0986CF50" w14:textId="77777777" w:rsidR="00CA165C" w:rsidRDefault="00000000">
            <w:r>
              <w:rPr>
                <w:sz w:val="20"/>
              </w:rPr>
              <w:t>string</w:t>
            </w:r>
          </w:p>
        </w:tc>
        <w:tc>
          <w:tcPr>
            <w:tcW w:w="2946" w:type="dxa"/>
          </w:tcPr>
          <w:p w14:paraId="13CBD5E8" w14:textId="77777777" w:rsidR="00CA165C" w:rsidRDefault="00000000">
            <w:r>
              <w:rPr>
                <w:sz w:val="20"/>
              </w:rPr>
              <w:t>Display name on the graph</w:t>
            </w:r>
          </w:p>
        </w:tc>
      </w:tr>
      <w:tr w:rsidR="00CA165C" w14:paraId="25552289" w14:textId="77777777">
        <w:tc>
          <w:tcPr>
            <w:tcW w:w="2946" w:type="dxa"/>
            <w:shd w:val="clear" w:color="auto" w:fill="DCE6F1"/>
          </w:tcPr>
          <w:p w14:paraId="77CDCE1F" w14:textId="77777777" w:rsidR="00CA165C" w:rsidRDefault="00000000">
            <w:r>
              <w:rPr>
                <w:sz w:val="20"/>
              </w:rPr>
              <w:t>type</w:t>
            </w:r>
          </w:p>
        </w:tc>
        <w:tc>
          <w:tcPr>
            <w:tcW w:w="2946" w:type="dxa"/>
            <w:shd w:val="clear" w:color="auto" w:fill="DCE6F1"/>
          </w:tcPr>
          <w:p w14:paraId="2D697865" w14:textId="77777777" w:rsidR="00CA165C" w:rsidRDefault="00000000">
            <w:r>
              <w:rPr>
                <w:sz w:val="20"/>
              </w:rPr>
              <w:t>StakeholderType</w:t>
            </w:r>
          </w:p>
        </w:tc>
        <w:tc>
          <w:tcPr>
            <w:tcW w:w="2946" w:type="dxa"/>
            <w:shd w:val="clear" w:color="auto" w:fill="DCE6F1"/>
          </w:tcPr>
          <w:p w14:paraId="423C7B5B" w14:textId="77777777" w:rsidR="00CA165C" w:rsidRDefault="00000000">
            <w:r>
              <w:rPr>
                <w:sz w:val="20"/>
              </w:rPr>
              <w:t>Drives colour coding — 11 types total</w:t>
            </w:r>
          </w:p>
        </w:tc>
      </w:tr>
      <w:tr w:rsidR="00CA165C" w14:paraId="22BD866D" w14:textId="77777777">
        <w:tc>
          <w:tcPr>
            <w:tcW w:w="2946" w:type="dxa"/>
          </w:tcPr>
          <w:p w14:paraId="4E1A9864" w14:textId="77777777" w:rsidR="00CA165C" w:rsidRDefault="00000000">
            <w:r>
              <w:rPr>
                <w:sz w:val="20"/>
              </w:rPr>
              <w:t>country</w:t>
            </w:r>
          </w:p>
        </w:tc>
        <w:tc>
          <w:tcPr>
            <w:tcW w:w="2946" w:type="dxa"/>
          </w:tcPr>
          <w:p w14:paraId="6D551E20" w14:textId="77777777" w:rsidR="00CA165C" w:rsidRDefault="00000000">
            <w:r>
              <w:rPr>
                <w:sz w:val="20"/>
              </w:rPr>
              <w:t>string</w:t>
            </w:r>
          </w:p>
        </w:tc>
        <w:tc>
          <w:tcPr>
            <w:tcW w:w="2946" w:type="dxa"/>
          </w:tcPr>
          <w:p w14:paraId="75719DBE" w14:textId="77777777" w:rsidR="00CA165C" w:rsidRDefault="00000000">
            <w:r>
              <w:rPr>
                <w:sz w:val="20"/>
              </w:rPr>
              <w:t>Nation or region of the actor</w:t>
            </w:r>
          </w:p>
        </w:tc>
      </w:tr>
      <w:tr w:rsidR="00CA165C" w14:paraId="072C62FF" w14:textId="77777777">
        <w:tc>
          <w:tcPr>
            <w:tcW w:w="2946" w:type="dxa"/>
            <w:shd w:val="clear" w:color="auto" w:fill="DCE6F1"/>
          </w:tcPr>
          <w:p w14:paraId="5BDAB593" w14:textId="77777777" w:rsidR="00CA165C" w:rsidRDefault="00000000">
            <w:r>
              <w:rPr>
                <w:sz w:val="20"/>
              </w:rPr>
              <w:t>influence</w:t>
            </w:r>
          </w:p>
        </w:tc>
        <w:tc>
          <w:tcPr>
            <w:tcW w:w="2946" w:type="dxa"/>
            <w:shd w:val="clear" w:color="auto" w:fill="DCE6F1"/>
          </w:tcPr>
          <w:p w14:paraId="7074A828" w14:textId="77777777" w:rsidR="00CA165C" w:rsidRDefault="00000000">
            <w:r>
              <w:rPr>
                <w:sz w:val="20"/>
              </w:rPr>
              <w:t>critical | high | medium | low</w:t>
            </w:r>
          </w:p>
        </w:tc>
        <w:tc>
          <w:tcPr>
            <w:tcW w:w="2946" w:type="dxa"/>
            <w:shd w:val="clear" w:color="auto" w:fill="DCE6F1"/>
          </w:tcPr>
          <w:p w14:paraId="46640BFA" w14:textId="77777777" w:rsidR="00CA165C" w:rsidRDefault="00000000">
            <w:r>
              <w:rPr>
                <w:sz w:val="20"/>
              </w:rPr>
              <w:t>Maps to node radius on the graph</w:t>
            </w:r>
          </w:p>
        </w:tc>
      </w:tr>
      <w:tr w:rsidR="00CA165C" w14:paraId="1F4763E0" w14:textId="77777777">
        <w:tc>
          <w:tcPr>
            <w:tcW w:w="2946" w:type="dxa"/>
          </w:tcPr>
          <w:p w14:paraId="4CDE76B3" w14:textId="77777777" w:rsidR="00CA165C" w:rsidRDefault="00000000">
            <w:r>
              <w:rPr>
                <w:sz w:val="20"/>
              </w:rPr>
              <w:t>description</w:t>
            </w:r>
          </w:p>
        </w:tc>
        <w:tc>
          <w:tcPr>
            <w:tcW w:w="2946" w:type="dxa"/>
          </w:tcPr>
          <w:p w14:paraId="0D7C955C" w14:textId="77777777" w:rsidR="00CA165C" w:rsidRDefault="00000000">
            <w:r>
              <w:rPr>
                <w:sz w:val="20"/>
              </w:rPr>
              <w:t>string</w:t>
            </w:r>
          </w:p>
        </w:tc>
        <w:tc>
          <w:tcPr>
            <w:tcW w:w="2946" w:type="dxa"/>
          </w:tcPr>
          <w:p w14:paraId="7F7AA636" w14:textId="77777777" w:rsidR="00CA165C" w:rsidRDefault="00000000">
            <w:r>
              <w:rPr>
                <w:sz w:val="20"/>
              </w:rPr>
              <w:t>Who they are and why they matter to Shell</w:t>
            </w:r>
          </w:p>
        </w:tc>
      </w:tr>
    </w:tbl>
    <w:p w14:paraId="10CF3E67" w14:textId="77777777" w:rsidR="00CA165C" w:rsidRDefault="00CA165C"/>
    <w:p w14:paraId="7999A778" w14:textId="77777777" w:rsidR="00CA165C" w:rsidRDefault="00000000">
      <w:pPr>
        <w:spacing w:before="240" w:after="120"/>
      </w:pPr>
      <w:r>
        <w:rPr>
          <w:rFonts w:ascii="Calibri" w:hAnsi="Calibri"/>
          <w:b/>
          <w:color w:val="323232"/>
          <w:sz w:val="24"/>
        </w:rPr>
        <w:t>Note on the influence field</w:t>
      </w:r>
    </w:p>
    <w:p w14:paraId="16BA8D53" w14:textId="13D7B864" w:rsidR="00CA165C" w:rsidRDefault="00000000">
      <w:pPr>
        <w:spacing w:after="120"/>
      </w:pPr>
      <w:r>
        <w:rPr>
          <w:rFonts w:ascii="Calibri" w:hAnsi="Calibri"/>
        </w:rPr>
        <w:t xml:space="preserve">I debated whether to derive this automatically from relationship strength. I decided against it because influence and strength are not the same thing. Milieudefensie has high structural influence on Shell because of the court ruling </w:t>
      </w:r>
      <w:r w:rsidR="00985D44">
        <w:rPr>
          <w:rFonts w:ascii="Calibri" w:hAnsi="Calibri"/>
        </w:rPr>
        <w:t>-</w:t>
      </w:r>
      <w:r>
        <w:rPr>
          <w:rFonts w:ascii="Calibri" w:hAnsi="Calibri"/>
        </w:rPr>
        <w:t xml:space="preserve"> but on any given Tuesday, there may be no active operational interaction between them. A field derived purely from day-to-day activity would underestimate their importance. So influence is set explicitly, which forces deliberate thought about each actor.</w:t>
      </w:r>
    </w:p>
    <w:p w14:paraId="0DCC5DD5" w14:textId="77777777" w:rsidR="00CA165C" w:rsidRDefault="00000000">
      <w:pPr>
        <w:spacing w:before="240" w:after="120"/>
      </w:pPr>
      <w:r>
        <w:rPr>
          <w:rFonts w:ascii="Calibri" w:hAnsi="Calibri"/>
          <w:b/>
          <w:color w:val="323232"/>
          <w:sz w:val="24"/>
        </w:rPr>
        <w:t>Note on including individuals as nodes</w:t>
      </w:r>
    </w:p>
    <w:p w14:paraId="74385C17" w14:textId="32A4B664" w:rsidR="00CA165C" w:rsidRDefault="00000000">
      <w:pPr>
        <w:spacing w:after="120"/>
      </w:pPr>
      <w:r>
        <w:rPr>
          <w:rFonts w:ascii="Calibri" w:hAnsi="Calibri"/>
        </w:rPr>
        <w:t xml:space="preserve">Including Wael Sawan (Shell's CEO) as an individual node felt unusual at </w:t>
      </w:r>
      <w:proofErr w:type="gramStart"/>
      <w:r>
        <w:rPr>
          <w:rFonts w:ascii="Calibri" w:hAnsi="Calibri"/>
        </w:rPr>
        <w:t xml:space="preserve">first </w:t>
      </w:r>
      <w:r w:rsidR="00985D44">
        <w:rPr>
          <w:rFonts w:ascii="Calibri" w:hAnsi="Calibri"/>
        </w:rPr>
        <w:t>,</w:t>
      </w:r>
      <w:proofErr w:type="gramEnd"/>
      <w:r>
        <w:rPr>
          <w:rFonts w:ascii="Calibri" w:hAnsi="Calibri"/>
        </w:rPr>
        <w:t xml:space="preserve"> he's part of Shell, so isn't that redundant? But his personal relationships with NOC heads and ministers are semi-independent of the institution. If he left, those relationships would partly go with him. That is a </w:t>
      </w:r>
      <w:r>
        <w:rPr>
          <w:rFonts w:ascii="Calibri" w:hAnsi="Calibri"/>
        </w:rPr>
        <w:lastRenderedPageBreak/>
        <w:t>real risk signal. The same logic applies to Follow This (Mark van Baal), an activist whose shareholder resolution strategy is now getting 28% AGM support. Both pass the materiality test.</w:t>
      </w:r>
    </w:p>
    <w:p w14:paraId="3131C289" w14:textId="21BF02D4" w:rsidR="00CA165C" w:rsidRDefault="00000000">
      <w:pPr>
        <w:spacing w:before="240" w:after="120"/>
      </w:pPr>
      <w:r>
        <w:rPr>
          <w:rFonts w:ascii="Calibri" w:hAnsi="Calibri"/>
          <w:b/>
          <w:color w:val="156082"/>
          <w:sz w:val="28"/>
        </w:rPr>
        <w:t xml:space="preserve"> Edge (Relationship)</w:t>
      </w:r>
    </w:p>
    <w:p w14:paraId="5D00D610" w14:textId="77777777" w:rsidR="00CA165C" w:rsidRDefault="00000000">
      <w:pPr>
        <w:spacing w:after="120"/>
      </w:pPr>
      <w:r>
        <w:rPr>
          <w:rFonts w:ascii="Calibri" w:hAnsi="Calibri"/>
        </w:rPr>
        <w:t>The key question I kept coming back to: what does an edge need to carry to be useful to a risk analyst, not just visually interesting?</w:t>
      </w:r>
    </w:p>
    <w:tbl>
      <w:tblPr>
        <w:tblStyle w:val="TableGrid"/>
        <w:tblW w:w="0" w:type="auto"/>
        <w:tblLook w:val="04A0" w:firstRow="1" w:lastRow="0" w:firstColumn="1" w:lastColumn="0" w:noHBand="0" w:noVBand="1"/>
      </w:tblPr>
      <w:tblGrid>
        <w:gridCol w:w="2946"/>
        <w:gridCol w:w="2946"/>
        <w:gridCol w:w="2946"/>
      </w:tblGrid>
      <w:tr w:rsidR="00CA165C" w14:paraId="5D651BC1" w14:textId="77777777">
        <w:tc>
          <w:tcPr>
            <w:tcW w:w="2946" w:type="dxa"/>
            <w:shd w:val="clear" w:color="auto" w:fill="1F4E79"/>
          </w:tcPr>
          <w:p w14:paraId="04210AEB" w14:textId="77777777" w:rsidR="00CA165C" w:rsidRDefault="00000000">
            <w:r>
              <w:rPr>
                <w:b/>
                <w:color w:val="FFFFFF"/>
                <w:sz w:val="20"/>
              </w:rPr>
              <w:t>Field</w:t>
            </w:r>
          </w:p>
        </w:tc>
        <w:tc>
          <w:tcPr>
            <w:tcW w:w="2946" w:type="dxa"/>
            <w:shd w:val="clear" w:color="auto" w:fill="1F4E79"/>
          </w:tcPr>
          <w:p w14:paraId="02AC8A74" w14:textId="77777777" w:rsidR="00CA165C" w:rsidRDefault="00000000">
            <w:r>
              <w:rPr>
                <w:b/>
                <w:color w:val="FFFFFF"/>
                <w:sz w:val="20"/>
              </w:rPr>
              <w:t>Type</w:t>
            </w:r>
          </w:p>
        </w:tc>
        <w:tc>
          <w:tcPr>
            <w:tcW w:w="2946" w:type="dxa"/>
            <w:shd w:val="clear" w:color="auto" w:fill="1F4E79"/>
          </w:tcPr>
          <w:p w14:paraId="304836A5" w14:textId="77777777" w:rsidR="00CA165C" w:rsidRDefault="00000000">
            <w:r>
              <w:rPr>
                <w:b/>
                <w:color w:val="FFFFFF"/>
                <w:sz w:val="20"/>
              </w:rPr>
              <w:t>Purpose</w:t>
            </w:r>
          </w:p>
        </w:tc>
      </w:tr>
      <w:tr w:rsidR="00CA165C" w14:paraId="4BC642BE" w14:textId="77777777">
        <w:tc>
          <w:tcPr>
            <w:tcW w:w="2946" w:type="dxa"/>
            <w:shd w:val="clear" w:color="auto" w:fill="DCE6F1"/>
          </w:tcPr>
          <w:p w14:paraId="0AE6945B" w14:textId="77777777" w:rsidR="00CA165C" w:rsidRDefault="00000000">
            <w:r>
              <w:rPr>
                <w:sz w:val="20"/>
              </w:rPr>
              <w:t>source / target</w:t>
            </w:r>
          </w:p>
        </w:tc>
        <w:tc>
          <w:tcPr>
            <w:tcW w:w="2946" w:type="dxa"/>
            <w:shd w:val="clear" w:color="auto" w:fill="DCE6F1"/>
          </w:tcPr>
          <w:p w14:paraId="4AD62759" w14:textId="77777777" w:rsidR="00CA165C" w:rsidRDefault="00000000">
            <w:r>
              <w:rPr>
                <w:sz w:val="20"/>
              </w:rPr>
              <w:t>string</w:t>
            </w:r>
          </w:p>
        </w:tc>
        <w:tc>
          <w:tcPr>
            <w:tcW w:w="2946" w:type="dxa"/>
            <w:shd w:val="clear" w:color="auto" w:fill="DCE6F1"/>
          </w:tcPr>
          <w:p w14:paraId="14B05554" w14:textId="3E8DBCD1" w:rsidR="00CA165C" w:rsidRDefault="00000000">
            <w:r>
              <w:rPr>
                <w:sz w:val="20"/>
              </w:rPr>
              <w:t xml:space="preserve">Node IDs </w:t>
            </w:r>
            <w:r w:rsidR="00985D44">
              <w:rPr>
                <w:sz w:val="20"/>
              </w:rPr>
              <w:t>-</w:t>
            </w:r>
            <w:r>
              <w:rPr>
                <w:sz w:val="20"/>
              </w:rPr>
              <w:t xml:space="preserve"> always Shell as source in this version</w:t>
            </w:r>
          </w:p>
        </w:tc>
      </w:tr>
      <w:tr w:rsidR="00CA165C" w14:paraId="1C544A0A" w14:textId="77777777">
        <w:tc>
          <w:tcPr>
            <w:tcW w:w="2946" w:type="dxa"/>
          </w:tcPr>
          <w:p w14:paraId="0FFB5AF4" w14:textId="77777777" w:rsidR="00CA165C" w:rsidRDefault="00000000">
            <w:r>
              <w:rPr>
                <w:sz w:val="20"/>
              </w:rPr>
              <w:t>type</w:t>
            </w:r>
          </w:p>
        </w:tc>
        <w:tc>
          <w:tcPr>
            <w:tcW w:w="2946" w:type="dxa"/>
          </w:tcPr>
          <w:p w14:paraId="38DCF3A5" w14:textId="77777777" w:rsidR="00CA165C" w:rsidRDefault="00000000">
            <w:r>
              <w:rPr>
                <w:sz w:val="20"/>
              </w:rPr>
              <w:t>RelationshipType</w:t>
            </w:r>
          </w:p>
        </w:tc>
        <w:tc>
          <w:tcPr>
            <w:tcW w:w="2946" w:type="dxa"/>
          </w:tcPr>
          <w:p w14:paraId="0F7BD2D7" w14:textId="77777777" w:rsidR="00CA165C" w:rsidRDefault="00000000">
            <w:r>
              <w:rPr>
                <w:sz w:val="20"/>
              </w:rPr>
              <w:t>Nature of the relationship (5 types)</w:t>
            </w:r>
          </w:p>
        </w:tc>
      </w:tr>
      <w:tr w:rsidR="00CA165C" w14:paraId="2948AC14" w14:textId="77777777">
        <w:tc>
          <w:tcPr>
            <w:tcW w:w="2946" w:type="dxa"/>
            <w:shd w:val="clear" w:color="auto" w:fill="DCE6F1"/>
          </w:tcPr>
          <w:p w14:paraId="68A9237E" w14:textId="77777777" w:rsidR="00CA165C" w:rsidRDefault="00000000">
            <w:r>
              <w:rPr>
                <w:sz w:val="20"/>
              </w:rPr>
              <w:t>strength</w:t>
            </w:r>
          </w:p>
        </w:tc>
        <w:tc>
          <w:tcPr>
            <w:tcW w:w="2946" w:type="dxa"/>
            <w:shd w:val="clear" w:color="auto" w:fill="DCE6F1"/>
          </w:tcPr>
          <w:p w14:paraId="3BC38C04" w14:textId="77777777" w:rsidR="00CA165C" w:rsidRDefault="00000000">
            <w:r>
              <w:rPr>
                <w:sz w:val="20"/>
              </w:rPr>
              <w:t>1–10</w:t>
            </w:r>
          </w:p>
        </w:tc>
        <w:tc>
          <w:tcPr>
            <w:tcW w:w="2946" w:type="dxa"/>
            <w:shd w:val="clear" w:color="auto" w:fill="DCE6F1"/>
          </w:tcPr>
          <w:p w14:paraId="57DF36DD" w14:textId="77777777" w:rsidR="00CA165C" w:rsidRDefault="00000000">
            <w:r>
              <w:rPr>
                <w:sz w:val="20"/>
              </w:rPr>
              <w:t>How much this relationship operationally matters; maps to edge width</w:t>
            </w:r>
          </w:p>
        </w:tc>
      </w:tr>
      <w:tr w:rsidR="00CA165C" w14:paraId="73143DF0" w14:textId="77777777">
        <w:tc>
          <w:tcPr>
            <w:tcW w:w="2946" w:type="dxa"/>
          </w:tcPr>
          <w:p w14:paraId="63FE5567" w14:textId="77777777" w:rsidR="00CA165C" w:rsidRDefault="00000000">
            <w:r>
              <w:rPr>
                <w:sz w:val="20"/>
              </w:rPr>
              <w:t>state</w:t>
            </w:r>
          </w:p>
        </w:tc>
        <w:tc>
          <w:tcPr>
            <w:tcW w:w="2946" w:type="dxa"/>
          </w:tcPr>
          <w:p w14:paraId="2F1F3DF7" w14:textId="77777777" w:rsidR="00CA165C" w:rsidRDefault="00000000">
            <w:r>
              <w:rPr>
                <w:sz w:val="20"/>
              </w:rPr>
              <w:t>stable | improving | deteriorating</w:t>
            </w:r>
          </w:p>
        </w:tc>
        <w:tc>
          <w:tcPr>
            <w:tcW w:w="2946" w:type="dxa"/>
          </w:tcPr>
          <w:p w14:paraId="5C98F5A2" w14:textId="0F55D8BD" w:rsidR="00CA165C" w:rsidRDefault="00000000">
            <w:r>
              <w:rPr>
                <w:sz w:val="20"/>
              </w:rPr>
              <w:t xml:space="preserve">Current trajectory </w:t>
            </w:r>
            <w:r w:rsidR="00985D44">
              <w:rPr>
                <w:sz w:val="20"/>
              </w:rPr>
              <w:t>-</w:t>
            </w:r>
            <w:r>
              <w:rPr>
                <w:sz w:val="20"/>
              </w:rPr>
              <w:t xml:space="preserve"> the core analytical signal</w:t>
            </w:r>
          </w:p>
        </w:tc>
      </w:tr>
      <w:tr w:rsidR="00CA165C" w14:paraId="05159B35" w14:textId="77777777">
        <w:tc>
          <w:tcPr>
            <w:tcW w:w="2946" w:type="dxa"/>
            <w:shd w:val="clear" w:color="auto" w:fill="DCE6F1"/>
          </w:tcPr>
          <w:p w14:paraId="6A990437" w14:textId="77777777" w:rsidR="00CA165C" w:rsidRDefault="00000000">
            <w:r>
              <w:rPr>
                <w:sz w:val="20"/>
              </w:rPr>
              <w:t>direction</w:t>
            </w:r>
          </w:p>
        </w:tc>
        <w:tc>
          <w:tcPr>
            <w:tcW w:w="2946" w:type="dxa"/>
            <w:shd w:val="clear" w:color="auto" w:fill="DCE6F1"/>
          </w:tcPr>
          <w:p w14:paraId="0B439EB4" w14:textId="77777777" w:rsidR="00CA165C" w:rsidRDefault="00000000">
            <w:r>
              <w:rPr>
                <w:sz w:val="20"/>
              </w:rPr>
              <w:t>bilateral | inbound | outbound</w:t>
            </w:r>
          </w:p>
        </w:tc>
        <w:tc>
          <w:tcPr>
            <w:tcW w:w="2946" w:type="dxa"/>
            <w:shd w:val="clear" w:color="auto" w:fill="DCE6F1"/>
          </w:tcPr>
          <w:p w14:paraId="3C2C285F" w14:textId="77777777" w:rsidR="00CA165C" w:rsidRDefault="00000000">
            <w:r>
              <w:rPr>
                <w:sz w:val="20"/>
              </w:rPr>
              <w:t>Who is driving the relationship</w:t>
            </w:r>
          </w:p>
        </w:tc>
      </w:tr>
      <w:tr w:rsidR="00CA165C" w14:paraId="4B8D76AD" w14:textId="77777777">
        <w:tc>
          <w:tcPr>
            <w:tcW w:w="2946" w:type="dxa"/>
          </w:tcPr>
          <w:p w14:paraId="28EFF9CD" w14:textId="77777777" w:rsidR="00CA165C" w:rsidRDefault="00000000">
            <w:r>
              <w:rPr>
                <w:sz w:val="20"/>
              </w:rPr>
              <w:t>description</w:t>
            </w:r>
          </w:p>
        </w:tc>
        <w:tc>
          <w:tcPr>
            <w:tcW w:w="2946" w:type="dxa"/>
          </w:tcPr>
          <w:p w14:paraId="194EF422" w14:textId="77777777" w:rsidR="00CA165C" w:rsidRDefault="00000000">
            <w:r>
              <w:rPr>
                <w:sz w:val="20"/>
              </w:rPr>
              <w:t>string</w:t>
            </w:r>
          </w:p>
        </w:tc>
        <w:tc>
          <w:tcPr>
            <w:tcW w:w="2946" w:type="dxa"/>
          </w:tcPr>
          <w:p w14:paraId="04F87AD8" w14:textId="77777777" w:rsidR="00CA165C" w:rsidRDefault="00000000">
            <w:r>
              <w:rPr>
                <w:sz w:val="20"/>
              </w:rPr>
              <w:t>What is actually happening right now, grounded in a specific event</w:t>
            </w:r>
          </w:p>
        </w:tc>
      </w:tr>
    </w:tbl>
    <w:p w14:paraId="0D0EAC42" w14:textId="77777777" w:rsidR="00CA165C" w:rsidRDefault="00CA165C"/>
    <w:p w14:paraId="06F3188D" w14:textId="77777777" w:rsidR="00CA165C" w:rsidRDefault="00000000">
      <w:pPr>
        <w:spacing w:before="240" w:after="120"/>
      </w:pPr>
      <w:r>
        <w:rPr>
          <w:rFonts w:ascii="Calibri" w:hAnsi="Calibri"/>
          <w:b/>
          <w:color w:val="323232"/>
          <w:sz w:val="24"/>
        </w:rPr>
        <w:t>On the state field</w:t>
      </w:r>
    </w:p>
    <w:p w14:paraId="37019205" w14:textId="4452739C" w:rsidR="00CA165C" w:rsidRDefault="00000000">
      <w:pPr>
        <w:spacing w:after="120"/>
      </w:pPr>
      <w:r>
        <w:rPr>
          <w:rFonts w:ascii="Calibri" w:hAnsi="Calibri"/>
          <w:b/>
        </w:rPr>
        <w:t>state is the most important field.</w:t>
      </w:r>
      <w:r>
        <w:rPr>
          <w:rFonts w:ascii="Calibri" w:hAnsi="Calibri"/>
        </w:rPr>
        <w:t xml:space="preserve"> Knowing Shell has a relationship with the UK Government is obvious. Knowing it is </w:t>
      </w:r>
      <w:r>
        <w:rPr>
          <w:rFonts w:ascii="Calibri" w:hAnsi="Calibri"/>
          <w:b/>
        </w:rPr>
        <w:t>deteriorating</w:t>
      </w:r>
      <w:r>
        <w:rPr>
          <w:rFonts w:ascii="Calibri" w:hAnsi="Calibri"/>
        </w:rPr>
        <w:t xml:space="preserve"> because of windfall taxes </w:t>
      </w:r>
      <w:r w:rsidR="00985D44">
        <w:rPr>
          <w:rFonts w:ascii="Calibri" w:hAnsi="Calibri"/>
        </w:rPr>
        <w:t>-</w:t>
      </w:r>
      <w:r>
        <w:rPr>
          <w:rFonts w:ascii="Calibri" w:hAnsi="Calibri"/>
        </w:rPr>
        <w:t xml:space="preserve"> and that Shell has already delayed North Sea investment in response that is what an analyst actually needs. Green = improving, red = deteriorating, grey = stable. You can read the risk picture before clicking anything.</w:t>
      </w:r>
    </w:p>
    <w:p w14:paraId="524B9784" w14:textId="77777777" w:rsidR="00CA165C" w:rsidRDefault="00000000">
      <w:pPr>
        <w:spacing w:before="240" w:after="120"/>
      </w:pPr>
      <w:r>
        <w:rPr>
          <w:rFonts w:ascii="Calibri" w:hAnsi="Calibri"/>
          <w:b/>
          <w:color w:val="323232"/>
          <w:sz w:val="24"/>
        </w:rPr>
        <w:t>Relationship types and visual encoding</w:t>
      </w:r>
    </w:p>
    <w:p w14:paraId="39008AA8" w14:textId="77777777" w:rsidR="00CA165C" w:rsidRDefault="00000000">
      <w:pPr>
        <w:pStyle w:val="ListBullet"/>
        <w:spacing w:after="60"/>
        <w:ind w:left="283"/>
      </w:pPr>
      <w:r>
        <w:rPr>
          <w:rFonts w:ascii="Calibri" w:hAnsi="Calibri"/>
          <w:b/>
        </w:rPr>
        <w:t>Adversarial</w:t>
      </w:r>
      <w:r>
        <w:rPr>
          <w:rFonts w:ascii="Calibri" w:hAnsi="Calibri"/>
        </w:rPr>
        <w:t xml:space="preserve"> — dashed lines (e.g. Greenpeace, Milieudefensie, ClientEarth)</w:t>
      </w:r>
    </w:p>
    <w:p w14:paraId="64D4117E" w14:textId="77777777" w:rsidR="00CA165C" w:rsidRDefault="00000000">
      <w:pPr>
        <w:pStyle w:val="ListBullet"/>
        <w:spacing w:after="60"/>
        <w:ind w:left="283"/>
      </w:pPr>
      <w:r>
        <w:rPr>
          <w:rFonts w:ascii="Calibri" w:hAnsi="Calibri"/>
          <w:b/>
        </w:rPr>
        <w:t>Regulatory</w:t>
      </w:r>
      <w:r>
        <w:rPr>
          <w:rFonts w:ascii="Calibri" w:hAnsi="Calibri"/>
        </w:rPr>
        <w:t xml:space="preserve"> — dotted lines (e.g. NSTA, EU Commission, US EPA)</w:t>
      </w:r>
    </w:p>
    <w:p w14:paraId="36AFED09" w14:textId="77777777" w:rsidR="00CA165C" w:rsidRDefault="00000000">
      <w:pPr>
        <w:pStyle w:val="ListBullet"/>
        <w:spacing w:after="60"/>
        <w:ind w:left="283"/>
      </w:pPr>
      <w:r>
        <w:rPr>
          <w:rFonts w:ascii="Calibri" w:hAnsi="Calibri"/>
          <w:b/>
        </w:rPr>
        <w:t>Collaborative</w:t>
      </w:r>
      <w:r>
        <w:rPr>
          <w:rFonts w:ascii="Calibri" w:hAnsi="Calibri"/>
        </w:rPr>
        <w:t xml:space="preserve"> — solid lines (e.g. QatarEnergy, Equinor)</w:t>
      </w:r>
    </w:p>
    <w:p w14:paraId="16253914" w14:textId="77777777" w:rsidR="00CA165C" w:rsidRDefault="00000000">
      <w:pPr>
        <w:pStyle w:val="ListBullet"/>
        <w:spacing w:after="60"/>
        <w:ind w:left="283"/>
      </w:pPr>
      <w:r>
        <w:rPr>
          <w:rFonts w:ascii="Calibri" w:hAnsi="Calibri"/>
          <w:b/>
        </w:rPr>
        <w:t>Financial</w:t>
      </w:r>
      <w:r>
        <w:rPr>
          <w:rFonts w:ascii="Calibri" w:hAnsi="Calibri"/>
        </w:rPr>
        <w:t xml:space="preserve"> — solid lines, purple-adjacent nodes (e.g. BlackRock, Vanguard)</w:t>
      </w:r>
    </w:p>
    <w:p w14:paraId="2D0B80B2" w14:textId="77777777" w:rsidR="00CA165C" w:rsidRDefault="00000000">
      <w:pPr>
        <w:pStyle w:val="ListBullet"/>
        <w:spacing w:after="60"/>
        <w:ind w:left="283"/>
      </w:pPr>
      <w:r>
        <w:rPr>
          <w:rFonts w:ascii="Calibri" w:hAnsi="Calibri"/>
          <w:b/>
        </w:rPr>
        <w:t>Operational</w:t>
      </w:r>
      <w:r>
        <w:rPr>
          <w:rFonts w:ascii="Calibri" w:hAnsi="Calibri"/>
        </w:rPr>
        <w:t xml:space="preserve"> — solid lines (e.g. SLB, Baker Hughes)</w:t>
      </w:r>
    </w:p>
    <w:p w14:paraId="2D54EAA2" w14:textId="77777777" w:rsidR="00CA165C" w:rsidRDefault="00CA165C"/>
    <w:p w14:paraId="2DBA04A5" w14:textId="7E757B46" w:rsidR="00CA165C" w:rsidRDefault="00000000">
      <w:pPr>
        <w:spacing w:before="360" w:after="120"/>
      </w:pPr>
      <w:r>
        <w:rPr>
          <w:rFonts w:ascii="Calibri" w:hAnsi="Calibri"/>
          <w:b/>
          <w:color w:val="1F4E79"/>
          <w:sz w:val="36"/>
        </w:rPr>
        <w:t>The 35 Nodes</w:t>
      </w:r>
    </w:p>
    <w:p w14:paraId="545105D5" w14:textId="77777777" w:rsidR="00CA165C" w:rsidRDefault="00CA165C">
      <w:pPr>
        <w:pBdr>
          <w:bottom w:val="single" w:sz="6" w:space="1" w:color="B0C4DE"/>
        </w:pBdr>
        <w:spacing w:before="120" w:after="120"/>
      </w:pPr>
    </w:p>
    <w:tbl>
      <w:tblPr>
        <w:tblStyle w:val="TableGrid"/>
        <w:tblW w:w="0" w:type="auto"/>
        <w:tblLook w:val="04A0" w:firstRow="1" w:lastRow="0" w:firstColumn="1" w:lastColumn="0" w:noHBand="0" w:noVBand="1"/>
      </w:tblPr>
      <w:tblGrid>
        <w:gridCol w:w="2946"/>
        <w:gridCol w:w="2946"/>
        <w:gridCol w:w="2946"/>
      </w:tblGrid>
      <w:tr w:rsidR="00CA165C" w14:paraId="01474164" w14:textId="77777777">
        <w:tc>
          <w:tcPr>
            <w:tcW w:w="2946" w:type="dxa"/>
            <w:shd w:val="clear" w:color="auto" w:fill="1F4E79"/>
          </w:tcPr>
          <w:p w14:paraId="435998B1" w14:textId="77777777" w:rsidR="00CA165C" w:rsidRDefault="00000000">
            <w:r>
              <w:rPr>
                <w:b/>
                <w:color w:val="FFFFFF"/>
                <w:sz w:val="20"/>
              </w:rPr>
              <w:t>Category</w:t>
            </w:r>
          </w:p>
        </w:tc>
        <w:tc>
          <w:tcPr>
            <w:tcW w:w="2946" w:type="dxa"/>
            <w:shd w:val="clear" w:color="auto" w:fill="1F4E79"/>
          </w:tcPr>
          <w:p w14:paraId="5F438FBF" w14:textId="77777777" w:rsidR="00CA165C" w:rsidRDefault="00000000">
            <w:r>
              <w:rPr>
                <w:b/>
                <w:color w:val="FFFFFF"/>
                <w:sz w:val="20"/>
              </w:rPr>
              <w:t>Count</w:t>
            </w:r>
          </w:p>
        </w:tc>
        <w:tc>
          <w:tcPr>
            <w:tcW w:w="2946" w:type="dxa"/>
            <w:shd w:val="clear" w:color="auto" w:fill="1F4E79"/>
          </w:tcPr>
          <w:p w14:paraId="3DEE7D3C" w14:textId="77777777" w:rsidR="00CA165C" w:rsidRDefault="00000000">
            <w:r>
              <w:rPr>
                <w:b/>
                <w:color w:val="FFFFFF"/>
                <w:sz w:val="20"/>
              </w:rPr>
              <w:t>Examples</w:t>
            </w:r>
          </w:p>
        </w:tc>
      </w:tr>
      <w:tr w:rsidR="00CA165C" w14:paraId="48634E9C" w14:textId="77777777">
        <w:tc>
          <w:tcPr>
            <w:tcW w:w="2946" w:type="dxa"/>
            <w:shd w:val="clear" w:color="auto" w:fill="DCE6F1"/>
          </w:tcPr>
          <w:p w14:paraId="25A43D98" w14:textId="77777777" w:rsidR="00CA165C" w:rsidRDefault="00000000">
            <w:r>
              <w:rPr>
                <w:sz w:val="20"/>
              </w:rPr>
              <w:t>Governments</w:t>
            </w:r>
          </w:p>
        </w:tc>
        <w:tc>
          <w:tcPr>
            <w:tcW w:w="2946" w:type="dxa"/>
            <w:shd w:val="clear" w:color="auto" w:fill="DCE6F1"/>
          </w:tcPr>
          <w:p w14:paraId="28DBC6C4" w14:textId="77777777" w:rsidR="00CA165C" w:rsidRDefault="00000000">
            <w:r>
              <w:rPr>
                <w:sz w:val="20"/>
              </w:rPr>
              <w:t>6</w:t>
            </w:r>
          </w:p>
        </w:tc>
        <w:tc>
          <w:tcPr>
            <w:tcW w:w="2946" w:type="dxa"/>
            <w:shd w:val="clear" w:color="auto" w:fill="DCE6F1"/>
          </w:tcPr>
          <w:p w14:paraId="12650451" w14:textId="77777777" w:rsidR="00CA165C" w:rsidRDefault="00000000">
            <w:r>
              <w:rPr>
                <w:sz w:val="20"/>
              </w:rPr>
              <w:t>UK, Netherlands, USA, Nigeria, Qatar, Australia</w:t>
            </w:r>
          </w:p>
        </w:tc>
      </w:tr>
      <w:tr w:rsidR="00CA165C" w14:paraId="35DDD61C" w14:textId="77777777">
        <w:tc>
          <w:tcPr>
            <w:tcW w:w="2946" w:type="dxa"/>
          </w:tcPr>
          <w:p w14:paraId="24CB9B31" w14:textId="77777777" w:rsidR="00CA165C" w:rsidRDefault="00000000">
            <w:r>
              <w:rPr>
                <w:sz w:val="20"/>
              </w:rPr>
              <w:t>Regulators</w:t>
            </w:r>
          </w:p>
        </w:tc>
        <w:tc>
          <w:tcPr>
            <w:tcW w:w="2946" w:type="dxa"/>
          </w:tcPr>
          <w:p w14:paraId="320D60CC" w14:textId="77777777" w:rsidR="00CA165C" w:rsidRDefault="00000000">
            <w:r>
              <w:rPr>
                <w:sz w:val="20"/>
              </w:rPr>
              <w:t>4</w:t>
            </w:r>
          </w:p>
        </w:tc>
        <w:tc>
          <w:tcPr>
            <w:tcW w:w="2946" w:type="dxa"/>
          </w:tcPr>
          <w:p w14:paraId="46473C37" w14:textId="77777777" w:rsidR="00CA165C" w:rsidRDefault="00000000">
            <w:r>
              <w:rPr>
                <w:sz w:val="20"/>
              </w:rPr>
              <w:t>NSTA, European Commission, US EPA, UK CMA</w:t>
            </w:r>
          </w:p>
        </w:tc>
      </w:tr>
      <w:tr w:rsidR="00CA165C" w14:paraId="376AD69E" w14:textId="77777777">
        <w:tc>
          <w:tcPr>
            <w:tcW w:w="2946" w:type="dxa"/>
            <w:shd w:val="clear" w:color="auto" w:fill="DCE6F1"/>
          </w:tcPr>
          <w:p w14:paraId="1A6BB8A1" w14:textId="77777777" w:rsidR="00CA165C" w:rsidRDefault="00000000">
            <w:r>
              <w:rPr>
                <w:sz w:val="20"/>
              </w:rPr>
              <w:lastRenderedPageBreak/>
              <w:t>NGOs</w:t>
            </w:r>
          </w:p>
        </w:tc>
        <w:tc>
          <w:tcPr>
            <w:tcW w:w="2946" w:type="dxa"/>
            <w:shd w:val="clear" w:color="auto" w:fill="DCE6F1"/>
          </w:tcPr>
          <w:p w14:paraId="3196C4C4" w14:textId="77777777" w:rsidR="00CA165C" w:rsidRDefault="00000000">
            <w:r>
              <w:rPr>
                <w:sz w:val="20"/>
              </w:rPr>
              <w:t>5</w:t>
            </w:r>
          </w:p>
        </w:tc>
        <w:tc>
          <w:tcPr>
            <w:tcW w:w="2946" w:type="dxa"/>
            <w:shd w:val="clear" w:color="auto" w:fill="DCE6F1"/>
          </w:tcPr>
          <w:p w14:paraId="0007699A" w14:textId="77777777" w:rsidR="00CA165C" w:rsidRDefault="00000000">
            <w:r>
              <w:rPr>
                <w:sz w:val="20"/>
              </w:rPr>
              <w:t>Milieudefensie, Greenpeace, ClientEarth, XR, Share Action</w:t>
            </w:r>
          </w:p>
        </w:tc>
      </w:tr>
      <w:tr w:rsidR="00CA165C" w14:paraId="24793EAB" w14:textId="77777777">
        <w:tc>
          <w:tcPr>
            <w:tcW w:w="2946" w:type="dxa"/>
          </w:tcPr>
          <w:p w14:paraId="18B8428B" w14:textId="77777777" w:rsidR="00CA165C" w:rsidRDefault="00000000">
            <w:r>
              <w:rPr>
                <w:sz w:val="20"/>
              </w:rPr>
              <w:t>Financiers</w:t>
            </w:r>
          </w:p>
        </w:tc>
        <w:tc>
          <w:tcPr>
            <w:tcW w:w="2946" w:type="dxa"/>
          </w:tcPr>
          <w:p w14:paraId="6FDD991F" w14:textId="77777777" w:rsidR="00CA165C" w:rsidRDefault="00000000">
            <w:r>
              <w:rPr>
                <w:sz w:val="20"/>
              </w:rPr>
              <w:t>4</w:t>
            </w:r>
          </w:p>
        </w:tc>
        <w:tc>
          <w:tcPr>
            <w:tcW w:w="2946" w:type="dxa"/>
          </w:tcPr>
          <w:p w14:paraId="2348372B" w14:textId="77777777" w:rsidR="00CA165C" w:rsidRDefault="00000000">
            <w:r>
              <w:rPr>
                <w:sz w:val="20"/>
              </w:rPr>
              <w:t>BlackRock, Vanguard, Norges Bank, ABP Pension</w:t>
            </w:r>
          </w:p>
        </w:tc>
      </w:tr>
      <w:tr w:rsidR="00CA165C" w14:paraId="1B18D0A9" w14:textId="77777777">
        <w:tc>
          <w:tcPr>
            <w:tcW w:w="2946" w:type="dxa"/>
            <w:shd w:val="clear" w:color="auto" w:fill="DCE6F1"/>
          </w:tcPr>
          <w:p w14:paraId="5A65FBFD" w14:textId="77777777" w:rsidR="00CA165C" w:rsidRDefault="00000000">
            <w:r>
              <w:rPr>
                <w:sz w:val="20"/>
              </w:rPr>
              <w:t>Competitors / Partners</w:t>
            </w:r>
          </w:p>
        </w:tc>
        <w:tc>
          <w:tcPr>
            <w:tcW w:w="2946" w:type="dxa"/>
            <w:shd w:val="clear" w:color="auto" w:fill="DCE6F1"/>
          </w:tcPr>
          <w:p w14:paraId="1580F8E5" w14:textId="77777777" w:rsidR="00CA165C" w:rsidRDefault="00000000">
            <w:r>
              <w:rPr>
                <w:sz w:val="20"/>
              </w:rPr>
              <w:t>5</w:t>
            </w:r>
          </w:p>
        </w:tc>
        <w:tc>
          <w:tcPr>
            <w:tcW w:w="2946" w:type="dxa"/>
            <w:shd w:val="clear" w:color="auto" w:fill="DCE6F1"/>
          </w:tcPr>
          <w:p w14:paraId="0FD936D2" w14:textId="77777777" w:rsidR="00CA165C" w:rsidRDefault="00000000">
            <w:r>
              <w:rPr>
                <w:sz w:val="20"/>
              </w:rPr>
              <w:t>BP, ExxonMobil, Equinor, QatarEnergy, Sinopec</w:t>
            </w:r>
          </w:p>
        </w:tc>
      </w:tr>
      <w:tr w:rsidR="00CA165C" w14:paraId="150C49AA" w14:textId="77777777">
        <w:tc>
          <w:tcPr>
            <w:tcW w:w="2946" w:type="dxa"/>
          </w:tcPr>
          <w:p w14:paraId="2209A9FB" w14:textId="77777777" w:rsidR="00CA165C" w:rsidRDefault="00000000">
            <w:r>
              <w:rPr>
                <w:sz w:val="20"/>
              </w:rPr>
              <w:t>Suppliers</w:t>
            </w:r>
          </w:p>
        </w:tc>
        <w:tc>
          <w:tcPr>
            <w:tcW w:w="2946" w:type="dxa"/>
          </w:tcPr>
          <w:p w14:paraId="67CAB9B4" w14:textId="77777777" w:rsidR="00CA165C" w:rsidRDefault="00000000">
            <w:r>
              <w:rPr>
                <w:sz w:val="20"/>
              </w:rPr>
              <w:t>3</w:t>
            </w:r>
          </w:p>
        </w:tc>
        <w:tc>
          <w:tcPr>
            <w:tcW w:w="2946" w:type="dxa"/>
          </w:tcPr>
          <w:p w14:paraId="67431F15" w14:textId="77777777" w:rsidR="00CA165C" w:rsidRDefault="00000000">
            <w:r>
              <w:rPr>
                <w:sz w:val="20"/>
              </w:rPr>
              <w:t>SLB, Baker Hughes, Saipem</w:t>
            </w:r>
          </w:p>
        </w:tc>
      </w:tr>
      <w:tr w:rsidR="00CA165C" w14:paraId="05659E18" w14:textId="77777777">
        <w:tc>
          <w:tcPr>
            <w:tcW w:w="2946" w:type="dxa"/>
            <w:shd w:val="clear" w:color="auto" w:fill="DCE6F1"/>
          </w:tcPr>
          <w:p w14:paraId="1372BADA" w14:textId="77777777" w:rsidR="00CA165C" w:rsidRDefault="00000000">
            <w:r>
              <w:rPr>
                <w:sz w:val="20"/>
              </w:rPr>
              <w:t>Unions</w:t>
            </w:r>
          </w:p>
        </w:tc>
        <w:tc>
          <w:tcPr>
            <w:tcW w:w="2946" w:type="dxa"/>
            <w:shd w:val="clear" w:color="auto" w:fill="DCE6F1"/>
          </w:tcPr>
          <w:p w14:paraId="33770A99" w14:textId="77777777" w:rsidR="00CA165C" w:rsidRDefault="00000000">
            <w:r>
              <w:rPr>
                <w:sz w:val="20"/>
              </w:rPr>
              <w:t>2</w:t>
            </w:r>
          </w:p>
        </w:tc>
        <w:tc>
          <w:tcPr>
            <w:tcW w:w="2946" w:type="dxa"/>
            <w:shd w:val="clear" w:color="auto" w:fill="DCE6F1"/>
          </w:tcPr>
          <w:p w14:paraId="78DE5B68" w14:textId="77777777" w:rsidR="00CA165C" w:rsidRDefault="00000000">
            <w:r>
              <w:rPr>
                <w:sz w:val="20"/>
              </w:rPr>
              <w:t>Unite, Nautilus International</w:t>
            </w:r>
          </w:p>
        </w:tc>
      </w:tr>
      <w:tr w:rsidR="00CA165C" w14:paraId="4CB04EB0" w14:textId="77777777">
        <w:tc>
          <w:tcPr>
            <w:tcW w:w="2946" w:type="dxa"/>
          </w:tcPr>
          <w:p w14:paraId="266EB532" w14:textId="77777777" w:rsidR="00CA165C" w:rsidRDefault="00000000">
            <w:r>
              <w:rPr>
                <w:sz w:val="20"/>
              </w:rPr>
              <w:t>Customers</w:t>
            </w:r>
          </w:p>
        </w:tc>
        <w:tc>
          <w:tcPr>
            <w:tcW w:w="2946" w:type="dxa"/>
          </w:tcPr>
          <w:p w14:paraId="0029F4AB" w14:textId="77777777" w:rsidR="00CA165C" w:rsidRDefault="00000000">
            <w:r>
              <w:rPr>
                <w:sz w:val="20"/>
              </w:rPr>
              <w:t>3</w:t>
            </w:r>
          </w:p>
        </w:tc>
        <w:tc>
          <w:tcPr>
            <w:tcW w:w="2946" w:type="dxa"/>
          </w:tcPr>
          <w:p w14:paraId="649BEBC2" w14:textId="77777777" w:rsidR="00CA165C" w:rsidRDefault="00000000">
            <w:r>
              <w:rPr>
                <w:sz w:val="20"/>
              </w:rPr>
              <w:t>Aviation sector, Maritime shipping, EV/retail</w:t>
            </w:r>
          </w:p>
        </w:tc>
      </w:tr>
      <w:tr w:rsidR="00CA165C" w14:paraId="78B1655C" w14:textId="77777777">
        <w:tc>
          <w:tcPr>
            <w:tcW w:w="2946" w:type="dxa"/>
            <w:shd w:val="clear" w:color="auto" w:fill="DCE6F1"/>
          </w:tcPr>
          <w:p w14:paraId="22C79CAB" w14:textId="77777777" w:rsidR="00CA165C" w:rsidRDefault="00000000">
            <w:r>
              <w:rPr>
                <w:sz w:val="20"/>
              </w:rPr>
              <w:t>Individuals</w:t>
            </w:r>
          </w:p>
        </w:tc>
        <w:tc>
          <w:tcPr>
            <w:tcW w:w="2946" w:type="dxa"/>
            <w:shd w:val="clear" w:color="auto" w:fill="DCE6F1"/>
          </w:tcPr>
          <w:p w14:paraId="5ED200B8" w14:textId="77777777" w:rsidR="00CA165C" w:rsidRDefault="00000000">
            <w:r>
              <w:rPr>
                <w:sz w:val="20"/>
              </w:rPr>
              <w:t>2</w:t>
            </w:r>
          </w:p>
        </w:tc>
        <w:tc>
          <w:tcPr>
            <w:tcW w:w="2946" w:type="dxa"/>
            <w:shd w:val="clear" w:color="auto" w:fill="DCE6F1"/>
          </w:tcPr>
          <w:p w14:paraId="39728051" w14:textId="77777777" w:rsidR="00CA165C" w:rsidRDefault="00000000">
            <w:r>
              <w:rPr>
                <w:sz w:val="20"/>
              </w:rPr>
              <w:t>Wael Sawan (CEO), Follow This (Mark van Baal)</w:t>
            </w:r>
          </w:p>
        </w:tc>
      </w:tr>
      <w:tr w:rsidR="00CA165C" w14:paraId="68FBFA65" w14:textId="77777777">
        <w:tc>
          <w:tcPr>
            <w:tcW w:w="2946" w:type="dxa"/>
          </w:tcPr>
          <w:p w14:paraId="488A74A1" w14:textId="77777777" w:rsidR="00CA165C" w:rsidRDefault="00000000">
            <w:r>
              <w:rPr>
                <w:sz w:val="20"/>
              </w:rPr>
              <w:t>Total</w:t>
            </w:r>
          </w:p>
        </w:tc>
        <w:tc>
          <w:tcPr>
            <w:tcW w:w="2946" w:type="dxa"/>
          </w:tcPr>
          <w:p w14:paraId="02A92839" w14:textId="77777777" w:rsidR="00CA165C" w:rsidRDefault="00000000">
            <w:r>
              <w:rPr>
                <w:sz w:val="20"/>
              </w:rPr>
              <w:t>35</w:t>
            </w:r>
          </w:p>
        </w:tc>
        <w:tc>
          <w:tcPr>
            <w:tcW w:w="2946" w:type="dxa"/>
          </w:tcPr>
          <w:p w14:paraId="2E78BD1E" w14:textId="77777777" w:rsidR="00CA165C" w:rsidRDefault="00000000">
            <w:r>
              <w:rPr>
                <w:sz w:val="20"/>
              </w:rPr>
              <w:t>—</w:t>
            </w:r>
          </w:p>
        </w:tc>
      </w:tr>
    </w:tbl>
    <w:p w14:paraId="25C1E503" w14:textId="77777777" w:rsidR="00CA165C" w:rsidRDefault="00CA165C"/>
    <w:p w14:paraId="0A7634DC" w14:textId="281D5E2C" w:rsidR="00CA165C" w:rsidRDefault="00000000" w:rsidP="00985D44">
      <w:pPr>
        <w:spacing w:before="360" w:after="120"/>
      </w:pPr>
      <w:r>
        <w:rPr>
          <w:rFonts w:ascii="Calibri" w:hAnsi="Calibri"/>
          <w:b/>
          <w:color w:val="1F4E79"/>
          <w:sz w:val="36"/>
        </w:rPr>
        <w:t xml:space="preserve"> Technical Architecture</w:t>
      </w:r>
    </w:p>
    <w:p w14:paraId="73D68115" w14:textId="4EED7676" w:rsidR="00CA165C" w:rsidRDefault="00000000">
      <w:pPr>
        <w:spacing w:before="240" w:after="120"/>
      </w:pPr>
      <w:r>
        <w:rPr>
          <w:rFonts w:ascii="Calibri" w:hAnsi="Calibri"/>
          <w:b/>
          <w:color w:val="156082"/>
          <w:sz w:val="28"/>
        </w:rPr>
        <w:t xml:space="preserve"> Stack</w:t>
      </w:r>
    </w:p>
    <w:p w14:paraId="0723066E" w14:textId="77777777" w:rsidR="00CA165C" w:rsidRDefault="00000000">
      <w:pPr>
        <w:pStyle w:val="ListBullet"/>
        <w:spacing w:after="60"/>
        <w:ind w:left="283"/>
      </w:pPr>
      <w:r>
        <w:rPr>
          <w:rFonts w:ascii="Calibri" w:hAnsi="Calibri"/>
          <w:b/>
        </w:rPr>
        <w:t>Vite + React + TypeScript</w:t>
      </w:r>
      <w:r>
        <w:rPr>
          <w:rFonts w:ascii="Calibri" w:hAnsi="Calibri"/>
        </w:rPr>
        <w:t xml:space="preserve"> — fast dev setup, fully typed</w:t>
      </w:r>
    </w:p>
    <w:p w14:paraId="65BA70EB" w14:textId="77777777" w:rsidR="00CA165C" w:rsidRDefault="00000000">
      <w:pPr>
        <w:pStyle w:val="ListBullet"/>
        <w:spacing w:after="60"/>
        <w:ind w:left="283"/>
      </w:pPr>
      <w:r>
        <w:rPr>
          <w:rFonts w:ascii="Calibri" w:hAnsi="Calibri"/>
          <w:b/>
        </w:rPr>
        <w:t>D3.js</w:t>
      </w:r>
      <w:r>
        <w:rPr>
          <w:rFonts w:ascii="Calibri" w:hAnsi="Calibri"/>
        </w:rPr>
        <w:t xml:space="preserve"> — force simulation, SVG rendering, zoom/pan, drag</w:t>
      </w:r>
    </w:p>
    <w:p w14:paraId="3C8AC1BC" w14:textId="77777777" w:rsidR="00CA165C" w:rsidRDefault="00000000">
      <w:pPr>
        <w:pStyle w:val="ListBullet"/>
        <w:spacing w:after="60"/>
        <w:ind w:left="283"/>
      </w:pPr>
      <w:r>
        <w:rPr>
          <w:rFonts w:ascii="Calibri" w:hAnsi="Calibri"/>
          <w:b/>
        </w:rPr>
        <w:t>CSS Modules</w:t>
      </w:r>
      <w:r>
        <w:rPr>
          <w:rFonts w:ascii="Calibri" w:hAnsi="Calibri"/>
        </w:rPr>
        <w:t xml:space="preserve"> — scoped styles per component</w:t>
      </w:r>
    </w:p>
    <w:p w14:paraId="32372563" w14:textId="77777777" w:rsidR="00CA165C" w:rsidRDefault="00000000">
      <w:pPr>
        <w:pStyle w:val="ListBullet"/>
        <w:spacing w:after="60"/>
        <w:ind w:left="283"/>
      </w:pPr>
      <w:r>
        <w:rPr>
          <w:rFonts w:ascii="Calibri" w:hAnsi="Calibri"/>
          <w:b/>
        </w:rPr>
        <w:t>Vercel</w:t>
      </w:r>
      <w:r>
        <w:rPr>
          <w:rFonts w:ascii="Calibri" w:hAnsi="Calibri"/>
        </w:rPr>
        <w:t xml:space="preserve"> — deployment</w:t>
      </w:r>
    </w:p>
    <w:p w14:paraId="08A20383" w14:textId="77777777" w:rsidR="00CA165C" w:rsidRDefault="00CA165C"/>
    <w:p w14:paraId="4A6D6313" w14:textId="258A889C" w:rsidR="00CA165C" w:rsidRDefault="00000000">
      <w:pPr>
        <w:spacing w:before="240" w:after="120"/>
      </w:pPr>
      <w:r>
        <w:rPr>
          <w:rFonts w:ascii="Calibri" w:hAnsi="Calibri"/>
          <w:b/>
          <w:color w:val="156082"/>
          <w:sz w:val="28"/>
        </w:rPr>
        <w:t xml:space="preserve">  Component Structure</w:t>
      </w:r>
    </w:p>
    <w:p w14:paraId="617EA95D" w14:textId="77777777" w:rsidR="00CA165C" w:rsidRDefault="00000000">
      <w:pPr>
        <w:spacing w:before="20" w:after="20"/>
        <w:ind w:left="567"/>
      </w:pPr>
      <w:r>
        <w:rPr>
          <w:rFonts w:ascii="Courier New" w:hAnsi="Courier New"/>
          <w:color w:val="1E64A0"/>
          <w:sz w:val="18"/>
        </w:rPr>
        <w:t>src/</w:t>
      </w:r>
    </w:p>
    <w:p w14:paraId="53345057" w14:textId="77777777" w:rsidR="00CA165C" w:rsidRDefault="00000000">
      <w:pPr>
        <w:spacing w:before="20" w:after="20"/>
        <w:ind w:left="567"/>
      </w:pPr>
      <w:r>
        <w:rPr>
          <w:rFonts w:ascii="Courier New" w:hAnsi="Courier New"/>
          <w:color w:val="1E64A0"/>
          <w:sz w:val="18"/>
        </w:rPr>
        <w:t>├── data/</w:t>
      </w:r>
    </w:p>
    <w:p w14:paraId="18FB079A" w14:textId="77777777" w:rsidR="00CA165C" w:rsidRDefault="00000000">
      <w:pPr>
        <w:spacing w:before="20" w:after="20"/>
        <w:ind w:left="567"/>
      </w:pPr>
      <w:r>
        <w:rPr>
          <w:rFonts w:ascii="Courier New" w:hAnsi="Courier New"/>
          <w:color w:val="1E64A0"/>
          <w:sz w:val="18"/>
        </w:rPr>
        <w:t>│   └── stakeholders.json       # 35 nodes + 34 edges</w:t>
      </w:r>
    </w:p>
    <w:p w14:paraId="715F6B4B" w14:textId="77777777" w:rsidR="00CA165C" w:rsidRDefault="00000000">
      <w:pPr>
        <w:spacing w:before="20" w:after="20"/>
        <w:ind w:left="567"/>
      </w:pPr>
      <w:r>
        <w:rPr>
          <w:rFonts w:ascii="Courier New" w:hAnsi="Courier New"/>
          <w:color w:val="1E64A0"/>
          <w:sz w:val="18"/>
        </w:rPr>
        <w:t>├── components/</w:t>
      </w:r>
    </w:p>
    <w:p w14:paraId="74A41FF8" w14:textId="77777777" w:rsidR="00CA165C" w:rsidRDefault="00000000">
      <w:pPr>
        <w:spacing w:before="20" w:after="20"/>
        <w:ind w:left="567"/>
      </w:pPr>
      <w:r>
        <w:rPr>
          <w:rFonts w:ascii="Courier New" w:hAnsi="Courier New"/>
          <w:color w:val="1E64A0"/>
          <w:sz w:val="18"/>
        </w:rPr>
        <w:t>│   ├── ForceGraph.tsx           # D3 simulation + SVG rendering</w:t>
      </w:r>
    </w:p>
    <w:p w14:paraId="576B5385" w14:textId="77777777" w:rsidR="00CA165C" w:rsidRDefault="00000000">
      <w:pPr>
        <w:spacing w:before="20" w:after="20"/>
        <w:ind w:left="567"/>
      </w:pPr>
      <w:r>
        <w:rPr>
          <w:rFonts w:ascii="Courier New" w:hAnsi="Courier New"/>
          <w:color w:val="1E64A0"/>
          <w:sz w:val="18"/>
        </w:rPr>
        <w:t>│   ├── Sidebar.tsx              # node detail panel</w:t>
      </w:r>
    </w:p>
    <w:p w14:paraId="4B6FFAD8" w14:textId="77777777" w:rsidR="00CA165C" w:rsidRDefault="00000000">
      <w:pPr>
        <w:spacing w:before="20" w:after="20"/>
        <w:ind w:left="567"/>
      </w:pPr>
      <w:r>
        <w:rPr>
          <w:rFonts w:ascii="Courier New" w:hAnsi="Courier New"/>
          <w:color w:val="1E64A0"/>
          <w:sz w:val="18"/>
        </w:rPr>
        <w:t>│   └── Toolbar.tsx             # search + filter + legend</w:t>
      </w:r>
    </w:p>
    <w:p w14:paraId="21F70F08" w14:textId="77777777" w:rsidR="00CA165C" w:rsidRDefault="00000000">
      <w:pPr>
        <w:spacing w:before="20" w:after="20"/>
        <w:ind w:left="567"/>
      </w:pPr>
      <w:r>
        <w:rPr>
          <w:rFonts w:ascii="Courier New" w:hAnsi="Courier New"/>
          <w:color w:val="1E64A0"/>
          <w:sz w:val="18"/>
        </w:rPr>
        <w:t>├── App.tsx                      # state management + layout</w:t>
      </w:r>
    </w:p>
    <w:p w14:paraId="1E08623A" w14:textId="77777777" w:rsidR="00CA165C" w:rsidRDefault="00000000">
      <w:pPr>
        <w:spacing w:before="20" w:after="20"/>
        <w:ind w:left="567"/>
      </w:pPr>
      <w:r>
        <w:rPr>
          <w:rFonts w:ascii="Courier New" w:hAnsi="Courier New"/>
          <w:color w:val="1E64A0"/>
          <w:sz w:val="18"/>
        </w:rPr>
        <w:t>├── types.ts                     # all interfaces</w:t>
      </w:r>
    </w:p>
    <w:p w14:paraId="42AD0703" w14:textId="77777777" w:rsidR="00CA165C" w:rsidRDefault="00000000">
      <w:pPr>
        <w:spacing w:before="20" w:after="20"/>
        <w:ind w:left="567"/>
      </w:pPr>
      <w:r>
        <w:rPr>
          <w:rFonts w:ascii="Courier New" w:hAnsi="Courier New"/>
          <w:color w:val="1E64A0"/>
          <w:sz w:val="18"/>
        </w:rPr>
        <w:t>└── index.css                    # global reset + Inter font</w:t>
      </w:r>
    </w:p>
    <w:p w14:paraId="02F2E3EC" w14:textId="77777777" w:rsidR="00CA165C" w:rsidRDefault="00CA165C"/>
    <w:p w14:paraId="3B1E8271" w14:textId="62C0F8B8" w:rsidR="00CA165C" w:rsidRDefault="00000000">
      <w:pPr>
        <w:spacing w:before="240" w:after="120"/>
      </w:pPr>
      <w:r>
        <w:rPr>
          <w:rFonts w:ascii="Calibri" w:hAnsi="Calibri"/>
          <w:b/>
          <w:color w:val="156082"/>
          <w:sz w:val="28"/>
        </w:rPr>
        <w:t xml:space="preserve">  The D3 + React Architecture Decision</w:t>
      </w:r>
    </w:p>
    <w:p w14:paraId="1C7EFB41" w14:textId="77777777" w:rsidR="00CA165C" w:rsidRDefault="00000000">
      <w:pPr>
        <w:spacing w:after="120"/>
      </w:pPr>
      <w:r>
        <w:rPr>
          <w:rFonts w:ascii="Calibri" w:hAnsi="Calibri"/>
        </w:rPr>
        <w:t>D3 and React both want to own the DOM. This is the central technical conflict in any D3 + React project. There are a few ways to resolve it:</w:t>
      </w:r>
    </w:p>
    <w:p w14:paraId="4E799AB2" w14:textId="2AEA34D9" w:rsidR="00CA165C" w:rsidRDefault="00000000">
      <w:pPr>
        <w:pStyle w:val="ListBullet"/>
        <w:spacing w:after="60"/>
        <w:ind w:left="283"/>
      </w:pPr>
      <w:r>
        <w:rPr>
          <w:rFonts w:ascii="Calibri" w:hAnsi="Calibri"/>
        </w:rPr>
        <w:t xml:space="preserve">Let React own everything, use D3 only for math </w:t>
      </w:r>
      <w:r w:rsidR="00985D44">
        <w:rPr>
          <w:rFonts w:ascii="Calibri" w:hAnsi="Calibri"/>
        </w:rPr>
        <w:t>-</w:t>
      </w:r>
      <w:r>
        <w:rPr>
          <w:rFonts w:ascii="Calibri" w:hAnsi="Calibri"/>
        </w:rPr>
        <w:t xml:space="preserve"> cleaner React code but you lose D3's native transitions</w:t>
      </w:r>
    </w:p>
    <w:p w14:paraId="2A306D57" w14:textId="18590626" w:rsidR="00CA165C" w:rsidRDefault="00000000">
      <w:pPr>
        <w:pStyle w:val="ListBullet"/>
        <w:spacing w:after="60"/>
        <w:ind w:left="283"/>
      </w:pPr>
      <w:r>
        <w:rPr>
          <w:rFonts w:ascii="Calibri" w:hAnsi="Calibri"/>
        </w:rPr>
        <w:t xml:space="preserve">Let D3 own everything inside the </w:t>
      </w:r>
      <w:proofErr w:type="gramStart"/>
      <w:r>
        <w:rPr>
          <w:rFonts w:ascii="Calibri" w:hAnsi="Calibri"/>
        </w:rPr>
        <w:t xml:space="preserve">SVG </w:t>
      </w:r>
      <w:r w:rsidR="00985D44">
        <w:rPr>
          <w:rFonts w:ascii="Calibri" w:hAnsi="Calibri"/>
        </w:rPr>
        <w:t>,</w:t>
      </w:r>
      <w:proofErr w:type="gramEnd"/>
      <w:r>
        <w:rPr>
          <w:rFonts w:ascii="Calibri" w:hAnsi="Calibri"/>
        </w:rPr>
        <w:t xml:space="preserve"> more idiomatic D3 but you lose React's component model</w:t>
      </w:r>
    </w:p>
    <w:p w14:paraId="1EDF71CF" w14:textId="0565BECA" w:rsidR="00CA165C" w:rsidRDefault="00000000">
      <w:pPr>
        <w:pStyle w:val="ListBullet"/>
        <w:spacing w:after="60"/>
        <w:ind w:left="283"/>
      </w:pPr>
      <w:r>
        <w:rPr>
          <w:rFonts w:ascii="Calibri" w:hAnsi="Calibri"/>
        </w:rPr>
        <w:lastRenderedPageBreak/>
        <w:t xml:space="preserve">Hybrid: React mounts the container, D3 owns the SVG internals </w:t>
      </w:r>
      <w:r w:rsidR="00985D44">
        <w:rPr>
          <w:rFonts w:ascii="Calibri" w:hAnsi="Calibri"/>
        </w:rPr>
        <w:t>is</w:t>
      </w:r>
      <w:r>
        <w:rPr>
          <w:rFonts w:ascii="Calibri" w:hAnsi="Calibri"/>
        </w:rPr>
        <w:t xml:space="preserve"> the approach I used</w:t>
      </w:r>
    </w:p>
    <w:p w14:paraId="7D1DC572" w14:textId="77777777" w:rsidR="00CA165C" w:rsidRDefault="00CA165C"/>
    <w:p w14:paraId="7A2CAFE7" w14:textId="77777777" w:rsidR="00CA165C" w:rsidRDefault="00000000">
      <w:pPr>
        <w:spacing w:after="120"/>
      </w:pPr>
      <w:r>
        <w:rPr>
          <w:rFonts w:ascii="Calibri" w:hAnsi="Calibri"/>
        </w:rPr>
        <w:t>React renders the container div and the svg element. D3 gets exclusive ownership of everything inside the SVG via useEffect. This means D3 can run its simulation, mutate node positions, and handle drag events without fighting React's reconciliation.</w:t>
      </w:r>
    </w:p>
    <w:p w14:paraId="1F653D1C" w14:textId="77777777" w:rsidR="00CA165C" w:rsidRDefault="00000000">
      <w:pPr>
        <w:spacing w:after="120"/>
      </w:pPr>
      <w:r>
        <w:rPr>
          <w:rFonts w:ascii="Calibri" w:hAnsi="Calibri"/>
        </w:rPr>
        <w:t xml:space="preserve">The key insight: visual updates (dimming unselected nodes, highlighting connected edges on click) also need to happen via D3 attribute manipulation, not React re-renders. These live in a </w:t>
      </w:r>
      <w:r>
        <w:rPr>
          <w:rFonts w:ascii="Calibri" w:hAnsi="Calibri"/>
          <w:b/>
        </w:rPr>
        <w:t>separate useEffect</w:t>
      </w:r>
      <w:r>
        <w:rPr>
          <w:rFonts w:ascii="Calibri" w:hAnsi="Calibri"/>
        </w:rPr>
        <w:t xml:space="preserve"> that watches selectedNode, filterType, and searchQuery. This was the fix that made clicking feel instant — the simulation does not restart, only the visual attributes change.</w:t>
      </w:r>
    </w:p>
    <w:p w14:paraId="09E62F52" w14:textId="77777777" w:rsidR="00CA165C" w:rsidRDefault="00000000">
      <w:pPr>
        <w:spacing w:before="20" w:after="20"/>
        <w:ind w:left="567"/>
      </w:pPr>
      <w:r>
        <w:rPr>
          <w:rFonts w:ascii="Courier New" w:hAnsi="Courier New"/>
          <w:color w:val="1E64A0"/>
          <w:sz w:val="18"/>
        </w:rPr>
        <w:t>// Effect 1: Run simulation, build SVG (only fires on data change)</w:t>
      </w:r>
    </w:p>
    <w:p w14:paraId="5EB20F97" w14:textId="77777777" w:rsidR="00CA165C" w:rsidRDefault="00000000">
      <w:pPr>
        <w:spacing w:before="20" w:after="20"/>
        <w:ind w:left="567"/>
      </w:pPr>
      <w:r>
        <w:rPr>
          <w:rFonts w:ascii="Courier New" w:hAnsi="Courier New"/>
          <w:color w:val="1E64A0"/>
          <w:sz w:val="18"/>
        </w:rPr>
        <w:t>useEffect(() =&gt; {</w:t>
      </w:r>
    </w:p>
    <w:p w14:paraId="700CF389" w14:textId="77777777" w:rsidR="00CA165C" w:rsidRDefault="00000000">
      <w:pPr>
        <w:spacing w:before="20" w:after="20"/>
        <w:ind w:left="567"/>
      </w:pPr>
      <w:r>
        <w:rPr>
          <w:rFonts w:ascii="Courier New" w:hAnsi="Courier New"/>
          <w:color w:val="1E64A0"/>
          <w:sz w:val="18"/>
        </w:rPr>
        <w:t xml:space="preserve">  // D3 simulation setup, node/link rendering</w:t>
      </w:r>
    </w:p>
    <w:p w14:paraId="3BE7CD40" w14:textId="77777777" w:rsidR="00CA165C" w:rsidRDefault="00000000">
      <w:pPr>
        <w:spacing w:before="20" w:after="20"/>
        <w:ind w:left="567"/>
      </w:pPr>
      <w:r>
        <w:rPr>
          <w:rFonts w:ascii="Courier New" w:hAnsi="Courier New"/>
          <w:color w:val="1E64A0"/>
          <w:sz w:val="18"/>
        </w:rPr>
        <w:t>}, [data]);</w:t>
      </w:r>
    </w:p>
    <w:p w14:paraId="46B9DB1A" w14:textId="77777777" w:rsidR="00CA165C" w:rsidRDefault="00CA165C">
      <w:pPr>
        <w:spacing w:before="20" w:after="20"/>
        <w:ind w:left="567"/>
      </w:pPr>
    </w:p>
    <w:p w14:paraId="63175FE4" w14:textId="77777777" w:rsidR="00CA165C" w:rsidRDefault="00000000">
      <w:pPr>
        <w:spacing w:before="20" w:after="20"/>
        <w:ind w:left="567"/>
      </w:pPr>
      <w:r>
        <w:rPr>
          <w:rFonts w:ascii="Courier New" w:hAnsi="Courier New"/>
          <w:color w:val="1E64A0"/>
          <w:sz w:val="18"/>
        </w:rPr>
        <w:t>// Effect 2: Update visuals only (no simulation restart)</w:t>
      </w:r>
    </w:p>
    <w:p w14:paraId="12C699CE" w14:textId="77777777" w:rsidR="00CA165C" w:rsidRDefault="00000000">
      <w:pPr>
        <w:spacing w:before="20" w:after="20"/>
        <w:ind w:left="567"/>
      </w:pPr>
      <w:r>
        <w:rPr>
          <w:rFonts w:ascii="Courier New" w:hAnsi="Courier New"/>
          <w:color w:val="1E64A0"/>
          <w:sz w:val="18"/>
        </w:rPr>
        <w:t>useEffect(() =&gt; {</w:t>
      </w:r>
    </w:p>
    <w:p w14:paraId="68071D7E" w14:textId="77777777" w:rsidR="00CA165C" w:rsidRDefault="00000000">
      <w:pPr>
        <w:spacing w:before="20" w:after="20"/>
        <w:ind w:left="567"/>
      </w:pPr>
      <w:r>
        <w:rPr>
          <w:rFonts w:ascii="Courier New" w:hAnsi="Courier New"/>
          <w:color w:val="1E64A0"/>
          <w:sz w:val="18"/>
        </w:rPr>
        <w:t xml:space="preserve">  // dim/highlight nodes and edges based on selection/filter/search</w:t>
      </w:r>
    </w:p>
    <w:p w14:paraId="74036AAC" w14:textId="77777777" w:rsidR="00CA165C" w:rsidRDefault="00000000">
      <w:pPr>
        <w:spacing w:before="20" w:after="20"/>
        <w:ind w:left="567"/>
      </w:pPr>
      <w:r>
        <w:rPr>
          <w:rFonts w:ascii="Courier New" w:hAnsi="Courier New"/>
          <w:color w:val="1E64A0"/>
          <w:sz w:val="18"/>
        </w:rPr>
        <w:t>}, [selectedNode, filterType, searchQuery]);</w:t>
      </w:r>
    </w:p>
    <w:p w14:paraId="42204B02" w14:textId="77777777" w:rsidR="00CA165C" w:rsidRDefault="00CA165C"/>
    <w:p w14:paraId="6BEA75BF" w14:textId="4B8B2F80" w:rsidR="00CA165C" w:rsidRDefault="00000000">
      <w:pPr>
        <w:spacing w:before="240" w:after="120"/>
      </w:pPr>
      <w:r>
        <w:rPr>
          <w:rFonts w:ascii="Calibri" w:hAnsi="Calibri"/>
          <w:b/>
          <w:color w:val="156082"/>
          <w:sz w:val="28"/>
        </w:rPr>
        <w:t xml:space="preserve"> Force Simulation Parameters</w:t>
      </w:r>
    </w:p>
    <w:p w14:paraId="1CB4216A" w14:textId="77777777" w:rsidR="00CA165C" w:rsidRDefault="00000000">
      <w:pPr>
        <w:spacing w:after="120"/>
      </w:pPr>
      <w:r>
        <w:rPr>
          <w:rFonts w:ascii="Calibri" w:hAnsi="Calibri"/>
        </w:rPr>
        <w:t>The D3 force parameters took some tuning to reach a legible layout at 35 nodes:</w:t>
      </w:r>
    </w:p>
    <w:p w14:paraId="4572B141" w14:textId="77777777" w:rsidR="00CA165C" w:rsidRDefault="00000000">
      <w:pPr>
        <w:spacing w:before="20" w:after="20"/>
        <w:ind w:left="567"/>
      </w:pPr>
      <w:r>
        <w:rPr>
          <w:rFonts w:ascii="Courier New" w:hAnsi="Courier New"/>
          <w:color w:val="1E64A0"/>
          <w:sz w:val="18"/>
        </w:rPr>
        <w:t>d3.forceSimulation(nodes)</w:t>
      </w:r>
    </w:p>
    <w:p w14:paraId="5C06EAF8" w14:textId="77777777" w:rsidR="00CA165C" w:rsidRDefault="00000000">
      <w:pPr>
        <w:spacing w:before="20" w:after="20"/>
        <w:ind w:left="567"/>
      </w:pPr>
      <w:r>
        <w:rPr>
          <w:rFonts w:ascii="Courier New" w:hAnsi="Courier New"/>
          <w:color w:val="1E64A0"/>
          <w:sz w:val="18"/>
        </w:rPr>
        <w:t xml:space="preserve">  .force('link', forceLink(links)</w:t>
      </w:r>
    </w:p>
    <w:p w14:paraId="10711C90" w14:textId="77777777" w:rsidR="00CA165C" w:rsidRDefault="00000000">
      <w:pPr>
        <w:spacing w:before="20" w:after="20"/>
        <w:ind w:left="567"/>
      </w:pPr>
      <w:r>
        <w:rPr>
          <w:rFonts w:ascii="Courier New" w:hAnsi="Courier New"/>
          <w:color w:val="1E64A0"/>
          <w:sz w:val="18"/>
        </w:rPr>
        <w:t xml:space="preserve">    .distance(d =&gt; 130 - d.strength * 4))   // stronger = closer to Shell</w:t>
      </w:r>
    </w:p>
    <w:p w14:paraId="5E618C70" w14:textId="77777777" w:rsidR="00CA165C" w:rsidRDefault="00000000">
      <w:pPr>
        <w:spacing w:before="20" w:after="20"/>
        <w:ind w:left="567"/>
      </w:pPr>
      <w:r>
        <w:rPr>
          <w:rFonts w:ascii="Courier New" w:hAnsi="Courier New"/>
          <w:color w:val="1E64A0"/>
          <w:sz w:val="18"/>
        </w:rPr>
        <w:t xml:space="preserve">  .force('charge', forceManyBody().strength(-420))</w:t>
      </w:r>
    </w:p>
    <w:p w14:paraId="5F559381" w14:textId="77777777" w:rsidR="00CA165C" w:rsidRDefault="00000000">
      <w:pPr>
        <w:spacing w:before="20" w:after="20"/>
        <w:ind w:left="567"/>
      </w:pPr>
      <w:r>
        <w:rPr>
          <w:rFonts w:ascii="Courier New" w:hAnsi="Courier New"/>
          <w:color w:val="1E64A0"/>
          <w:sz w:val="18"/>
        </w:rPr>
        <w:t xml:space="preserve">  .force('center', forceCenter(width/2, height/2))</w:t>
      </w:r>
    </w:p>
    <w:p w14:paraId="7108AE80" w14:textId="77777777" w:rsidR="00CA165C" w:rsidRPr="00985D44" w:rsidRDefault="00000000">
      <w:pPr>
        <w:spacing w:before="20" w:after="20"/>
        <w:ind w:left="567"/>
        <w:rPr>
          <w:lang w:val="fr-FR"/>
        </w:rPr>
      </w:pPr>
      <w:r>
        <w:rPr>
          <w:rFonts w:ascii="Courier New" w:hAnsi="Courier New"/>
          <w:color w:val="1E64A0"/>
          <w:sz w:val="18"/>
        </w:rPr>
        <w:t xml:space="preserve">  </w:t>
      </w:r>
      <w:proofErr w:type="gramStart"/>
      <w:r w:rsidRPr="00985D44">
        <w:rPr>
          <w:rFonts w:ascii="Courier New" w:hAnsi="Courier New"/>
          <w:color w:val="1E64A0"/>
          <w:sz w:val="18"/>
          <w:lang w:val="fr-FR"/>
        </w:rPr>
        <w:t>.force</w:t>
      </w:r>
      <w:proofErr w:type="gramEnd"/>
      <w:r w:rsidRPr="00985D44">
        <w:rPr>
          <w:rFonts w:ascii="Courier New" w:hAnsi="Courier New"/>
          <w:color w:val="1E64A0"/>
          <w:sz w:val="18"/>
          <w:lang w:val="fr-FR"/>
        </w:rPr>
        <w:t>('</w:t>
      </w:r>
      <w:proofErr w:type="spellStart"/>
      <w:r w:rsidRPr="00985D44">
        <w:rPr>
          <w:rFonts w:ascii="Courier New" w:hAnsi="Courier New"/>
          <w:color w:val="1E64A0"/>
          <w:sz w:val="18"/>
          <w:lang w:val="fr-FR"/>
        </w:rPr>
        <w:t>collide</w:t>
      </w:r>
      <w:proofErr w:type="spellEnd"/>
      <w:r w:rsidRPr="00985D44">
        <w:rPr>
          <w:rFonts w:ascii="Courier New" w:hAnsi="Courier New"/>
          <w:color w:val="1E64A0"/>
          <w:sz w:val="18"/>
          <w:lang w:val="fr-FR"/>
        </w:rPr>
        <w:t xml:space="preserve">', </w:t>
      </w:r>
      <w:proofErr w:type="spellStart"/>
      <w:proofErr w:type="gramStart"/>
      <w:r w:rsidRPr="00985D44">
        <w:rPr>
          <w:rFonts w:ascii="Courier New" w:hAnsi="Courier New"/>
          <w:color w:val="1E64A0"/>
          <w:sz w:val="18"/>
          <w:lang w:val="fr-FR"/>
        </w:rPr>
        <w:t>forceCollide</w:t>
      </w:r>
      <w:proofErr w:type="spellEnd"/>
      <w:r w:rsidRPr="00985D44">
        <w:rPr>
          <w:rFonts w:ascii="Courier New" w:hAnsi="Courier New"/>
          <w:color w:val="1E64A0"/>
          <w:sz w:val="18"/>
          <w:lang w:val="fr-FR"/>
        </w:rPr>
        <w:t>(</w:t>
      </w:r>
      <w:proofErr w:type="gramEnd"/>
      <w:r w:rsidRPr="00985D44">
        <w:rPr>
          <w:rFonts w:ascii="Courier New" w:hAnsi="Courier New"/>
          <w:color w:val="1E64A0"/>
          <w:sz w:val="18"/>
          <w:lang w:val="fr-FR"/>
        </w:rPr>
        <w:t>)</w:t>
      </w:r>
    </w:p>
    <w:p w14:paraId="751B6141" w14:textId="77777777" w:rsidR="00CA165C" w:rsidRPr="00985D44" w:rsidRDefault="00000000">
      <w:pPr>
        <w:spacing w:before="20" w:after="20"/>
        <w:ind w:left="567"/>
        <w:rPr>
          <w:lang w:val="fr-FR"/>
        </w:rPr>
      </w:pPr>
      <w:r w:rsidRPr="00985D44">
        <w:rPr>
          <w:rFonts w:ascii="Courier New" w:hAnsi="Courier New"/>
          <w:color w:val="1E64A0"/>
          <w:sz w:val="18"/>
          <w:lang w:val="fr-FR"/>
        </w:rPr>
        <w:t xml:space="preserve">    </w:t>
      </w:r>
      <w:proofErr w:type="gramStart"/>
      <w:r w:rsidRPr="00985D44">
        <w:rPr>
          <w:rFonts w:ascii="Courier New" w:hAnsi="Courier New"/>
          <w:color w:val="1E64A0"/>
          <w:sz w:val="18"/>
          <w:lang w:val="fr-FR"/>
        </w:rPr>
        <w:t>.radius</w:t>
      </w:r>
      <w:proofErr w:type="gramEnd"/>
      <w:r w:rsidRPr="00985D44">
        <w:rPr>
          <w:rFonts w:ascii="Courier New" w:hAnsi="Courier New"/>
          <w:color w:val="1E64A0"/>
          <w:sz w:val="18"/>
          <w:lang w:val="fr-FR"/>
        </w:rPr>
        <w:t>(d =&gt; INFLUENCE_RADIUS[</w:t>
      </w:r>
      <w:proofErr w:type="spellStart"/>
      <w:proofErr w:type="gramStart"/>
      <w:r w:rsidRPr="00985D44">
        <w:rPr>
          <w:rFonts w:ascii="Courier New" w:hAnsi="Courier New"/>
          <w:color w:val="1E64A0"/>
          <w:sz w:val="18"/>
          <w:lang w:val="fr-FR"/>
        </w:rPr>
        <w:t>d.influence</w:t>
      </w:r>
      <w:proofErr w:type="spellEnd"/>
      <w:proofErr w:type="gramEnd"/>
      <w:r w:rsidRPr="00985D44">
        <w:rPr>
          <w:rFonts w:ascii="Courier New" w:hAnsi="Courier New"/>
          <w:color w:val="1E64A0"/>
          <w:sz w:val="18"/>
          <w:lang w:val="fr-FR"/>
        </w:rPr>
        <w:t>] + 24))</w:t>
      </w:r>
    </w:p>
    <w:p w14:paraId="366EE516" w14:textId="77777777" w:rsidR="00CA165C" w:rsidRDefault="00000000">
      <w:pPr>
        <w:spacing w:before="20" w:after="20"/>
        <w:ind w:left="567"/>
      </w:pPr>
      <w:r w:rsidRPr="00985D44">
        <w:rPr>
          <w:rFonts w:ascii="Courier New" w:hAnsi="Courier New"/>
          <w:color w:val="1E64A0"/>
          <w:sz w:val="18"/>
          <w:lang w:val="fr-FR"/>
        </w:rPr>
        <w:t xml:space="preserve">  </w:t>
      </w:r>
      <w:proofErr w:type="gramStart"/>
      <w:r>
        <w:rPr>
          <w:rFonts w:ascii="Courier New" w:hAnsi="Courier New"/>
          <w:color w:val="1E64A0"/>
          <w:sz w:val="18"/>
        </w:rPr>
        <w:t>.force</w:t>
      </w:r>
      <w:proofErr w:type="gramEnd"/>
      <w:r>
        <w:rPr>
          <w:rFonts w:ascii="Courier New" w:hAnsi="Courier New"/>
          <w:color w:val="1E64A0"/>
          <w:sz w:val="18"/>
        </w:rPr>
        <w:t xml:space="preserve">('x', </w:t>
      </w:r>
      <w:proofErr w:type="spellStart"/>
      <w:r>
        <w:rPr>
          <w:rFonts w:ascii="Courier New" w:hAnsi="Courier New"/>
          <w:color w:val="1E64A0"/>
          <w:sz w:val="18"/>
        </w:rPr>
        <w:t>forceX</w:t>
      </w:r>
      <w:proofErr w:type="spellEnd"/>
      <w:r>
        <w:rPr>
          <w:rFonts w:ascii="Courier New" w:hAnsi="Courier New"/>
          <w:color w:val="1E64A0"/>
          <w:sz w:val="18"/>
        </w:rPr>
        <w:t>(width/2</w:t>
      </w:r>
      <w:proofErr w:type="gramStart"/>
      <w:r>
        <w:rPr>
          <w:rFonts w:ascii="Courier New" w:hAnsi="Courier New"/>
          <w:color w:val="1E64A0"/>
          <w:sz w:val="18"/>
        </w:rPr>
        <w:t>).strength</w:t>
      </w:r>
      <w:proofErr w:type="gramEnd"/>
      <w:r>
        <w:rPr>
          <w:rFonts w:ascii="Courier New" w:hAnsi="Courier New"/>
          <w:color w:val="1E64A0"/>
          <w:sz w:val="18"/>
        </w:rPr>
        <w:t>(0.04))</w:t>
      </w:r>
    </w:p>
    <w:p w14:paraId="57575B2D" w14:textId="77777777" w:rsidR="00CA165C" w:rsidRDefault="00000000">
      <w:pPr>
        <w:spacing w:before="20" w:after="20"/>
        <w:ind w:left="567"/>
      </w:pPr>
      <w:r>
        <w:rPr>
          <w:rFonts w:ascii="Courier New" w:hAnsi="Courier New"/>
          <w:color w:val="1E64A0"/>
          <w:sz w:val="18"/>
        </w:rPr>
        <w:t xml:space="preserve">  .force('y', forceY(height/2).strength(0.04))</w:t>
      </w:r>
    </w:p>
    <w:p w14:paraId="4D51B38D" w14:textId="77777777" w:rsidR="00CA165C" w:rsidRDefault="00CA165C"/>
    <w:p w14:paraId="5261F8C5" w14:textId="77777777" w:rsidR="00CA165C" w:rsidRDefault="00000000">
      <w:pPr>
        <w:pStyle w:val="ListBullet"/>
        <w:spacing w:after="60"/>
        <w:ind w:left="283"/>
      </w:pPr>
      <w:r>
        <w:rPr>
          <w:rFonts w:ascii="Calibri" w:hAnsi="Calibri"/>
          <w:b/>
        </w:rPr>
        <w:t>Charge -420:</w:t>
      </w:r>
      <w:r>
        <w:rPr>
          <w:rFonts w:ascii="Calibri" w:hAnsi="Calibri"/>
        </w:rPr>
        <w:t xml:space="preserve"> Strong enough to separate 35 nodes without them flying to the edges. Below -350, the NGO cluster collapses.</w:t>
      </w:r>
    </w:p>
    <w:p w14:paraId="13918186" w14:textId="77777777" w:rsidR="00CA165C" w:rsidRDefault="00000000">
      <w:pPr>
        <w:pStyle w:val="ListBullet"/>
        <w:spacing w:after="60"/>
        <w:ind w:left="283"/>
      </w:pPr>
      <w:r>
        <w:rPr>
          <w:rFonts w:ascii="Calibri" w:hAnsi="Calibri"/>
          <w:b/>
        </w:rPr>
        <w:t>Variable link distance:</w:t>
      </w:r>
      <w:r>
        <w:rPr>
          <w:rFonts w:ascii="Calibri" w:hAnsi="Calibri"/>
        </w:rPr>
        <w:t xml:space="preserve"> High-strength relationships (QatarEnergy, BlackRock) cluster closer to Shell geometrically, matching their importance.</w:t>
      </w:r>
    </w:p>
    <w:p w14:paraId="5022B0FE" w14:textId="77777777" w:rsidR="00CA165C" w:rsidRDefault="00000000">
      <w:pPr>
        <w:pStyle w:val="ListBullet"/>
        <w:spacing w:after="60"/>
        <w:ind w:left="283"/>
      </w:pPr>
      <w:r>
        <w:rPr>
          <w:rFonts w:ascii="Calibri" w:hAnsi="Calibri"/>
          <w:b/>
        </w:rPr>
        <w:t>Collision radius = influence radius + 24px:</w:t>
      </w:r>
      <w:r>
        <w:rPr>
          <w:rFonts w:ascii="Calibri" w:hAnsi="Calibri"/>
        </w:rPr>
        <w:t xml:space="preserve"> Prevents label overlap for large nodes.</w:t>
      </w:r>
    </w:p>
    <w:p w14:paraId="5DECECC5" w14:textId="77777777" w:rsidR="00CA165C" w:rsidRDefault="00CA165C"/>
    <w:p w14:paraId="00F3356C" w14:textId="09FBF95F" w:rsidR="00CA165C" w:rsidRDefault="00000000" w:rsidP="00985D44">
      <w:pPr>
        <w:spacing w:before="360" w:after="120"/>
      </w:pPr>
      <w:r>
        <w:rPr>
          <w:rFonts w:ascii="Calibri" w:hAnsi="Calibri"/>
          <w:b/>
          <w:color w:val="1F4E79"/>
          <w:sz w:val="36"/>
        </w:rPr>
        <w:t xml:space="preserve"> Legibility Strategy</w:t>
      </w:r>
    </w:p>
    <w:p w14:paraId="0D5528A9" w14:textId="77777777" w:rsidR="00CA165C" w:rsidRDefault="00000000">
      <w:pPr>
        <w:spacing w:after="120"/>
      </w:pPr>
      <w:r>
        <w:rPr>
          <w:rFonts w:ascii="Calibri" w:hAnsi="Calibri"/>
        </w:rPr>
        <w:lastRenderedPageBreak/>
        <w:t xml:space="preserve">35 nodes with hub-and-spoke edges </w:t>
      </w:r>
      <w:proofErr w:type="gramStart"/>
      <w:r>
        <w:rPr>
          <w:rFonts w:ascii="Calibri" w:hAnsi="Calibri"/>
        </w:rPr>
        <w:t>is</w:t>
      </w:r>
      <w:proofErr w:type="gramEnd"/>
      <w:r>
        <w:rPr>
          <w:rFonts w:ascii="Calibri" w:hAnsi="Calibri"/>
        </w:rPr>
        <w:t xml:space="preserve"> genuinely hard to read. The brief specifically called this out as a challenge. I handled it with layered strategies:</w:t>
      </w:r>
    </w:p>
    <w:p w14:paraId="17058642" w14:textId="77777777" w:rsidR="00CA165C" w:rsidRDefault="00000000">
      <w:pPr>
        <w:pStyle w:val="ListBullet"/>
        <w:spacing w:after="60"/>
        <w:ind w:left="283"/>
      </w:pPr>
      <w:r>
        <w:rPr>
          <w:rFonts w:ascii="Calibri" w:hAnsi="Calibri"/>
          <w:b/>
        </w:rPr>
        <w:t>Node size = influence.</w:t>
      </w:r>
      <w:r>
        <w:rPr>
          <w:rFonts w:ascii="Calibri" w:hAnsi="Calibri"/>
        </w:rPr>
        <w:t xml:space="preserve"> Your eye goes to what matters. Shell (critical) is visibly the centre. Nautilus International (low) is a small dot at the edge.</w:t>
      </w:r>
    </w:p>
    <w:p w14:paraId="49FC4D0F" w14:textId="74386CD2" w:rsidR="00CA165C" w:rsidRDefault="00000000">
      <w:pPr>
        <w:pStyle w:val="ListBullet"/>
        <w:spacing w:after="60"/>
        <w:ind w:left="283"/>
      </w:pPr>
      <w:r>
        <w:rPr>
          <w:rFonts w:ascii="Calibri" w:hAnsi="Calibri"/>
          <w:b/>
        </w:rPr>
        <w:t>Edge colour = relationship state.</w:t>
      </w:r>
      <w:r>
        <w:rPr>
          <w:rFonts w:ascii="Calibri" w:hAnsi="Calibri"/>
        </w:rPr>
        <w:t xml:space="preserve"> You can read the risk </w:t>
      </w:r>
      <w:proofErr w:type="gramStart"/>
      <w:r>
        <w:rPr>
          <w:rFonts w:ascii="Calibri" w:hAnsi="Calibri"/>
        </w:rPr>
        <w:t>picture  where</w:t>
      </w:r>
      <w:proofErr w:type="gramEnd"/>
      <w:r>
        <w:rPr>
          <w:rFonts w:ascii="Calibri" w:hAnsi="Calibri"/>
        </w:rPr>
        <w:t xml:space="preserve"> relationships are </w:t>
      </w:r>
      <w:proofErr w:type="gramStart"/>
      <w:r>
        <w:rPr>
          <w:rFonts w:ascii="Calibri" w:hAnsi="Calibri"/>
        </w:rPr>
        <w:t>deteriorating  before</w:t>
      </w:r>
      <w:proofErr w:type="gramEnd"/>
      <w:r>
        <w:rPr>
          <w:rFonts w:ascii="Calibri" w:hAnsi="Calibri"/>
        </w:rPr>
        <w:t xml:space="preserve"> clicking anything.</w:t>
      </w:r>
    </w:p>
    <w:p w14:paraId="6F2507AF" w14:textId="77777777" w:rsidR="00CA165C" w:rsidRDefault="00000000">
      <w:pPr>
        <w:pStyle w:val="ListBullet"/>
        <w:spacing w:after="60"/>
        <w:ind w:left="283"/>
      </w:pPr>
      <w:r>
        <w:rPr>
          <w:rFonts w:ascii="Calibri" w:hAnsi="Calibri"/>
          <w:b/>
        </w:rPr>
        <w:t>Click to isolate.</w:t>
      </w:r>
      <w:r>
        <w:rPr>
          <w:rFonts w:ascii="Calibri" w:hAnsi="Calibri"/>
        </w:rPr>
        <w:t xml:space="preserve"> Clicking a node dims all non-adjacent nodes and edges. The graph goes from 35 relationships to 5-8, which is actually readable.</w:t>
      </w:r>
    </w:p>
    <w:p w14:paraId="7AA4B4D0" w14:textId="33B39852" w:rsidR="00CA165C" w:rsidRDefault="00000000">
      <w:pPr>
        <w:pStyle w:val="ListBullet"/>
        <w:spacing w:after="60"/>
        <w:ind w:left="283"/>
      </w:pPr>
      <w:r>
        <w:rPr>
          <w:rFonts w:ascii="Calibri" w:hAnsi="Calibri"/>
          <w:b/>
        </w:rPr>
        <w:t>Filter by type.</w:t>
      </w:r>
      <w:r>
        <w:rPr>
          <w:rFonts w:ascii="Calibri" w:hAnsi="Calibri"/>
        </w:rPr>
        <w:t xml:space="preserve"> Showing only regulators reduces the graph to 4 </w:t>
      </w:r>
      <w:proofErr w:type="gramStart"/>
      <w:r>
        <w:rPr>
          <w:rFonts w:ascii="Calibri" w:hAnsi="Calibri"/>
        </w:rPr>
        <w:t>nodes  perfect</w:t>
      </w:r>
      <w:proofErr w:type="gramEnd"/>
      <w:r>
        <w:rPr>
          <w:rFonts w:ascii="Calibri" w:hAnsi="Calibri"/>
        </w:rPr>
        <w:t xml:space="preserve"> for a focused analysis.</w:t>
      </w:r>
    </w:p>
    <w:p w14:paraId="1BB993AA" w14:textId="77777777" w:rsidR="00CA165C" w:rsidRDefault="00000000">
      <w:pPr>
        <w:pStyle w:val="ListBullet"/>
        <w:spacing w:after="60"/>
        <w:ind w:left="283"/>
      </w:pPr>
      <w:r>
        <w:rPr>
          <w:rFonts w:ascii="Calibri" w:hAnsi="Calibri"/>
          <w:b/>
        </w:rPr>
        <w:t>Search highlight.</w:t>
      </w:r>
      <w:r>
        <w:rPr>
          <w:rFonts w:ascii="Calibri" w:hAnsi="Calibri"/>
        </w:rPr>
        <w:t xml:space="preserve"> Typing highlights matching nodes without hiding others, preserving spatial context.</w:t>
      </w:r>
    </w:p>
    <w:p w14:paraId="39629D3A" w14:textId="77777777" w:rsidR="00CA165C" w:rsidRDefault="00CA165C"/>
    <w:p w14:paraId="173683F4" w14:textId="77777777" w:rsidR="00CA165C" w:rsidRDefault="00000000">
      <w:pPr>
        <w:spacing w:after="120"/>
      </w:pPr>
      <w:r>
        <w:rPr>
          <w:rFonts w:ascii="Calibri" w:hAnsi="Calibri"/>
          <w:i/>
          <w:color w:val="646464"/>
        </w:rPr>
        <w:t>Honest assessment: at 35 nodes the graph is still busy. The filter tool is the most useful for dense graphs. A v2 would explore clustering by geography or stakeholder category rather than pure force physics.</w:t>
      </w:r>
    </w:p>
    <w:p w14:paraId="04586BF7" w14:textId="3D884706" w:rsidR="00CA165C" w:rsidRDefault="00000000" w:rsidP="00F733F7">
      <w:pPr>
        <w:spacing w:before="360" w:after="120"/>
      </w:pPr>
      <w:r>
        <w:rPr>
          <w:rFonts w:ascii="Calibri" w:hAnsi="Calibri"/>
          <w:b/>
          <w:color w:val="1F4E79"/>
          <w:sz w:val="36"/>
        </w:rPr>
        <w:t xml:space="preserve"> What I Did Not Build (and </w:t>
      </w:r>
      <w:proofErr w:type="gramStart"/>
      <w:r>
        <w:rPr>
          <w:rFonts w:ascii="Calibri" w:hAnsi="Calibri"/>
          <w:b/>
          <w:color w:val="1F4E79"/>
          <w:sz w:val="36"/>
        </w:rPr>
        <w:t>Why</w:t>
      </w:r>
      <w:proofErr w:type="gramEnd"/>
      <w:r>
        <w:rPr>
          <w:rFonts w:ascii="Calibri" w:hAnsi="Calibri"/>
          <w:b/>
          <w:color w:val="1F4E79"/>
          <w:sz w:val="36"/>
        </w:rPr>
        <w:t>)</w:t>
      </w:r>
      <w:r w:rsidR="00F733F7">
        <w:br/>
      </w:r>
      <w:r>
        <w:rPr>
          <w:rFonts w:ascii="Calibri" w:hAnsi="Calibri"/>
          <w:b/>
          <w:color w:val="156082"/>
          <w:sz w:val="28"/>
        </w:rPr>
        <w:t>Stakeholder-to-stakeholder edges</w:t>
      </w:r>
    </w:p>
    <w:p w14:paraId="1B2B7125" w14:textId="57DB29E0" w:rsidR="00CA165C" w:rsidRDefault="00000000" w:rsidP="00F733F7">
      <w:pPr>
        <w:spacing w:after="120"/>
      </w:pPr>
      <w:r>
        <w:rPr>
          <w:rFonts w:ascii="Calibri" w:hAnsi="Calibri"/>
        </w:rPr>
        <w:t xml:space="preserve">The real network has lateral </w:t>
      </w:r>
      <w:proofErr w:type="gramStart"/>
      <w:r>
        <w:rPr>
          <w:rFonts w:ascii="Calibri" w:hAnsi="Calibri"/>
        </w:rPr>
        <w:t>connections  Greenpeace</w:t>
      </w:r>
      <w:proofErr w:type="gramEnd"/>
      <w:r>
        <w:rPr>
          <w:rFonts w:ascii="Calibri" w:hAnsi="Calibri"/>
        </w:rPr>
        <w:t xml:space="preserve"> coordinates with Milieudefensie, BlackRock influences what Vanguard does, the Nigerian government's position is shaped by OPEC. I left these out because they would have roughly doubled the edge count without a clean solution to legibility. A second version would add them as a toggle hidden by default, revealed on demand as a second-depth </w:t>
      </w:r>
      <w:proofErr w:type="spellStart"/>
      <w:proofErr w:type="gramStart"/>
      <w:r>
        <w:rPr>
          <w:rFonts w:ascii="Calibri" w:hAnsi="Calibri"/>
        </w:rPr>
        <w:t>view.</w:t>
      </w:r>
      <w:r>
        <w:rPr>
          <w:rFonts w:ascii="Calibri" w:hAnsi="Calibri"/>
          <w:b/>
          <w:color w:val="156082"/>
          <w:sz w:val="28"/>
        </w:rPr>
        <w:t>Mobile</w:t>
      </w:r>
      <w:proofErr w:type="spellEnd"/>
      <w:proofErr w:type="gramEnd"/>
      <w:r>
        <w:rPr>
          <w:rFonts w:ascii="Calibri" w:hAnsi="Calibri"/>
          <w:b/>
          <w:color w:val="156082"/>
          <w:sz w:val="28"/>
        </w:rPr>
        <w:t xml:space="preserve"> layout</w:t>
      </w:r>
    </w:p>
    <w:p w14:paraId="6CA06B89" w14:textId="77777777" w:rsidR="00CA165C" w:rsidRDefault="00000000">
      <w:pPr>
        <w:spacing w:after="120"/>
      </w:pPr>
      <w:r>
        <w:rPr>
          <w:rFonts w:ascii="Calibri" w:hAnsi="Calibri"/>
        </w:rPr>
        <w:t>The sidebar breaks on small screens. This tool would realistically be used on a laptop in an analyst context, so it was deprioritised. It is a known gap.</w:t>
      </w:r>
    </w:p>
    <w:p w14:paraId="7B24353E" w14:textId="58174A0D" w:rsidR="00CA165C" w:rsidRDefault="00000000" w:rsidP="00985D44">
      <w:pPr>
        <w:spacing w:before="360" w:after="120"/>
      </w:pPr>
      <w:r>
        <w:rPr>
          <w:rFonts w:ascii="Calibri" w:hAnsi="Calibri"/>
          <w:b/>
          <w:color w:val="1F4E79"/>
          <w:sz w:val="36"/>
        </w:rPr>
        <w:t xml:space="preserve"> Challenges</w:t>
      </w:r>
    </w:p>
    <w:p w14:paraId="371B84C2" w14:textId="77777777" w:rsidR="00CA165C" w:rsidRDefault="00000000">
      <w:pPr>
        <w:spacing w:before="240" w:after="120"/>
      </w:pPr>
      <w:r>
        <w:rPr>
          <w:rFonts w:ascii="Calibri" w:hAnsi="Calibri"/>
          <w:b/>
          <w:color w:val="156082"/>
          <w:sz w:val="28"/>
        </w:rPr>
        <w:t>D3 + React ownership conflict</w:t>
      </w:r>
    </w:p>
    <w:p w14:paraId="35C0DC6C" w14:textId="77777777" w:rsidR="00CA165C" w:rsidRDefault="00000000">
      <w:pPr>
        <w:spacing w:after="120"/>
      </w:pPr>
      <w:r>
        <w:rPr>
          <w:rFonts w:ascii="Calibri" w:hAnsi="Calibri"/>
        </w:rPr>
        <w:t>D3 and React both try to control the DOM. Described in detail in Section 5.3. The fix was separating simulation setup from visual updates into two useEffect hooks, which eliminated the graph restarting on every node click.</w:t>
      </w:r>
    </w:p>
    <w:p w14:paraId="42D4DBD3" w14:textId="77777777" w:rsidR="00CA165C" w:rsidRDefault="00000000">
      <w:pPr>
        <w:spacing w:before="240" w:after="120"/>
      </w:pPr>
      <w:r>
        <w:rPr>
          <w:rFonts w:ascii="Calibri" w:hAnsi="Calibri"/>
          <w:b/>
          <w:color w:val="156082"/>
          <w:sz w:val="28"/>
        </w:rPr>
        <w:t>Making state feel earned, not arbitrary</w:t>
      </w:r>
    </w:p>
    <w:p w14:paraId="7B01F727" w14:textId="30198F4A" w:rsidR="00CA165C" w:rsidRDefault="00000000">
      <w:pPr>
        <w:spacing w:after="120"/>
      </w:pPr>
      <w:r>
        <w:rPr>
          <w:rFonts w:ascii="Calibri" w:hAnsi="Calibri"/>
        </w:rPr>
        <w:t xml:space="preserve">It would be easy to assign stable to everything. I tried to root each relationship's state in a specific, concrete </w:t>
      </w:r>
      <w:proofErr w:type="gramStart"/>
      <w:r>
        <w:rPr>
          <w:rFonts w:ascii="Calibri" w:hAnsi="Calibri"/>
        </w:rPr>
        <w:t>event  the</w:t>
      </w:r>
      <w:proofErr w:type="gramEnd"/>
      <w:r>
        <w:rPr>
          <w:rFonts w:ascii="Calibri" w:hAnsi="Calibri"/>
        </w:rPr>
        <w:t xml:space="preserve"> Milieudefensie court ruling, the windfall tax announcement, the North Field </w:t>
      </w:r>
      <w:r>
        <w:rPr>
          <w:rFonts w:ascii="Calibri" w:hAnsi="Calibri"/>
        </w:rPr>
        <w:lastRenderedPageBreak/>
        <w:t>LNG expansion heads of agreement. The descriptions explain why a relationship is where it is, not just label it. This was the most time-consuming part of the data work.</w:t>
      </w:r>
    </w:p>
    <w:p w14:paraId="15739AA4" w14:textId="77777777" w:rsidR="00CA165C" w:rsidRDefault="00000000">
      <w:pPr>
        <w:spacing w:before="240" w:after="120"/>
      </w:pPr>
      <w:r>
        <w:rPr>
          <w:rFonts w:ascii="Calibri" w:hAnsi="Calibri"/>
          <w:b/>
          <w:color w:val="156082"/>
          <w:sz w:val="28"/>
        </w:rPr>
        <w:t>TypeScript + D3 type conflicts</w:t>
      </w:r>
    </w:p>
    <w:p w14:paraId="0F0048A4" w14:textId="77777777" w:rsidR="00CA165C" w:rsidRDefault="00000000">
      <w:pPr>
        <w:spacing w:after="120"/>
      </w:pPr>
      <w:r>
        <w:rPr>
          <w:rFonts w:ascii="Calibri" w:hAnsi="Calibri"/>
        </w:rPr>
        <w:t>D3's force simulation mutates node objects by adding x, y, vx, vy properties at runtime. TypeScript does not know about these unless the node interface extends d3.SimulationNodeDatum. Getting the generic types on forceLink&lt;NodeData, LinkData&gt;() correct required a few iterations.</w:t>
      </w:r>
    </w:p>
    <w:p w14:paraId="37C8B820" w14:textId="7125654C" w:rsidR="00CA165C" w:rsidRDefault="00000000" w:rsidP="00985D44">
      <w:pPr>
        <w:spacing w:before="360" w:after="120"/>
      </w:pPr>
      <w:r>
        <w:rPr>
          <w:rFonts w:ascii="Calibri" w:hAnsi="Calibri"/>
          <w:b/>
          <w:color w:val="1F4E79"/>
          <w:sz w:val="36"/>
        </w:rPr>
        <w:t>Deployment</w:t>
      </w:r>
    </w:p>
    <w:p w14:paraId="2A4C730D" w14:textId="77777777" w:rsidR="00CA165C" w:rsidRDefault="00000000">
      <w:pPr>
        <w:spacing w:after="120"/>
      </w:pPr>
      <w:r>
        <w:rPr>
          <w:rFonts w:ascii="Calibri" w:hAnsi="Calibri"/>
        </w:rPr>
        <w:t>Deployed to Vercel via Vercel CLI.</w:t>
      </w:r>
    </w:p>
    <w:p w14:paraId="51E681E1" w14:textId="77777777" w:rsidR="00CA165C" w:rsidRDefault="00000000">
      <w:pPr>
        <w:pStyle w:val="ListBullet"/>
        <w:spacing w:after="60"/>
        <w:ind w:left="283"/>
      </w:pPr>
      <w:r>
        <w:rPr>
          <w:rFonts w:ascii="Calibri" w:hAnsi="Calibri"/>
          <w:b/>
        </w:rPr>
        <w:t>Live URL:</w:t>
      </w:r>
      <w:r>
        <w:rPr>
          <w:rFonts w:ascii="Calibri" w:hAnsi="Calibri"/>
        </w:rPr>
        <w:t xml:space="preserve"> https://assignment-puce-three.vercel.app</w:t>
      </w:r>
    </w:p>
    <w:p w14:paraId="13116B82" w14:textId="77777777" w:rsidR="00CA165C" w:rsidRDefault="00000000">
      <w:pPr>
        <w:pStyle w:val="ListBullet"/>
        <w:spacing w:after="60"/>
        <w:ind w:left="283"/>
      </w:pPr>
      <w:r>
        <w:rPr>
          <w:rFonts w:ascii="Calibri" w:hAnsi="Calibri"/>
          <w:b/>
        </w:rPr>
        <w:t>Build command:</w:t>
      </w:r>
      <w:r>
        <w:rPr>
          <w:rFonts w:ascii="Calibri" w:hAnsi="Calibri"/>
        </w:rPr>
        <w:t xml:space="preserve"> npm run build  (tsc -b &amp;&amp; vite build)</w:t>
      </w:r>
    </w:p>
    <w:p w14:paraId="1E561ABE" w14:textId="77777777" w:rsidR="00CA165C" w:rsidRDefault="00000000">
      <w:pPr>
        <w:pStyle w:val="ListBullet"/>
        <w:spacing w:after="60"/>
        <w:ind w:left="283"/>
      </w:pPr>
      <w:r>
        <w:rPr>
          <w:rFonts w:ascii="Calibri" w:hAnsi="Calibri"/>
          <w:b/>
        </w:rPr>
        <w:t>Output directory:</w:t>
      </w:r>
      <w:r>
        <w:rPr>
          <w:rFonts w:ascii="Calibri" w:hAnsi="Calibri"/>
        </w:rPr>
        <w:t xml:space="preserve"> dist/</w:t>
      </w:r>
    </w:p>
    <w:p w14:paraId="684CAD8F" w14:textId="77777777" w:rsidR="00CA165C" w:rsidRDefault="00000000">
      <w:pPr>
        <w:pStyle w:val="ListBullet"/>
        <w:spacing w:after="60"/>
        <w:ind w:left="283"/>
      </w:pPr>
      <w:r>
        <w:rPr>
          <w:rFonts w:ascii="Calibri" w:hAnsi="Calibri"/>
          <w:b/>
        </w:rPr>
        <w:t>Framework:</w:t>
      </w:r>
      <w:r>
        <w:rPr>
          <w:rFonts w:ascii="Calibri" w:hAnsi="Calibri"/>
        </w:rPr>
        <w:t xml:space="preserve"> Detected automatically by Vercel as Vite</w:t>
      </w:r>
    </w:p>
    <w:p w14:paraId="60AB2C2D" w14:textId="77777777" w:rsidR="00CA165C" w:rsidRDefault="00CA165C"/>
    <w:sectPr w:rsidR="00CA165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694625">
    <w:abstractNumId w:val="8"/>
  </w:num>
  <w:num w:numId="2" w16cid:durableId="1167285765">
    <w:abstractNumId w:val="6"/>
  </w:num>
  <w:num w:numId="3" w16cid:durableId="1789621270">
    <w:abstractNumId w:val="5"/>
  </w:num>
  <w:num w:numId="4" w16cid:durableId="906692252">
    <w:abstractNumId w:val="4"/>
  </w:num>
  <w:num w:numId="5" w16cid:durableId="1172719017">
    <w:abstractNumId w:val="7"/>
  </w:num>
  <w:num w:numId="6" w16cid:durableId="877277150">
    <w:abstractNumId w:val="3"/>
  </w:num>
  <w:num w:numId="7" w16cid:durableId="318003828">
    <w:abstractNumId w:val="2"/>
  </w:num>
  <w:num w:numId="8" w16cid:durableId="1238511645">
    <w:abstractNumId w:val="1"/>
  </w:num>
  <w:num w:numId="9" w16cid:durableId="126985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5AE"/>
    <w:rsid w:val="00985D44"/>
    <w:rsid w:val="00AA1D8D"/>
    <w:rsid w:val="00B47730"/>
    <w:rsid w:val="00CA165C"/>
    <w:rsid w:val="00CB0664"/>
    <w:rsid w:val="00F73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B39B3"/>
  <w14:defaultImageDpi w14:val="300"/>
  <w15:docId w15:val="{557C9FC1-4B05-474A-A260-DA8B7217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5D44"/>
    <w:rPr>
      <w:color w:val="0000FF" w:themeColor="hyperlink"/>
      <w:u w:val="single"/>
    </w:rPr>
  </w:style>
  <w:style w:type="character" w:styleId="UnresolvedMention">
    <w:name w:val="Unresolved Mention"/>
    <w:basedOn w:val="DefaultParagraphFont"/>
    <w:uiPriority w:val="99"/>
    <w:semiHidden/>
    <w:unhideWhenUsed/>
    <w:rsid w:val="00985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ssignment-puce-three.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ysash garg</cp:lastModifiedBy>
  <cp:revision>2</cp:revision>
  <dcterms:created xsi:type="dcterms:W3CDTF">2013-12-23T23:15:00Z</dcterms:created>
  <dcterms:modified xsi:type="dcterms:W3CDTF">2026-08-07T16:18:00Z</dcterms:modified>
  <cp:category/>
</cp:coreProperties>
</file>