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第二篇論文預計報告書：有交易成本的量子強化學習交易評估</w:t>
      </w:r>
    </w:p>
    <w:p>
      <w:pPr/>
      <w:r>
        <w:t xml:space="preserve">Oct 19, 2026</w:t>
      </w:r>
      <w:r>
        <w:t xml:space="preserve"> · </w:t>
      </w:r>
      <w:r>
        <w:t xml:space="preserve">@kr1s</w:t>
      </w:r>
    </w:p>
    <w:p>
      <w:pPr/>
      <w:r>
        <w:t xml:space="preserve">本研究檢驗論文二「QA3C 的報酬比古典 A3C 高 0.45 個百分點」的結論，在加入交易成本、動作遮罩、walk-forward 與多個種子後是否仍成立。重現時 QA3C 三個種子平均只有 0.85%，古典 A3C 為 9.25%，結論和原文相反。</w:t>
      </w:r>
    </w:p>
    <w:p>
      <w:pPr>
        <w:pStyle w:val="Heading2"/>
      </w:pPr>
      <w:r>
        <w:t xml:space="preserve">一、研究摘要與暫定題目</w:t>
      </w:r>
    </w:p>
    <w:p>
      <w:pPr/>
      <w:r>
        <w:rPr>
          <w:b/>
        </w:rPr>
        <w:t xml:space="preserve">暫定題目</w:t>
      </w:r>
      <w:r>
        <w:t xml:space="preserve">：Does the Quantum Edge Survive Trading Costs? A Cost-Aware, Walk-Forward Re-evaluation of Quantum A3C for FX Trading（量子 A3C 的優勢在交易成本下是否仍存在？）</w:t>
      </w:r>
    </w:p>
    <w:p>
      <w:pPr/>
      <w:hyperlink r:id="rId3" w:history="1">
        <w:r>
          <w:rPr>
            <w:rStyle w:val="Hyperlink"/>
          </w:rPr>
          <w:t xml:space="preserve">Quantum-Enhanced Forecasting for Deep Reinforcement Learning in Algorithmic Trading</w:t>
        </w:r>
      </w:hyperlink>
      <w:r>
        <w:t xml:space="preserve">（IEEE Globecom Workshops 2025，以下稱「論文二」）用 QLSTM 預測匯率趨勢，再交給量子 A3C（QA3C）交易 USD/TWD，報告 QA3C 報酬 11.87%、古典 A3C 11.42%。這個結論來自單一切分、單次執行，沒有交易成本，也沒有統計檢定。</w:t>
      </w:r>
    </w:p>
    <w:p>
      <w:pPr/>
      <w:r>
        <w:t xml:space="preserve">本研究保留論文二的模型，加上動作遮罩、三種交易成本、5 個 fold 的 walk-forward、每個設定 3 個種子、參數量相同的古典基準，以及獎勵與預測器的消融實驗，重新回答「量子代理人是否真的比較好」。</w:t>
      </w:r>
    </w:p>
    <w:p>
      <w:pPr/>
      <w:r>
        <w:rPr>
          <w:b/>
        </w:rPr>
        <w:t xml:space="preserve">定位</w:t>
      </w:r>
      <w:r>
        <w:t xml:space="preserve">：同一實驗室已有三篇 QA3C 交易論文，分別發表在 IEEE Globecom Workshops 2025、IEEE QCE 2025、IEEE ICASSP 2026，都宣稱量子版本較好。本研究定位為這條研究線的「嚴格評估延伸」，不是反駁。</w:t>
      </w:r>
    </w:p>
    <w:p>
      <w:pPr/>
      <w:r>
        <w:rPr>
          <w:b/>
        </w:rPr>
        <w:t xml:space="preserve">建議投稿</w:t>
      </w:r>
      <w:r>
        <w:t xml:space="preserve">：IEEE QCE 或 IEEE ICASSP（同系列論文的發表場所）；期刊版可投 IEEE Transactions on Quantum Engineering。</w:t>
      </w:r>
    </w:p>
    <w:p>
      <w:pPr>
        <w:pStyle w:val="Heading2"/>
      </w:pPr>
      <w:r>
        <w:t xml:space="preserve">二、研究背景與動機</w:t>
      </w:r>
    </w:p>
    <w:p>
      <w:pPr/>
      <w:r>
        <w:t xml:space="preserve">重現論文二時，QA3C 的結果和原文相反，而且差異來自評估方式，不是程式錯誤。這是本研究的出發點。</w:t>
      </w:r>
    </w:p>
    <w:p>
      <w:pPr/>
      <w:r>
        <w:rPr>
          <w:b/>
        </w:rPr>
        <w:t xml:space="preserve">背景</w:t>
      </w:r>
      <w:r>
        <w:t xml:space="preserve">：金融被視為量子計算最早受惠的產業之一，見 </w:t>
      </w:r>
      <w:hyperlink r:id="rId4" w:history="1">
        <w:r>
          <w:rPr>
            <w:rStyle w:val="Hyperlink"/>
          </w:rPr>
          <w:t xml:space="preserve">Quantum Computing for Finance: State-of-the-Art and Future Prospects</w:t>
        </w:r>
      </w:hyperlink>
      <w:r>
        <w:t xml:space="preserve">（IEEE Transactions on Quantum Engineering 2020）與 </w:t>
      </w:r>
      <w:hyperlink r:id="rId5" w:history="1">
        <w:r>
          <w:rPr>
            <w:rStyle w:val="Hyperlink"/>
          </w:rPr>
          <w:t xml:space="preserve">Quantum Machine Learning for Finance ICCAD Special Session Paper</w:t>
        </w:r>
      </w:hyperlink>
      <w:r>
        <w:t xml:space="preserve">（IEEE/ACM ICCAD 2021）。把變分量子電路（VQC）放進強化學習始於 </w:t>
      </w:r>
      <w:hyperlink r:id="rId6" w:history="1">
        <w:r>
          <w:rPr>
            <w:rStyle w:val="Hyperlink"/>
          </w:rPr>
          <w:t xml:space="preserve">Variational Quantum Circuits for Deep Reinforcement Learning</w:t>
        </w:r>
      </w:hyperlink>
      <w:r>
        <w:t xml:space="preserve">（IEEE Access 2020），QA3C 則來自 </w:t>
      </w:r>
      <w:hyperlink r:id="rId7" w:history="1">
        <w:r>
          <w:rPr>
            <w:rStyle w:val="Hyperlink"/>
          </w:rPr>
          <w:t xml:space="preserve">Asynchronous training of quantum reinforcement learning</w:t>
        </w:r>
      </w:hyperlink>
      <w:r>
        <w:t xml:space="preserve">（Procedia Computer Science 2023）。</w:t>
      </w:r>
    </w:p>
    <w:p>
      <w:pPr/>
      <w:r>
        <w:t xml:space="preserve">古典的強化學習交易研究很早就把交易成本當成必要條件：</w:t>
      </w:r>
      <w:hyperlink r:id="rId8" w:history="1">
        <w:r>
          <w:rPr>
            <w:rStyle w:val="Hyperlink"/>
          </w:rPr>
          <w:t xml:space="preserve">Learning to trade via direct reinforcement</w:t>
        </w:r>
      </w:hyperlink>
      <w:r>
        <w:t xml:space="preserve">（IEEE Transactions on Neural Networks 2001）、</w:t>
      </w:r>
      <w:hyperlink r:id="rId9" w:history="1">
        <w:r>
          <w:rPr>
            <w:rStyle w:val="Hyperlink"/>
          </w:rPr>
          <w:t xml:space="preserve">Deep Direct Reinforcement Learning for Financial Signal Representation and Trading</w:t>
        </w:r>
      </w:hyperlink>
      <w:r>
        <w:t xml:space="preserve">（IEEE TNNLS 2017）都在有成本的條件下評估。量子版本的研究卻大多省略成本。</w:t>
      </w:r>
    </w:p>
    <w:p>
      <w:pPr/>
      <w:r>
        <w:rPr>
          <w:b/>
        </w:rPr>
        <w:t xml:space="preserve">重現結果</w:t>
      </w:r>
      <w:r>
        <w:t xml:space="preserve">（測試期 2020-04-01～2025-04-30，用論文的程式與設定）：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49"/>
        <w:gridCol w:w="2551"/>
        <w:gridCol w:w="3860"/>
      </w:tblGrid>
      <w:tr>
        <w:trPr>
          <w:tblHeader/>
        </w:trPr>
        <w:tc>
          <w:tcPr>
            <w:tcW w:w="2949" w:type="dxa"/>
            <w:shd w:val="clear" w:color="auto" w:fill="F2F2F2"/>
          </w:tcPr>
          <w:p>
            <w:pPr/>
            <w:r>
              <w:t xml:space="preserve">項目</w:t>
            </w:r>
          </w:p>
        </w:tc>
        <w:tc>
          <w:tcPr>
            <w:tcW w:w="2551" w:type="dxa"/>
            <w:shd w:val="clear" w:color="auto" w:fill="F2F2F2"/>
          </w:tcPr>
          <w:p>
            <w:pPr/>
            <w:r>
              <w:t xml:space="preserve">論文二</w:t>
            </w:r>
          </w:p>
        </w:tc>
        <w:tc>
          <w:tcPr>
            <w:tcW w:w="3860" w:type="dxa"/>
            <w:shd w:val="clear" w:color="auto" w:fill="F2F2F2"/>
          </w:tcPr>
          <w:p>
            <w:pPr/>
            <w:r>
              <w:t xml:space="preserve">本次重現</w:t>
            </w:r>
          </w:p>
        </w:tc>
      </w:tr>
      <w:tr>
        <w:tc>
          <w:tcPr>
            <w:tcW w:w="2949" w:type="dxa"/>
          </w:tcPr>
          <w:p>
            <w:pPr/>
            <w:r>
              <w:t xml:space="preserve">QLSTM 預測器準確率</w:t>
            </w:r>
          </w:p>
        </w:tc>
        <w:tc>
          <w:tcPr>
            <w:tcW w:w="2551" w:type="dxa"/>
          </w:tcPr>
          <w:p>
            <w:pPr/>
            <w:r>
              <w:t xml:space="preserve">約 71.5%</w:t>
            </w:r>
          </w:p>
        </w:tc>
        <w:tc>
          <w:tcPr>
            <w:tcW w:w="3860" w:type="dxa"/>
          </w:tcPr>
          <w:p>
            <w:pPr/>
            <w:r>
              <w:t xml:space="preserve">60.2%（3 個種子：57.95%、65.91%、56.82%）</w:t>
            </w:r>
          </w:p>
        </w:tc>
      </w:tr>
      <w:tr>
        <w:tc>
          <w:tcPr>
            <w:tcW w:w="2949" w:type="dxa"/>
          </w:tcPr>
          <w:p>
            <w:pPr/>
            <w:r>
              <w:t xml:space="preserve">A3C 報酬／交易次數／勝率</w:t>
            </w:r>
          </w:p>
        </w:tc>
        <w:tc>
          <w:tcPr>
            <w:tcW w:w="2551" w:type="dxa"/>
          </w:tcPr>
          <w:p>
            <w:pPr/>
            <w:r>
              <w:t xml:space="preserve">11.42%／230／54.78%</w:t>
            </w:r>
          </w:p>
        </w:tc>
        <w:tc>
          <w:tcPr>
            <w:tcW w:w="3860" w:type="dxa"/>
          </w:tcPr>
          <w:p>
            <w:pPr/>
            <w:r>
              <w:t xml:space="preserve">9.25%／437／81.3%（3 個種子平均）</w:t>
            </w:r>
          </w:p>
        </w:tc>
      </w:tr>
      <w:tr>
        <w:tc>
          <w:tcPr>
            <w:tcW w:w="2949" w:type="dxa"/>
          </w:tcPr>
          <w:p>
            <w:pPr/>
            <w:r>
              <w:t xml:space="preserve">QA3C 報酬／交易次數</w:t>
            </w:r>
          </w:p>
        </w:tc>
        <w:tc>
          <w:tcPr>
            <w:tcW w:w="2551" w:type="dxa"/>
          </w:tcPr>
          <w:p>
            <w:pPr/>
            <w:r>
              <w:t xml:space="preserve">11.87%／231</w:t>
            </w:r>
          </w:p>
        </w:tc>
        <w:tc>
          <w:tcPr>
            <w:tcW w:w="3860" w:type="dxa"/>
          </w:tcPr>
          <w:p>
            <w:pPr/>
            <w:r>
              <w:t xml:space="preserve">平均 0.85%（2.54%、0%、0%）；兩個種子測試期 0 筆交易</w:t>
            </w:r>
          </w:p>
        </w:tc>
      </w:tr>
      <w:tr>
        <w:tc>
          <w:tcPr>
            <w:tcW w:w="2949" w:type="dxa"/>
          </w:tcPr>
          <w:p>
            <w:pPr/>
            <w:r>
              <w:t xml:space="preserve">買進持有 USD</w:t>
            </w:r>
          </w:p>
        </w:tc>
        <w:tc>
          <w:tcPr>
            <w:tcW w:w="2551" w:type="dxa"/>
          </w:tcPr>
          <w:p>
            <w:pPr/>
            <w:r>
              <w:t xml:space="preserve">—</w:t>
            </w:r>
          </w:p>
        </w:tc>
        <w:tc>
          <w:tcPr>
            <w:tcW w:w="3860" w:type="dxa"/>
          </w:tcPr>
          <w:p>
            <w:pPr/>
            <w:r>
              <w:t xml:space="preserve">6.92%</w:t>
            </w:r>
          </w:p>
        </w:tc>
      </w:tr>
    </w:tbl>
    <w:p>
      <w:pPr/>
      <w:r>
        <w:rPr>
          <w:b/>
        </w:rPr>
        <w:t xml:space="preserve">觀察到的問題</w:t>
      </w:r>
      <w:r>
        <w:t xml:space="preserve">：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代理人從不選「持有」</w:t>
      </w:r>
      <w:r>
        <w:t xml:space="preserve">：A3C 每天不是買就是賣；QA3C 用「沒有部位時賣出」這個無效動作（只罰 −0.1）來空手，兩個種子 1,322 個交易日全部選「賣出」。這是獎勵被鑽漏洞的典型例子。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沒有交易成本</w:t>
      </w:r>
      <w:r>
        <w:t xml:space="preserve">：A3C 平均約 3 天進出一次，只要每筆有成本，報酬就會被吃掉。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單一切分、單次執行</w:t>
      </w:r>
      <w:r>
        <w:t xml:space="preserve">：QA3C 三個種子報酬是 2.54%、0%、0%，單一種子的結果不具代表性。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環境沒寫清楚</w:t>
      </w:r>
      <w:r>
        <w:t xml:space="preserve">：初始資金、部位大小、無效動作罰分、pnl% 的單位都沒寫；表 III 的虧損獎勵依字面會得到正獎勵。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基準期間對不上</w:t>
      </w:r>
      <w:r>
        <w:t xml:space="preserve">：表 V 的 ETF 報酬最吻合的是到 2025-07-21 為止的 5 年，不是測試期。用正確期間，USDU 為 11.27%，論文的領先只剩 0.6 個百分點。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兩個模型做出幾乎相同的交易</w:t>
      </w:r>
      <w:r>
        <w:t xml:space="preserve">：論文中 A3C 與 QA3C 的最大回撤、最佳與最差單筆完全相同，交易次數只差 1 次，代表結果主要由獎勵設計決定，而不是模型。</w:t>
      </w:r>
    </w:p>
    <w:p>
      <w:pPr/>
      <w:r>
        <w:t xml:space="preserve">所以「量子比較好」可能來自評估方式。本研究要先把評估做對，再比較模型。</w:t>
      </w:r>
    </w:p>
    <w:p>
      <w:pPr>
        <w:pStyle w:val="Heading2"/>
      </w:pPr>
      <w:r>
        <w:t xml:space="preserve">三、研究目的與研究問題</w:t>
      </w:r>
    </w:p>
    <w:p>
      <w:pPr/>
      <w:r>
        <w:t xml:space="preserve">目的是建立一套「有成本、沒有漏洞、可重複」的量子強化學習交易評估協定，再用它回答 QA3C 是否優於古典 A3C。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3279"/>
        <w:gridCol w:w="1692"/>
        <w:gridCol w:w="3669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編號</w:t>
            </w:r>
          </w:p>
        </w:tc>
        <w:tc>
          <w:tcPr>
            <w:tcW w:w="3279" w:type="dxa"/>
            <w:shd w:val="clear" w:color="auto" w:fill="F2F2F2"/>
          </w:tcPr>
          <w:p>
            <w:pPr/>
            <w:r>
              <w:t xml:space="preserve">研究問題</w:t>
            </w:r>
          </w:p>
        </w:tc>
        <w:tc>
          <w:tcPr>
            <w:tcW w:w="1692" w:type="dxa"/>
            <w:shd w:val="clear" w:color="auto" w:fill="F2F2F2"/>
          </w:tcPr>
          <w:p>
            <w:pPr/>
            <w:r>
              <w:t xml:space="preserve">對應實驗</w:t>
            </w:r>
          </w:p>
        </w:tc>
        <w:tc>
          <w:tcPr>
            <w:tcW w:w="3669" w:type="dxa"/>
            <w:shd w:val="clear" w:color="auto" w:fill="F2F2F2"/>
          </w:tcPr>
          <w:p>
            <w:pPr/>
            <w:r>
              <w:t xml:space="preserve">判斷方式</w:t>
            </w:r>
          </w:p>
        </w:tc>
      </w:tr>
      <w:tr>
        <w:tc>
          <w:tcPr>
            <w:tcW w:w="720" w:type="dxa"/>
          </w:tcPr>
          <w:p>
            <w:pPr/>
            <w:r>
              <w:t xml:space="preserve">RQ1</w:t>
            </w:r>
          </w:p>
        </w:tc>
        <w:tc>
          <w:tcPr>
            <w:tcW w:w="3279" w:type="dxa"/>
          </w:tcPr>
          <w:p>
            <w:pPr/>
            <w:r>
              <w:t xml:space="preserve">加上動作遮罩與交易成本後，QA3C 是否仍優於參數量相同的古典 A3C？</w:t>
            </w:r>
          </w:p>
        </w:tc>
        <w:tc>
          <w:tcPr>
            <w:tcW w:w="1692" w:type="dxa"/>
          </w:tcPr>
          <w:p>
            <w:pPr/>
            <w:r>
              <w:t xml:space="preserve">E1 主比較</w:t>
            </w:r>
          </w:p>
        </w:tc>
        <w:tc>
          <w:tcPr>
            <w:tcW w:w="3669" w:type="dxa"/>
          </w:tcPr>
          <w:p>
            <w:pPr/>
            <w:r>
              <w:t xml:space="preserve">以 fold × 種子成對比較，Wilcoxon 符號等級檢定</w:t>
            </w:r>
          </w:p>
        </w:tc>
      </w:tr>
      <w:tr>
        <w:tc>
          <w:tcPr>
            <w:tcW w:w="720" w:type="dxa"/>
          </w:tcPr>
          <w:p>
            <w:pPr/>
            <w:r>
              <w:t xml:space="preserve">RQ2</w:t>
            </w:r>
          </w:p>
        </w:tc>
        <w:tc>
          <w:tcPr>
            <w:tcW w:w="3279" w:type="dxa"/>
          </w:tcPr>
          <w:p>
            <w:pPr/>
            <w:r>
              <w:t xml:space="preserve">QA3C 的結果在不同測試年與種子之間是否穩定？</w:t>
            </w:r>
          </w:p>
        </w:tc>
        <w:tc>
          <w:tcPr>
            <w:tcW w:w="1692" w:type="dxa"/>
          </w:tcPr>
          <w:p>
            <w:pPr/>
            <w:r>
              <w:t xml:space="preserve">E1</w:t>
            </w:r>
          </w:p>
        </w:tc>
        <w:tc>
          <w:tcPr>
            <w:tcW w:w="3669" w:type="dxa"/>
          </w:tcPr>
          <w:p>
            <w:pPr/>
            <w:r>
              <w:t xml:space="preserve">各 fold 報酬分布、種子間變異、「完全不交易」的比例</w:t>
            </w:r>
          </w:p>
        </w:tc>
      </w:tr>
      <w:tr>
        <w:tc>
          <w:tcPr>
            <w:tcW w:w="720" w:type="dxa"/>
          </w:tcPr>
          <w:p>
            <w:pPr/>
            <w:r>
              <w:t xml:space="preserve">RQ3</w:t>
            </w:r>
          </w:p>
        </w:tc>
        <w:tc>
          <w:tcPr>
            <w:tcW w:w="3279" w:type="dxa"/>
          </w:tcPr>
          <w:p>
            <w:pPr/>
            <w:r>
              <w:t xml:space="preserve">獎勵設計對行為與報酬的影響有多大？</w:t>
            </w:r>
          </w:p>
        </w:tc>
        <w:tc>
          <w:tcPr>
            <w:tcW w:w="1692" w:type="dxa"/>
          </w:tcPr>
          <w:p>
            <w:pPr/>
            <w:r>
              <w:t xml:space="preserve">E2 獎勵消融</w:t>
            </w:r>
          </w:p>
        </w:tc>
        <w:tc>
          <w:tcPr>
            <w:tcW w:w="3669" w:type="dxa"/>
          </w:tcPr>
          <w:p>
            <w:pPr/>
            <w:r>
              <w:t xml:space="preserve">持有比例、無效動作嘗試、交易次數、扣成本後報酬</w:t>
            </w:r>
          </w:p>
        </w:tc>
      </w:tr>
      <w:tr>
        <w:tc>
          <w:tcPr>
            <w:tcW w:w="720" w:type="dxa"/>
          </w:tcPr>
          <w:p>
            <w:pPr/>
            <w:r>
              <w:t xml:space="preserve">RQ4</w:t>
            </w:r>
          </w:p>
        </w:tc>
        <w:tc>
          <w:tcPr>
            <w:tcW w:w="3279" w:type="dxa"/>
          </w:tcPr>
          <w:p>
            <w:pPr/>
            <w:r>
              <w:t xml:space="preserve">QLSTM 預測訊號實際貢獻多少？</w:t>
            </w:r>
          </w:p>
        </w:tc>
        <w:tc>
          <w:tcPr>
            <w:tcW w:w="1692" w:type="dxa"/>
          </w:tcPr>
          <w:p>
            <w:pPr/>
            <w:r>
              <w:t xml:space="preserve">E3 預測器消融</w:t>
            </w:r>
          </w:p>
        </w:tc>
        <w:tc>
          <w:tcPr>
            <w:tcW w:w="3669" w:type="dxa"/>
          </w:tcPr>
          <w:p>
            <w:pPr/>
            <w:r>
              <w:t xml:space="preserve">無預測器、QLSTM、理想預測器三者的報酬差</w:t>
            </w:r>
          </w:p>
        </w:tc>
      </w:tr>
      <w:tr>
        <w:tc>
          <w:tcPr>
            <w:tcW w:w="720" w:type="dxa"/>
          </w:tcPr>
          <w:p>
            <w:pPr/>
            <w:r>
              <w:t xml:space="preserve">RQ5</w:t>
            </w:r>
          </w:p>
        </w:tc>
        <w:tc>
          <w:tcPr>
            <w:tcW w:w="3279" w:type="dxa"/>
          </w:tcPr>
          <w:p>
            <w:pPr/>
            <w:r>
              <w:t xml:space="preserve">量子代理人相對於簡單策略有沒有超額報酬？</w:t>
            </w:r>
          </w:p>
        </w:tc>
        <w:tc>
          <w:tcPr>
            <w:tcW w:w="1692" w:type="dxa"/>
          </w:tcPr>
          <w:p>
            <w:pPr/>
            <w:r>
              <w:t xml:space="preserve">E1 基準策略</w:t>
            </w:r>
          </w:p>
        </w:tc>
        <w:tc>
          <w:tcPr>
            <w:tcW w:w="3669" w:type="dxa"/>
          </w:tcPr>
          <w:p>
            <w:pPr/>
            <w:r>
              <w:t xml:space="preserve">與買進持有、均線、隨機策略比較扣成本後報酬、Sharpe、最大回撤</w:t>
            </w:r>
          </w:p>
        </w:tc>
      </w:tr>
    </w:tbl>
    <w:p>
      <w:pPr>
        <w:pStyle w:val="Heading2"/>
      </w:pPr>
      <w:r>
        <w:t xml:space="preserve">四、欲解決的痛點</w:t>
      </w:r>
    </w:p>
    <w:p>
      <w:pPr/>
      <w:r>
        <w:t xml:space="preserve">共 11 個痛點：3 個已解決、5 個進行中（方向 C 實驗正在跑）、3 個尚未開始。「已解決」是指做法已經完成並可重現。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1288"/>
        <w:gridCol w:w="3166"/>
        <w:gridCol w:w="3070"/>
        <w:gridCol w:w="1116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288" w:type="dxa"/>
            <w:shd w:val="clear" w:color="auto" w:fill="F2F2F2"/>
          </w:tcPr>
          <w:p>
            <w:pPr/>
            <w:r>
              <w:t xml:space="preserve">痛點</w:t>
            </w:r>
          </w:p>
        </w:tc>
        <w:tc>
          <w:tcPr>
            <w:tcW w:w="3166" w:type="dxa"/>
            <w:shd w:val="clear" w:color="auto" w:fill="F2F2F2"/>
          </w:tcPr>
          <w:p>
            <w:pPr/>
            <w:r>
              <w:t xml:space="preserve">為什麼重要（要解決的問題）</w:t>
            </w:r>
          </w:p>
        </w:tc>
        <w:tc>
          <w:tcPr>
            <w:tcW w:w="3070" w:type="dxa"/>
            <w:shd w:val="clear" w:color="auto" w:fill="F2F2F2"/>
          </w:tcPr>
          <w:p>
            <w:pPr/>
            <w:r>
              <w:t xml:space="preserve">本研究的做法</w:t>
            </w:r>
          </w:p>
        </w:tc>
        <w:tc>
          <w:tcPr>
            <w:tcW w:w="1116" w:type="dxa"/>
            <w:shd w:val="clear" w:color="auto" w:fill="F2F2F2"/>
          </w:tcPr>
          <w:p>
            <w:pPr/>
            <w:r>
              <w:t xml:space="preserve">狀態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1288" w:type="dxa"/>
          </w:tcPr>
          <w:p>
            <w:pPr/>
            <w:r>
              <w:t xml:space="preserve">沒有交易成本</w:t>
            </w:r>
          </w:p>
        </w:tc>
        <w:tc>
          <w:tcPr>
            <w:tcW w:w="3166" w:type="dxa"/>
          </w:tcPr>
          <w:p>
            <w:pPr/>
            <w:r>
              <w:t xml:space="preserve">代理人平均 3 天進出一次，無成本會高估報酬</w:t>
            </w:r>
          </w:p>
        </w:tc>
        <w:tc>
          <w:tcPr>
            <w:tcW w:w="3070" w:type="dxa"/>
          </w:tcPr>
          <w:p>
            <w:pPr/>
            <w:r>
              <w:t xml:space="preserve">訓練用 0.05%，測試用 0／0.05%／0.1% 三種成本</w:t>
            </w:r>
          </w:p>
        </w:tc>
        <w:tc>
          <w:tcPr>
            <w:tcW w:w="1116" w:type="dxa"/>
          </w:tcPr>
          <w:p>
            <w:pPr/>
            <w:r>
              <w:t xml:space="preserve">進行中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1288" w:type="dxa"/>
          </w:tcPr>
          <w:p>
            <w:pPr/>
            <w:r>
              <w:t xml:space="preserve">無效動作被鑽漏洞</w:t>
            </w:r>
          </w:p>
        </w:tc>
        <w:tc>
          <w:tcPr>
            <w:tcW w:w="3166" w:type="dxa"/>
          </w:tcPr>
          <w:p>
            <w:pPr/>
            <w:r>
              <w:t xml:space="preserve">QA3C 用「無部位時賣出」空手，學到的不是交易</w:t>
            </w:r>
          </w:p>
        </w:tc>
        <w:tc>
          <w:tcPr>
            <w:tcW w:w="3070" w:type="dxa"/>
          </w:tcPr>
          <w:p>
            <w:pPr/>
            <w:r>
              <w:t xml:space="preserve">動作遮罩：無部位不能賣、現金不足不能買</w:t>
            </w:r>
          </w:p>
        </w:tc>
        <w:tc>
          <w:tcPr>
            <w:tcW w:w="1116" w:type="dxa"/>
          </w:tcPr>
          <w:p>
            <w:pPr/>
            <w:r>
              <w:t xml:space="preserve">進行中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1288" w:type="dxa"/>
          </w:tcPr>
          <w:p>
            <w:pPr/>
            <w:r>
              <w:t xml:space="preserve">單一切分、單次執行</w:t>
            </w:r>
          </w:p>
        </w:tc>
        <w:tc>
          <w:tcPr>
            <w:tcW w:w="3166" w:type="dxa"/>
          </w:tcPr>
          <w:p>
            <w:pPr/>
            <w:r>
              <w:t xml:space="preserve">QA3C 三個種子報酬 2.54%、0%、0%，單一結果不可信</w:t>
            </w:r>
          </w:p>
        </w:tc>
        <w:tc>
          <w:tcPr>
            <w:tcW w:w="3070" w:type="dxa"/>
          </w:tcPr>
          <w:p>
            <w:pPr/>
            <w:r>
              <w:t xml:space="preserve">5 個 fold 的 walk-forward（測試年 2020～2024）× 3 個種子</w:t>
            </w:r>
          </w:p>
        </w:tc>
        <w:tc>
          <w:tcPr>
            <w:tcW w:w="1116" w:type="dxa"/>
          </w:tcPr>
          <w:p>
            <w:pPr/>
            <w:r>
              <w:t xml:space="preserve">進行中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1288" w:type="dxa"/>
          </w:tcPr>
          <w:p>
            <w:pPr/>
            <w:r>
              <w:t xml:space="preserve">基準不公平</w:t>
            </w:r>
          </w:p>
        </w:tc>
        <w:tc>
          <w:tcPr>
            <w:tcW w:w="3166" w:type="dxa"/>
          </w:tcPr>
          <w:p>
            <w:pPr/>
            <w:r>
              <w:t xml:space="preserve">論文 A3C 3,332 個參數、QA3C 244 個，無法區分「量子」和「小模型」</w:t>
            </w:r>
          </w:p>
        </w:tc>
        <w:tc>
          <w:tcPr>
            <w:tcW w:w="3070" w:type="dxa"/>
          </w:tcPr>
          <w:p>
            <w:pPr/>
            <w:r>
              <w:t xml:space="preserve">加入參數量相同的古典 A3C（h=9，238 個參數）</w:t>
            </w:r>
          </w:p>
        </w:tc>
        <w:tc>
          <w:tcPr>
            <w:tcW w:w="1116" w:type="dxa"/>
          </w:tcPr>
          <w:p>
            <w:pPr/>
            <w:r>
              <w:t xml:space="preserve">已解決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1288" w:type="dxa"/>
          </w:tcPr>
          <w:p>
            <w:pPr/>
            <w:r>
              <w:t xml:space="preserve">環境規格沒寫、前後矛盾</w:t>
            </w:r>
          </w:p>
        </w:tc>
        <w:tc>
          <w:tcPr>
            <w:tcW w:w="3166" w:type="dxa"/>
          </w:tcPr>
          <w:p>
            <w:pPr/>
            <w:r>
              <w:t xml:space="preserve">初始資金、部位大小、罰分都會改變行為，別人無法重現</w:t>
            </w:r>
          </w:p>
        </w:tc>
        <w:tc>
          <w:tcPr>
            <w:tcW w:w="3070" w:type="dxa"/>
          </w:tcPr>
          <w:p>
            <w:pPr/>
            <w:r>
              <w:t xml:space="preserve">公開完整環境規格與程式，修正虧損獎勵的正負號</w:t>
            </w:r>
          </w:p>
        </w:tc>
        <w:tc>
          <w:tcPr>
            <w:tcW w:w="1116" w:type="dxa"/>
          </w:tcPr>
          <w:p>
            <w:pPr/>
            <w:r>
              <w:t xml:space="preserve">已解決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1288" w:type="dxa"/>
          </w:tcPr>
          <w:p>
            <w:pPr/>
            <w:r>
              <w:t xml:space="preserve">ETF 基準期間錯置</w:t>
            </w:r>
          </w:p>
        </w:tc>
        <w:tc>
          <w:tcPr>
            <w:tcW w:w="3166" w:type="dxa"/>
          </w:tcPr>
          <w:p>
            <w:pPr/>
            <w:r>
              <w:t xml:space="preserve">表 V 期間和測試期不同，領先幅度被高估</w:t>
            </w:r>
          </w:p>
        </w:tc>
        <w:tc>
          <w:tcPr>
            <w:tcW w:w="3070" w:type="dxa"/>
          </w:tcPr>
          <w:p>
            <w:pPr/>
            <w:r>
              <w:t xml:space="preserve">所有基準用和測試期相同的期間，另加買進持有、均線、隨機策略</w:t>
            </w:r>
          </w:p>
        </w:tc>
        <w:tc>
          <w:tcPr>
            <w:tcW w:w="1116" w:type="dxa"/>
          </w:tcPr>
          <w:p>
            <w:pPr/>
            <w:r>
              <w:t xml:space="preserve">已解決</w:t>
            </w:r>
          </w:p>
        </w:tc>
      </w:tr>
      <w:tr>
        <w:tc>
          <w:tcPr>
            <w:tcW w:w="720" w:type="dxa"/>
          </w:tcPr>
          <w:p>
            <w:pPr/>
            <w:r>
              <w:t xml:space="preserve">7</w:t>
            </w:r>
          </w:p>
        </w:tc>
        <w:tc>
          <w:tcPr>
            <w:tcW w:w="1288" w:type="dxa"/>
          </w:tcPr>
          <w:p>
            <w:pPr/>
            <w:r>
              <w:t xml:space="preserve">獎勵設計主導結果</w:t>
            </w:r>
          </w:p>
        </w:tc>
        <w:tc>
          <w:tcPr>
            <w:tcW w:w="3166" w:type="dxa"/>
          </w:tcPr>
          <w:p>
            <w:pPr/>
            <w:r>
              <w:t xml:space="preserve">兩個模型交易幾乎相同，比的其實是獎勵</w:t>
            </w:r>
          </w:p>
        </w:tc>
        <w:tc>
          <w:tcPr>
            <w:tcW w:w="3070" w:type="dxa"/>
          </w:tcPr>
          <w:p>
            <w:pPr/>
            <w:r>
              <w:t xml:space="preserve">E2：論文獎勵 vs. log 報酬獎勵</w:t>
            </w:r>
          </w:p>
        </w:tc>
        <w:tc>
          <w:tcPr>
            <w:tcW w:w="1116" w:type="dxa"/>
          </w:tcPr>
          <w:p>
            <w:pPr/>
            <w:r>
              <w:t xml:space="preserve">進行中</w:t>
            </w:r>
          </w:p>
        </w:tc>
      </w:tr>
      <w:tr>
        <w:tc>
          <w:tcPr>
            <w:tcW w:w="720" w:type="dxa"/>
          </w:tcPr>
          <w:p>
            <w:pPr/>
            <w:r>
              <w:t xml:space="preserve">8</w:t>
            </w:r>
          </w:p>
        </w:tc>
        <w:tc>
          <w:tcPr>
            <w:tcW w:w="1288" w:type="dxa"/>
          </w:tcPr>
          <w:p>
            <w:pPr/>
            <w:r>
              <w:t xml:space="preserve">預測器的價值不明</w:t>
            </w:r>
          </w:p>
        </w:tc>
        <w:tc>
          <w:tcPr>
            <w:tcW w:w="3166" w:type="dxa"/>
          </w:tcPr>
          <w:p>
            <w:pPr/>
            <w:r>
              <w:t xml:space="preserve">預測器只有 60.2%（論文 71.5%），不知道它幫了多少</w:t>
            </w:r>
          </w:p>
        </w:tc>
        <w:tc>
          <w:tcPr>
            <w:tcW w:w="3070" w:type="dxa"/>
          </w:tcPr>
          <w:p>
            <w:pPr/>
            <w:r>
              <w:t xml:space="preserve">E3：無預測器／QLSTM／理想預測器（上限）</w:t>
            </w:r>
          </w:p>
        </w:tc>
        <w:tc>
          <w:tcPr>
            <w:tcW w:w="1116" w:type="dxa"/>
          </w:tcPr>
          <w:p>
            <w:pPr/>
            <w:r>
              <w:t xml:space="preserve">進行中</w:t>
            </w:r>
          </w:p>
        </w:tc>
      </w:tr>
      <w:tr>
        <w:tc>
          <w:tcPr>
            <w:tcW w:w="720" w:type="dxa"/>
          </w:tcPr>
          <w:p>
            <w:pPr/>
            <w:r>
              <w:t xml:space="preserve">9</w:t>
            </w:r>
          </w:p>
        </w:tc>
        <w:tc>
          <w:tcPr>
            <w:tcW w:w="1288" w:type="dxa"/>
          </w:tcPr>
          <w:p>
            <w:pPr/>
            <w:r>
              <w:t xml:space="preserve">沒有多重測試修正</w:t>
            </w:r>
          </w:p>
        </w:tc>
        <w:tc>
          <w:tcPr>
            <w:tcW w:w="3166" w:type="dxa"/>
          </w:tcPr>
          <w:p>
            <w:pPr/>
            <w:r>
              <w:t xml:space="preserve">比較很多設定後挑最好的，Sharpe 會被高估</w:t>
            </w:r>
          </w:p>
        </w:tc>
        <w:tc>
          <w:tcPr>
            <w:tcW w:w="3070" w:type="dxa"/>
          </w:tcPr>
          <w:p>
            <w:pPr/>
            <w:r>
              <w:t xml:space="preserve">Deflated Sharpe Ratio、回測過度擬合機率（PBO）</w:t>
            </w:r>
          </w:p>
        </w:tc>
        <w:tc>
          <w:tcPr>
            <w:tcW w:w="1116" w:type="dxa"/>
          </w:tcPr>
          <w:p>
            <w:pPr/>
            <w:r>
              <w:t xml:space="preserve">尚未開始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10</w:t>
            </w:r>
          </w:p>
        </w:tc>
        <w:tc>
          <w:tcPr>
            <w:tcW w:w="1288" w:type="dxa"/>
          </w:tcPr>
          <w:p>
            <w:pPr/>
            <w:r>
              <w:t xml:space="preserve">只有單一資產</w:t>
            </w:r>
          </w:p>
        </w:tc>
        <w:tc>
          <w:tcPr>
            <w:tcW w:w="3166" w:type="dxa"/>
          </w:tcPr>
          <w:p>
            <w:pPr/>
            <w:r>
              <w:t xml:space="preserve">結論可能只對 USD/TWD 成立</w:t>
            </w:r>
          </w:p>
        </w:tc>
        <w:tc>
          <w:tcPr>
            <w:tcW w:w="3070" w:type="dxa"/>
          </w:tcPr>
          <w:p>
            <w:pPr/>
            <w:r>
              <w:t xml:space="preserve">加 2～3 個匯率與 S&amp;P 500，報告損益兩平成本</w:t>
            </w:r>
          </w:p>
        </w:tc>
        <w:tc>
          <w:tcPr>
            <w:tcW w:w="1116" w:type="dxa"/>
          </w:tcPr>
          <w:p>
            <w:pPr/>
            <w:r>
              <w:t xml:space="preserve">尚未開始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11</w:t>
            </w:r>
          </w:p>
        </w:tc>
        <w:tc>
          <w:tcPr>
            <w:tcW w:w="1288" w:type="dxa"/>
          </w:tcPr>
          <w:p>
            <w:pPr/>
            <w:r>
              <w:t xml:space="preserve">量子是否必要未驗證</w:t>
            </w:r>
          </w:p>
        </w:tc>
        <w:tc>
          <w:tcPr>
            <w:tcW w:w="3166" w:type="dxa"/>
          </w:tcPr>
          <w:p>
            <w:pPr/>
            <w:r>
              <w:t xml:space="preserve">優勢可能來自架構而非量子特性</w:t>
            </w:r>
          </w:p>
        </w:tc>
        <w:tc>
          <w:tcPr>
            <w:tcW w:w="3070" w:type="dxa"/>
          </w:tcPr>
          <w:p>
            <w:pPr/>
            <w:r>
              <w:t xml:space="preserve">拿掉糾纏的 VQC 消融</w:t>
            </w:r>
          </w:p>
        </w:tc>
        <w:tc>
          <w:tcPr>
            <w:tcW w:w="1116" w:type="dxa"/>
          </w:tcPr>
          <w:p>
            <w:pPr/>
            <w:r>
              <w:t xml:space="preserve">尚未開始</w:t>
            </w:r>
          </w:p>
        </w:tc>
      </w:tr>
    </w:tbl>
    <w:p>
      <w:pPr>
        <w:pStyle w:val="Heading2"/>
      </w:pPr>
      <w:r>
        <w:t xml:space="preserve">五、與既有文獻的差異</w:t>
      </w:r>
    </w:p>
    <w:p>
      <w:pPr/>
      <w:r>
        <w:t xml:space="preserve">題目與同實驗室的三篇 QA3C 論文高度重疊；本研究的貢獻在評估方法。這三篇都是單一切分、單次執行、沒有統計檢定，也沒有動作遮罩。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26"/>
        <w:gridCol w:w="2161"/>
        <w:gridCol w:w="827"/>
        <w:gridCol w:w="1746"/>
      </w:tblGrid>
      <w:tr>
        <w:trPr>
          <w:tblHeader/>
        </w:trPr>
        <w:tc>
          <w:tcPr>
            <w:tcW w:w="4626" w:type="dxa"/>
            <w:shd w:val="clear" w:color="auto" w:fill="F2F2F2"/>
          </w:tcPr>
          <w:p>
            <w:pPr/>
            <w:r>
              <w:t xml:space="preserve">文獻</w:t>
            </w:r>
          </w:p>
        </w:tc>
        <w:tc>
          <w:tcPr>
            <w:tcW w:w="2161" w:type="dxa"/>
            <w:shd w:val="clear" w:color="auto" w:fill="F2F2F2"/>
          </w:tcPr>
          <w:p>
            <w:pPr/>
            <w:r>
              <w:t xml:space="preserve">他們做了什麼</w:t>
            </w:r>
          </w:p>
        </w:tc>
        <w:tc>
          <w:tcPr>
            <w:tcW w:w="827" w:type="dxa"/>
            <w:shd w:val="clear" w:color="auto" w:fill="F2F2F2"/>
          </w:tcPr>
          <w:p>
            <w:pPr/>
            <w:r>
              <w:t xml:space="preserve">重疊程度</w:t>
            </w:r>
          </w:p>
        </w:tc>
        <w:tc>
          <w:tcPr>
            <w:tcW w:w="1746" w:type="dxa"/>
            <w:shd w:val="clear" w:color="auto" w:fill="F2F2F2"/>
          </w:tcPr>
          <w:p>
            <w:pPr/>
            <w:r>
              <w:t xml:space="preserve">本研究的差異</w:t>
            </w:r>
          </w:p>
        </w:tc>
      </w:tr>
      <w:tr>
        <w:tc>
          <w:tcPr>
            <w:tcW w:w="4626" w:type="dxa"/>
          </w:tcPr>
          <w:p>
            <w:pPr/>
            <w:hyperlink r:id="rId10" w:history="1">
              <w:r>
                <w:rPr>
                  <w:rStyle w:val="Hyperlink"/>
                </w:rPr>
                <w:t xml:space="preserve">Quantum-Enhanced Forecasting for Deep Reinforcement Learning in Algorithmic Trading</w:t>
              </w:r>
            </w:hyperlink>
            <w:r>
              <w:t xml:space="preserve">（IEEE Globecom Workshops 2025，論文二）</w:t>
            </w:r>
          </w:p>
        </w:tc>
        <w:tc>
          <w:tcPr>
            <w:tcW w:w="2161" w:type="dxa"/>
          </w:tcPr>
          <w:p>
            <w:pPr/>
            <w:r>
              <w:t xml:space="preserve">QLSTM＋QA3C 交易 USD/TWD；報酬 11.87%；80/20 單一切分、單次執行、無成本</w:t>
            </w:r>
          </w:p>
        </w:tc>
        <w:tc>
          <w:tcPr>
            <w:tcW w:w="827" w:type="dxa"/>
          </w:tcPr>
          <w:p>
            <w:pPr/>
            <w:r>
              <w:t xml:space="preserve">高：被檢驗的論文</w:t>
            </w:r>
          </w:p>
        </w:tc>
        <w:tc>
          <w:tcPr>
            <w:tcW w:w="1746" w:type="dxa"/>
          </w:tcPr>
          <w:p>
            <w:pPr/>
            <w:r>
              <w:t xml:space="preserve">遮罩、成本、walk-forward、多種子、同參數量古典基準、消融</w:t>
            </w:r>
          </w:p>
        </w:tc>
      </w:tr>
      <w:tr>
        <w:tc>
          <w:tcPr>
            <w:tcW w:w="4626" w:type="dxa"/>
          </w:tcPr>
          <w:p>
            <w:pPr/>
            <w:hyperlink r:id="rId11" w:history="1">
              <w:r>
                <w:rPr>
                  <w:rStyle w:val="Hyperlink"/>
                </w:rPr>
                <w:t xml:space="preserve">Quantum-Enhanced Reinforcement Learning with LSTM Forecasting Signals for Optimizing Fintech Trading Decisions</w:t>
              </w:r>
            </w:hyperlink>
            <w:r>
              <w:t xml:space="preserve">（IEEE QCE 2025）</w:t>
            </w:r>
          </w:p>
        </w:tc>
        <w:tc>
          <w:tcPr>
            <w:tcW w:w="2161" w:type="dxa"/>
          </w:tcPr>
          <w:p>
            <w:pPr/>
            <w:r>
              <w:t xml:space="preserve">古典 vs. 量子 A3C，有無 LSTM 預測訊號；S&amp;P 500 週資料；量子 A3C＋LSTM 累積報酬 30.13%；有成本項但沒給數值</w:t>
            </w:r>
          </w:p>
        </w:tc>
        <w:tc>
          <w:tcPr>
            <w:tcW w:w="827" w:type="dxa"/>
          </w:tcPr>
          <w:p>
            <w:pPr/>
            <w:r>
              <w:t xml:space="preserve">高：同樣的比較</w:t>
            </w:r>
          </w:p>
        </w:tc>
        <w:tc>
          <w:tcPr>
            <w:tcW w:w="1746" w:type="dxa"/>
          </w:tcPr>
          <w:p>
            <w:pPr/>
            <w:r>
              <w:t xml:space="preserve">成本為明確數值並掃描三種；多種子＋成對檢定；預測器消融含理想上限</w:t>
            </w:r>
          </w:p>
        </w:tc>
      </w:tr>
      <w:tr>
        <w:tc>
          <w:tcPr>
            <w:tcW w:w="4626" w:type="dxa"/>
          </w:tcPr>
          <w:p>
            <w:pPr/>
            <w:hyperlink r:id="rId12" w:history="1">
              <w:r>
                <w:rPr>
                  <w:rStyle w:val="Hyperlink"/>
                </w:rPr>
                <w:t xml:space="preserve">Q-A3C2: Quantum Reinforcement Learning with Time-Series Dynamic Clustering for Adaptive ETF Stock Selection</w:t>
              </w:r>
            </w:hyperlink>
            <w:r>
              <w:t xml:space="preserve">（IEEE ICASSP 2026）</w:t>
            </w:r>
          </w:p>
        </w:tc>
        <w:tc>
          <w:tcPr>
            <w:tcW w:w="2161" w:type="dxa"/>
          </w:tcPr>
          <w:p>
            <w:pPr/>
            <w:r>
              <w:t xml:space="preserve">VQC 放進 A3C 策略網路＋動態分群選 ETF；報酬 17.09% vs. 大盤 7.09%；無成本、無種子變異</w:t>
            </w:r>
          </w:p>
        </w:tc>
        <w:tc>
          <w:tcPr>
            <w:tcW w:w="827" w:type="dxa"/>
          </w:tcPr>
          <w:p>
            <w:pPr/>
            <w:r>
              <w:t xml:space="preserve">高</w:t>
            </w:r>
          </w:p>
        </w:tc>
        <w:tc>
          <w:tcPr>
            <w:tcW w:w="1746" w:type="dxa"/>
          </w:tcPr>
          <w:p>
            <w:pPr/>
            <w:r>
              <w:t xml:space="preserve">同上；報告成本敏感度與統計顯著性</w:t>
            </w:r>
          </w:p>
        </w:tc>
      </w:tr>
      <w:tr>
        <w:tc>
          <w:tcPr>
            <w:tcW w:w="4626" w:type="dxa"/>
          </w:tcPr>
          <w:p>
            <w:pPr/>
            <w:hyperlink r:id="rId13" w:history="1">
              <w:r>
                <w:rPr>
                  <w:rStyle w:val="Hyperlink"/>
                </w:rPr>
                <w:t xml:space="preserve">Differentiable Quantum Architecture Search in Asynchronous Quantum Reinforcement Learning</w:t>
              </w:r>
            </w:hyperlink>
            <w:r>
              <w:t xml:space="preserve">（IEEE QCE 2024）</w:t>
            </w:r>
          </w:p>
        </w:tc>
        <w:tc>
          <w:tcPr>
            <w:tcW w:w="2161" w:type="dxa"/>
          </w:tcPr>
          <w:p>
            <w:pPr/>
            <w:r>
              <w:t xml:space="preserve">用可微分架構搜尋設計 QA3C 的電路，並用非同步訓練加速</w:t>
            </w:r>
          </w:p>
        </w:tc>
        <w:tc>
          <w:tcPr>
            <w:tcW w:w="827" w:type="dxa"/>
          </w:tcPr>
          <w:p>
            <w:pPr/>
            <w:r>
              <w:t xml:space="preserve">中：QA3C 方法改進</w:t>
            </w:r>
          </w:p>
        </w:tc>
        <w:tc>
          <w:tcPr>
            <w:tcW w:w="1746" w:type="dxa"/>
          </w:tcPr>
          <w:p>
            <w:pPr/>
            <w:r>
              <w:t xml:space="preserve">他們在一般 RL 任務；本研究檢驗 QA3C 在有成本交易環境的表現</w:t>
            </w:r>
          </w:p>
        </w:tc>
      </w:tr>
      <w:tr>
        <w:tc>
          <w:tcPr>
            <w:tcW w:w="4626" w:type="dxa"/>
          </w:tcPr>
          <w:p>
            <w:pPr/>
            <w:hyperlink r:id="rId7" w:history="1">
              <w:r>
                <w:rPr>
                  <w:rStyle w:val="Hyperlink"/>
                </w:rPr>
                <w:t xml:space="preserve">Asynchronous training of quantum reinforcement learning</w:t>
              </w:r>
            </w:hyperlink>
            <w:r>
              <w:t xml:space="preserve">（Procedia Computer Science 2023）；</w:t>
            </w:r>
            <w:hyperlink r:id="rId14" w:history="1">
              <w:r>
                <w:rPr>
                  <w:rStyle w:val="Hyperlink"/>
                </w:rPr>
                <w:t xml:space="preserve">Variational Quantum Circuits for Deep Reinforcement Learning</w:t>
              </w:r>
            </w:hyperlink>
            <w:r>
              <w:t xml:space="preserve">（IEEE Access 2020）</w:t>
            </w:r>
          </w:p>
        </w:tc>
        <w:tc>
          <w:tcPr>
            <w:tcW w:w="2161" w:type="dxa"/>
          </w:tcPr>
          <w:p>
            <w:pPr/>
            <w:r>
              <w:t xml:space="preserve">QA3C 與 VQC 強化學習的原始方法</w:t>
            </w:r>
          </w:p>
        </w:tc>
        <w:tc>
          <w:tcPr>
            <w:tcW w:w="827" w:type="dxa"/>
          </w:tcPr>
          <w:p>
            <w:pPr/>
            <w:r>
              <w:t xml:space="preserve">中：方法來源</w:t>
            </w:r>
          </w:p>
        </w:tc>
        <w:tc>
          <w:tcPr>
            <w:tcW w:w="1746" w:type="dxa"/>
          </w:tcPr>
          <w:p>
            <w:pPr/>
            <w:r>
              <w:t xml:space="preserve">檢驗這些方法在金融交易是否成立</w:t>
            </w:r>
          </w:p>
        </w:tc>
      </w:tr>
      <w:tr>
        <w:tc>
          <w:tcPr>
            <w:tcW w:w="4626" w:type="dxa"/>
          </w:tcPr>
          <w:p>
            <w:pPr/>
            <w:hyperlink r:id="rId15" w:history="1">
              <w:r>
                <w:rPr>
                  <w:rStyle w:val="Hyperlink"/>
                </w:rPr>
                <w:t xml:space="preserve">QADQN: Quantum Attention Deep Q-Network for Financial Market Prediction</w:t>
              </w:r>
            </w:hyperlink>
            <w:r>
              <w:t xml:space="preserve">（IEEE QCE 2024）</w:t>
            </w:r>
          </w:p>
        </w:tc>
        <w:tc>
          <w:tcPr>
            <w:tcW w:w="2161" w:type="dxa"/>
          </w:tcPr>
          <w:p>
            <w:pPr/>
            <w:r>
              <w:t xml:space="preserve">VQC 放進 DQN 交易，含固定交易成本</w:t>
            </w:r>
          </w:p>
        </w:tc>
        <w:tc>
          <w:tcPr>
            <w:tcW w:w="827" w:type="dxa"/>
          </w:tcPr>
          <w:p>
            <w:pPr/>
            <w:r>
              <w:t xml:space="preserve">中：量子 RL 交易＋成本</w:t>
            </w:r>
          </w:p>
        </w:tc>
        <w:tc>
          <w:tcPr>
            <w:tcW w:w="1746" w:type="dxa"/>
          </w:tcPr>
          <w:p>
            <w:pPr/>
            <w:r>
              <w:t xml:space="preserve">不同演算法（DQN）；本研究專注 QA3C 系列並做消融</w:t>
            </w:r>
          </w:p>
        </w:tc>
      </w:tr>
      <w:tr>
        <w:tc>
          <w:tcPr>
            <w:tcW w:w="4626" w:type="dxa"/>
          </w:tcPr>
          <w:p>
            <w:pPr/>
            <w:hyperlink r:id="rId16" w:history="1">
              <w:r>
                <w:rPr>
                  <w:rStyle w:val="Hyperlink"/>
                </w:rPr>
                <w:t xml:space="preserve">Deep Robust Reinforcement Learning for Practical Algorithmic Trading</w:t>
              </w:r>
            </w:hyperlink>
            <w:r>
              <w:t xml:space="preserve">（IEEE Access 2019）</w:t>
            </w:r>
          </w:p>
        </w:tc>
        <w:tc>
          <w:tcPr>
            <w:tcW w:w="2161" w:type="dxa"/>
          </w:tcPr>
          <w:p>
            <w:pPr/>
            <w:r>
              <w:t xml:space="preserve">改良 DQN 與 A3C 用於交易</w:t>
            </w:r>
          </w:p>
        </w:tc>
        <w:tc>
          <w:tcPr>
            <w:tcW w:w="827" w:type="dxa"/>
          </w:tcPr>
          <w:p>
            <w:pPr/>
            <w:r>
              <w:t xml:space="preserve">中：古典 A3C 交易</w:t>
            </w:r>
          </w:p>
        </w:tc>
        <w:tc>
          <w:tcPr>
            <w:tcW w:w="1746" w:type="dxa"/>
          </w:tcPr>
          <w:p>
            <w:pPr/>
            <w:r>
              <w:t xml:space="preserve">本研究用參數量相同的古典 A3C 當公平對照</w:t>
            </w:r>
          </w:p>
        </w:tc>
      </w:tr>
      <w:tr>
        <w:tc>
          <w:tcPr>
            <w:tcW w:w="4626" w:type="dxa"/>
          </w:tcPr>
          <w:p>
            <w:pPr/>
            <w:hyperlink r:id="rId17" w:history="1">
              <w:r>
                <w:rPr>
                  <w:rStyle w:val="Hyperlink"/>
                </w:rPr>
                <w:t xml:space="preserve">Learning to trade via direct reinforcement</w:t>
              </w:r>
            </w:hyperlink>
            <w:r>
              <w:t xml:space="preserve">（IEEE TNN 2001）；</w:t>
            </w:r>
            <w:hyperlink r:id="rId18" w:history="1">
              <w:r>
                <w:rPr>
                  <w:rStyle w:val="Hyperlink"/>
                </w:rPr>
                <w:t xml:space="preserve">Deep Direct Reinforcement Learning for Financial Signal Representation and Trading</w:t>
              </w:r>
            </w:hyperlink>
            <w:r>
              <w:t xml:space="preserve">（IEEE TNNLS 2017）</w:t>
            </w:r>
          </w:p>
        </w:tc>
        <w:tc>
          <w:tcPr>
            <w:tcW w:w="2161" w:type="dxa"/>
          </w:tcPr>
          <w:p>
            <w:pPr/>
            <w:r>
              <w:t xml:space="preserve">直接強化學習交易，訓練目標含交易成本與風險調整報酬</w:t>
            </w:r>
          </w:p>
        </w:tc>
        <w:tc>
          <w:tcPr>
            <w:tcW w:w="827" w:type="dxa"/>
          </w:tcPr>
          <w:p>
            <w:pPr/>
            <w:r>
              <w:t xml:space="preserve">中：成本與獎勵設計</w:t>
            </w:r>
          </w:p>
        </w:tc>
        <w:tc>
          <w:tcPr>
            <w:tcW w:w="1746" w:type="dxa"/>
          </w:tcPr>
          <w:p>
            <w:pPr/>
            <w:r>
              <w:t xml:space="preserve">把古典做法（成本、風險調整獎勵）帶進量子代理人的評估</w:t>
            </w:r>
          </w:p>
        </w:tc>
      </w:tr>
      <w:tr>
        <w:tc>
          <w:tcPr>
            <w:tcW w:w="4626" w:type="dxa"/>
          </w:tcPr>
          <w:p>
            <w:pPr/>
            <w:hyperlink r:id="rId19" w:history="1">
              <w:r>
                <w:rPr>
                  <w:rStyle w:val="Hyperlink"/>
                </w:rPr>
                <w:t xml:space="preserve">A Mean-VaR Based Deep Reinforcement Learning Framework for Practical Algorithmic Trading</w:t>
              </w:r>
            </w:hyperlink>
            <w:r>
              <w:t xml:space="preserve">（IEEE Access 2023）</w:t>
            </w:r>
          </w:p>
        </w:tc>
        <w:tc>
          <w:tcPr>
            <w:tcW w:w="2161" w:type="dxa"/>
          </w:tcPr>
          <w:p>
            <w:pPr/>
            <w:r>
              <w:t xml:space="preserve">以 mean-VaR 風險目標設計 actor-critic 交易</w:t>
            </w:r>
          </w:p>
        </w:tc>
        <w:tc>
          <w:tcPr>
            <w:tcW w:w="827" w:type="dxa"/>
          </w:tcPr>
          <w:p>
            <w:pPr/>
            <w:r>
              <w:t xml:space="preserve">低：風險調整目標</w:t>
            </w:r>
          </w:p>
        </w:tc>
        <w:tc>
          <w:tcPr>
            <w:tcW w:w="1746" w:type="dxa"/>
          </w:tcPr>
          <w:p>
            <w:pPr/>
            <w:r>
              <w:t xml:space="preserve">可作為後續獎勵設計的對照</w:t>
            </w:r>
          </w:p>
        </w:tc>
      </w:tr>
      <w:tr>
        <w:tc>
          <w:tcPr>
            <w:tcW w:w="4626" w:type="dxa"/>
          </w:tcPr>
          <w:p>
            <w:pPr/>
            <w:hyperlink r:id="rId20" w:history="1">
              <w:r>
                <w:rPr>
                  <w:rStyle w:val="Hyperlink"/>
                </w:rPr>
                <w:t xml:space="preserve">FinRL Contests: Data-Driven Financial Reinforcement Learning Agents for Stock and Crypto Trading</w:t>
              </w:r>
            </w:hyperlink>
            <w:r>
              <w:t xml:space="preserve">（IET Artificial Intelligence for Engineering 2025）</w:t>
            </w:r>
          </w:p>
        </w:tc>
        <w:tc>
          <w:tcPr>
            <w:tcW w:w="2161" w:type="dxa"/>
          </w:tcPr>
          <w:p>
            <w:pPr/>
            <w:r>
              <w:t xml:space="preserve">指出金融 RL 缺乏標準任務、接近真實的市場環境與穩健基準，導致難以重現</w:t>
            </w:r>
          </w:p>
        </w:tc>
        <w:tc>
          <w:tcPr>
            <w:tcW w:w="827" w:type="dxa"/>
          </w:tcPr>
          <w:p>
            <w:pPr/>
            <w:r>
              <w:t xml:space="preserve">中：可重現性問題</w:t>
            </w:r>
          </w:p>
        </w:tc>
        <w:tc>
          <w:tcPr>
            <w:tcW w:w="1746" w:type="dxa"/>
          </w:tcPr>
          <w:p>
            <w:pPr/>
            <w:r>
              <w:t xml:space="preserve">本研究提供 QA3C 交易的公開環境規格與多種子基準</w:t>
            </w:r>
          </w:p>
        </w:tc>
      </w:tr>
      <w:tr>
        <w:tc>
          <w:tcPr>
            <w:tcW w:w="4626" w:type="dxa"/>
          </w:tcPr>
          <w:p>
            <w:pPr/>
            <w:hyperlink r:id="rId21" w:history="1">
              <w:r>
                <w:rPr>
                  <w:rStyle w:val="Hyperlink"/>
                </w:rPr>
                <w:t xml:space="preserve">A Closer Look at Invalid Action Masking in Policy Gradient Algorithms</w:t>
              </w:r>
            </w:hyperlink>
            <w:r>
              <w:t xml:space="preserve">（FLAIRS 2022）；</w:t>
            </w:r>
            <w:hyperlink r:id="rId22" w:history="1">
              <w:r>
                <w:rPr>
                  <w:rStyle w:val="Hyperlink"/>
                </w:rPr>
                <w:t xml:space="preserve">Defining and Characterizing Reward Hacking</w:t>
              </w:r>
            </w:hyperlink>
            <w:r>
              <w:t xml:space="preserve">（NeurIPS 2022）</w:t>
            </w:r>
          </w:p>
        </w:tc>
        <w:tc>
          <w:tcPr>
            <w:tcW w:w="2161" w:type="dxa"/>
          </w:tcPr>
          <w:p>
            <w:pPr/>
            <w:r>
              <w:t xml:space="preserve">動作遮罩保持策略梯度有效；獎勵被鑽漏洞的形式化定義</w:t>
            </w:r>
          </w:p>
        </w:tc>
        <w:tc>
          <w:tcPr>
            <w:tcW w:w="827" w:type="dxa"/>
          </w:tcPr>
          <w:p>
            <w:pPr/>
            <w:r>
              <w:t xml:space="preserve">中：理論依據</w:t>
            </w:r>
          </w:p>
        </w:tc>
        <w:tc>
          <w:tcPr>
            <w:tcW w:w="1746" w:type="dxa"/>
          </w:tcPr>
          <w:p>
            <w:pPr/>
            <w:r>
              <w:t xml:space="preserve">本研究提供交易中的具體案例：從不持有、用無效賣出空手</w:t>
            </w:r>
          </w:p>
        </w:tc>
      </w:tr>
      <w:tr>
        <w:tc>
          <w:tcPr>
            <w:tcW w:w="4626" w:type="dxa"/>
          </w:tcPr>
          <w:p>
            <w:pPr/>
            <w:hyperlink r:id="rId23" w:history="1">
              <w:r>
                <w:rPr>
                  <w:rStyle w:val="Hyperlink"/>
                </w:rPr>
                <w:t xml:space="preserve">The Deflated Sharpe Ratio: Correcting for Selection Bias, Backtest Overfitting, and Non-Normality</w:t>
              </w:r>
            </w:hyperlink>
            <w:r>
              <w:t xml:space="preserve">；</w:t>
            </w:r>
            <w:hyperlink r:id="rId24" w:history="1">
              <w:r>
                <w:rPr>
                  <w:rStyle w:val="Hyperlink"/>
                </w:rPr>
                <w:t xml:space="preserve">The Probability of Backtest Overfitting</w:t>
              </w:r>
            </w:hyperlink>
            <w:r>
              <w:t xml:space="preserve">；</w:t>
            </w:r>
            <w:hyperlink r:id="rId25" w:history="1">
              <w:r>
                <w:rPr>
                  <w:rStyle w:val="Hyperlink"/>
                </w:rPr>
                <w:t xml:space="preserve">Backtesting</w:t>
              </w:r>
            </w:hyperlink>
          </w:p>
        </w:tc>
        <w:tc>
          <w:tcPr>
            <w:tcW w:w="2161" w:type="dxa"/>
          </w:tcPr>
          <w:p>
            <w:pPr/>
            <w:r>
              <w:t xml:space="preserve">修正多重測試造成的 Sharpe 高估、估計回測過度擬合</w:t>
            </w:r>
          </w:p>
        </w:tc>
        <w:tc>
          <w:tcPr>
            <w:tcW w:w="827" w:type="dxa"/>
          </w:tcPr>
          <w:p>
            <w:pPr/>
            <w:r>
              <w:t xml:space="preserve">低：標準工具</w:t>
            </w:r>
          </w:p>
        </w:tc>
        <w:tc>
          <w:tcPr>
            <w:tcW w:w="1746" w:type="dxa"/>
          </w:tcPr>
          <w:p>
            <w:pPr/>
            <w:r>
              <w:t xml:space="preserve">三篇 QA3C 論文都沒有使用</w:t>
            </w:r>
          </w:p>
        </w:tc>
      </w:tr>
    </w:tbl>
    <w:p>
      <w:pPr/>
      <w:r>
        <w:rPr>
          <w:b/>
        </w:rPr>
        <w:t xml:space="preserve">結論</w:t>
      </w:r>
      <w:r>
        <w:t xml:space="preserve">：因為是同一實驗室的研究線，寫成「延伸與強化評估」，並建議和原作者確認論文沒寫的設定。</w:t>
      </w:r>
    </w:p>
    <w:p>
      <w:pPr>
        <w:pStyle w:val="Heading2"/>
      </w:pPr>
      <w:r>
        <w:t xml:space="preserve">六、研究方法與實驗設計</w:t>
      </w:r>
    </w:p>
    <w:p>
      <w:pPr/>
      <w:r>
        <w:t xml:space="preserve">模型與超參數沿用論文二，只改評估方式：加上遮罩、成本、walk-forward 與多個種子。這樣結果的差異只能來自評估，不會來自模型調整。</w:t>
      </w:r>
    </w:p>
    <w:p>
      <w:pPr>
        <w:pStyle w:val="Heading3"/>
      </w:pPr>
      <w:r>
        <w:t xml:space="preserve">1. 資料</w:t>
      </w:r>
    </w:p>
    <w:p>
      <w:pPr>
        <w:pStyle w:val="ListParagraph"/>
        <w:numPr>
          <w:ilvl w:val="0"/>
          <w:numId w:val="3"/>
        </w:numPr>
      </w:pPr>
      <w:r>
        <w:t xml:space="preserve">USD/TWD 日線（Yahoo Finance，TWD=X），用到 2024-12-31；刪除和前後兩天平均差 25% 以上的錯誤報價。</w:t>
      </w:r>
    </w:p>
    <w:p>
      <w:pPr>
        <w:pStyle w:val="ListParagraph"/>
        <w:numPr>
          <w:ilvl w:val="0"/>
          <w:numId w:val="3"/>
        </w:numPr>
      </w:pPr>
      <w:r>
        <w:t xml:space="preserve">狀態是論文的 10 維特徵：預測器的漲／跌機率、現金比例、持倉比例、未實現損益、均價比、價格相對 MA20 與 MA60、MA5 相對 MA20、相對波動度。</w:t>
      </w:r>
    </w:p>
    <w:p>
      <w:pPr>
        <w:pStyle w:val="Heading3"/>
      </w:pPr>
      <w:r>
        <w:t xml:space="preserve">2. 切分（walk-forward，擴張視窗）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57"/>
        <w:gridCol w:w="2046"/>
        <w:gridCol w:w="4041"/>
        <w:gridCol w:w="1814"/>
      </w:tblGrid>
      <w:tr>
        <w:trPr>
          <w:tblHeader/>
        </w:trPr>
        <w:tc>
          <w:tcPr>
            <w:tcW w:w="1457" w:type="dxa"/>
            <w:shd w:val="clear" w:color="auto" w:fill="F2F2F2"/>
          </w:tcPr>
          <w:p>
            <w:pPr/>
            <w:r>
              <w:t xml:space="preserve">Fold</w:t>
            </w:r>
          </w:p>
        </w:tc>
        <w:tc>
          <w:tcPr>
            <w:tcW w:w="2046" w:type="dxa"/>
            <w:shd w:val="clear" w:color="auto" w:fill="F2F2F2"/>
          </w:tcPr>
          <w:p>
            <w:pPr/>
            <w:r>
              <w:t xml:space="preserve">訓練期</w:t>
            </w:r>
          </w:p>
        </w:tc>
        <w:tc>
          <w:tcPr>
            <w:tcW w:w="4041" w:type="dxa"/>
            <w:shd w:val="clear" w:color="auto" w:fill="F2F2F2"/>
          </w:tcPr>
          <w:p>
            <w:pPr/>
            <w:r>
              <w:t xml:space="preserve">驗證期（挑模型）</w:t>
            </w:r>
          </w:p>
        </w:tc>
        <w:tc>
          <w:tcPr>
            <w:tcW w:w="1814" w:type="dxa"/>
            <w:shd w:val="clear" w:color="auto" w:fill="F2F2F2"/>
          </w:tcPr>
          <w:p>
            <w:pPr/>
            <w:r>
              <w:t xml:space="preserve">測試期</w:t>
            </w:r>
          </w:p>
        </w:tc>
      </w:tr>
      <w:tr>
        <w:tc>
          <w:tcPr>
            <w:tcW w:w="1457" w:type="dxa"/>
          </w:tcPr>
          <w:p>
            <w:pPr/>
            <w:r>
              <w:t xml:space="preserve">1</w:t>
            </w:r>
          </w:p>
        </w:tc>
        <w:tc>
          <w:tcPr>
            <w:tcW w:w="2046" w:type="dxa"/>
          </w:tcPr>
          <w:p>
            <w:pPr/>
            <w:r>
              <w:t xml:space="preserve">至 2018</w:t>
            </w:r>
          </w:p>
        </w:tc>
        <w:tc>
          <w:tcPr>
            <w:tcW w:w="4041" w:type="dxa"/>
          </w:tcPr>
          <w:p>
            <w:pPr/>
            <w:r>
              <w:t xml:space="preserve">2019</w:t>
            </w:r>
          </w:p>
        </w:tc>
        <w:tc>
          <w:tcPr>
            <w:tcW w:w="1814" w:type="dxa"/>
          </w:tcPr>
          <w:p>
            <w:pPr/>
            <w:r>
              <w:t xml:space="preserve">2020</w:t>
            </w:r>
          </w:p>
        </w:tc>
      </w:tr>
      <w:tr>
        <w:tc>
          <w:tcPr>
            <w:tcW w:w="1457" w:type="dxa"/>
          </w:tcPr>
          <w:p>
            <w:pPr/>
            <w:r>
              <w:t xml:space="preserve">2</w:t>
            </w:r>
          </w:p>
        </w:tc>
        <w:tc>
          <w:tcPr>
            <w:tcW w:w="2046" w:type="dxa"/>
          </w:tcPr>
          <w:p>
            <w:pPr/>
            <w:r>
              <w:t xml:space="preserve">至 2019</w:t>
            </w:r>
          </w:p>
        </w:tc>
        <w:tc>
          <w:tcPr>
            <w:tcW w:w="4041" w:type="dxa"/>
          </w:tcPr>
          <w:p>
            <w:pPr/>
            <w:r>
              <w:t xml:space="preserve">2020</w:t>
            </w:r>
          </w:p>
        </w:tc>
        <w:tc>
          <w:tcPr>
            <w:tcW w:w="1814" w:type="dxa"/>
          </w:tcPr>
          <w:p>
            <w:pPr/>
            <w:r>
              <w:t xml:space="preserve">2021</w:t>
            </w:r>
          </w:p>
        </w:tc>
      </w:tr>
      <w:tr>
        <w:tc>
          <w:tcPr>
            <w:tcW w:w="1457" w:type="dxa"/>
          </w:tcPr>
          <w:p>
            <w:pPr/>
            <w:r>
              <w:t xml:space="preserve">3</w:t>
            </w:r>
          </w:p>
        </w:tc>
        <w:tc>
          <w:tcPr>
            <w:tcW w:w="2046" w:type="dxa"/>
          </w:tcPr>
          <w:p>
            <w:pPr/>
            <w:r>
              <w:t xml:space="preserve">至 2020</w:t>
            </w:r>
          </w:p>
        </w:tc>
        <w:tc>
          <w:tcPr>
            <w:tcW w:w="4041" w:type="dxa"/>
          </w:tcPr>
          <w:p>
            <w:pPr/>
            <w:r>
              <w:t xml:space="preserve">2021</w:t>
            </w:r>
          </w:p>
        </w:tc>
        <w:tc>
          <w:tcPr>
            <w:tcW w:w="1814" w:type="dxa"/>
          </w:tcPr>
          <w:p>
            <w:pPr/>
            <w:r>
              <w:t xml:space="preserve">2022</w:t>
            </w:r>
          </w:p>
        </w:tc>
      </w:tr>
      <w:tr>
        <w:tc>
          <w:tcPr>
            <w:tcW w:w="1457" w:type="dxa"/>
          </w:tcPr>
          <w:p>
            <w:pPr/>
            <w:r>
              <w:t xml:space="preserve">4</w:t>
            </w:r>
          </w:p>
        </w:tc>
        <w:tc>
          <w:tcPr>
            <w:tcW w:w="2046" w:type="dxa"/>
          </w:tcPr>
          <w:p>
            <w:pPr/>
            <w:r>
              <w:t xml:space="preserve">至 2021</w:t>
            </w:r>
          </w:p>
        </w:tc>
        <w:tc>
          <w:tcPr>
            <w:tcW w:w="4041" w:type="dxa"/>
          </w:tcPr>
          <w:p>
            <w:pPr/>
            <w:r>
              <w:t xml:space="preserve">2022</w:t>
            </w:r>
          </w:p>
        </w:tc>
        <w:tc>
          <w:tcPr>
            <w:tcW w:w="1814" w:type="dxa"/>
          </w:tcPr>
          <w:p>
            <w:pPr/>
            <w:r>
              <w:t xml:space="preserve">2023</w:t>
            </w:r>
          </w:p>
        </w:tc>
      </w:tr>
      <w:tr>
        <w:tc>
          <w:tcPr>
            <w:tcW w:w="1457" w:type="dxa"/>
          </w:tcPr>
          <w:p>
            <w:pPr/>
            <w:r>
              <w:t xml:space="preserve">5</w:t>
            </w:r>
          </w:p>
        </w:tc>
        <w:tc>
          <w:tcPr>
            <w:tcW w:w="2046" w:type="dxa"/>
          </w:tcPr>
          <w:p>
            <w:pPr/>
            <w:r>
              <w:t xml:space="preserve">至 2022</w:t>
            </w:r>
          </w:p>
        </w:tc>
        <w:tc>
          <w:tcPr>
            <w:tcW w:w="4041" w:type="dxa"/>
          </w:tcPr>
          <w:p>
            <w:pPr/>
            <w:r>
              <w:t xml:space="preserve">2023</w:t>
            </w:r>
          </w:p>
        </w:tc>
        <w:tc>
          <w:tcPr>
            <w:tcW w:w="1814" w:type="dxa"/>
          </w:tcPr>
          <w:p>
            <w:pPr/>
            <w:r>
              <w:t xml:space="preserve">2024</w:t>
            </w:r>
          </w:p>
        </w:tc>
      </w:tr>
    </w:tbl>
    <w:p>
      <w:pPr/>
      <w:r>
        <w:t xml:space="preserve">每個 fold 重新訓練預測器與代理人。《</w:t>
      </w:r>
      <w:hyperlink r:id="rId26" w:history="1">
        <w:r>
          <w:rPr>
            <w:rStyle w:val="Hyperlink"/>
          </w:rPr>
          <w:t xml:space="preserve">A Comparative Study of Performance Estimation Methods for Time Series Forecasting</w:t>
        </w:r>
      </w:hyperlink>
      <w:r>
        <w:t xml:space="preserve">》（IEEE DSAA 2017）發現，真實時間序列用保留時間順序的樣本外評估最準。</w:t>
      </w:r>
    </w:p>
    <w:p>
      <w:pPr>
        <w:pStyle w:val="Heading3"/>
      </w:pPr>
      <w:r>
        <w:t xml:space="preserve">3. 交易環境</w:t>
      </w:r>
    </w:p>
    <w:p>
      <w:pPr>
        <w:pStyle w:val="ListParagraph"/>
        <w:numPr>
          <w:ilvl w:val="0"/>
          <w:numId w:val="4"/>
        </w:numPr>
      </w:pPr>
      <w:r>
        <w:t xml:space="preserve">動作：持有／買 1 單位／全部賣出；只做多；初始資金 10 單位。</w:t>
      </w:r>
    </w:p>
    <w:p>
      <w:pPr>
        <w:pStyle w:val="ListParagraph"/>
        <w:numPr>
          <w:ilvl w:val="0"/>
          <w:numId w:val="4"/>
        </w:numPr>
      </w:pPr>
      <w:r>
        <w:t xml:space="preserve">動作遮罩：現金不足不能買、沒有部位不能賣。做法依《</w:t>
      </w:r>
      <w:hyperlink r:id="rId21" w:history="1">
        <w:r>
          <w:rPr>
            <w:rStyle w:val="Hyperlink"/>
          </w:rPr>
          <w:t xml:space="preserve">A Closer Look at Invalid Action Masking in Policy Gradient Algorithms</w:t>
        </w:r>
      </w:hyperlink>
      <w:r>
        <w:t xml:space="preserve">》。</w:t>
      </w:r>
    </w:p>
    <w:p>
      <w:pPr>
        <w:pStyle w:val="ListParagraph"/>
        <w:numPr>
          <w:ilvl w:val="0"/>
          <w:numId w:val="4"/>
        </w:numPr>
      </w:pPr>
      <w:r>
        <w:t xml:space="preserve">交易成本：買進付 p×(1+c)、賣出收 p×(1−c)；訓練 c = 0.05%，測試 c = 0／0.05%／0.1%。</w:t>
      </w:r>
    </w:p>
    <w:p>
      <w:pPr>
        <w:pStyle w:val="ListParagraph"/>
        <w:numPr>
          <w:ilvl w:val="0"/>
          <w:numId w:val="4"/>
        </w:numPr>
      </w:pPr>
      <w:r>
        <w:t xml:space="preserve">獎勵兩種：log 報酬（如下式，V 為現金加持倉市值，成本直接反映在 V 上）；論文獎勵（Table III，含成本，虧損出場改為 −2 − 10×|pnl%|）。</w:t>
      </w:r>
    </w:p>
    <w:p>
      <w:pPr>
        <w:pStyle w:val="Code"/>
      </w:pPr>
      <w:bookmarkStart w:id="1" w:name="bongo_lang_latex_1"/>
      <w:bookmarkEnd w:id="1"/>
      <w:r>
        <w:t xml:space="preserve">r_t = 100 \ln\left(\frac{V_{t+1}}{V_t}\right)</w:t>
      </w:r>
    </w:p>
    <w:p>
      <w:pPr>
        <w:pStyle w:val="Heading3"/>
      </w:pPr>
      <w:r>
        <w:t xml:space="preserve">4. 代理人與基準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04"/>
        <w:gridCol w:w="6391"/>
        <w:gridCol w:w="1163"/>
      </w:tblGrid>
      <w:tr>
        <w:trPr>
          <w:tblHeader/>
        </w:trPr>
        <w:tc>
          <w:tcPr>
            <w:tcW w:w="1804" w:type="dxa"/>
            <w:shd w:val="clear" w:color="auto" w:fill="F2F2F2"/>
          </w:tcPr>
          <w:p>
            <w:pPr/>
            <w:r>
              <w:t xml:space="preserve">代理人</w:t>
            </w:r>
          </w:p>
        </w:tc>
        <w:tc>
          <w:tcPr>
            <w:tcW w:w="6391" w:type="dxa"/>
            <w:shd w:val="clear" w:color="auto" w:fill="F2F2F2"/>
          </w:tcPr>
          <w:p>
            <w:pPr/>
            <w:r>
              <w:t xml:space="preserve">說明</w:t>
            </w:r>
          </w:p>
        </w:tc>
        <w:tc>
          <w:tcPr>
            <w:tcW w:w="1163" w:type="dxa"/>
            <w:shd w:val="clear" w:color="auto" w:fill="F2F2F2"/>
          </w:tcPr>
          <w:p>
            <w:pPr/>
            <w:r>
              <w:t xml:space="preserve">參數量</w:t>
            </w:r>
          </w:p>
        </w:tc>
      </w:tr>
      <w:tr>
        <w:tc>
          <w:tcPr>
            <w:tcW w:w="1804" w:type="dxa"/>
          </w:tcPr>
          <w:p>
            <w:pPr/>
            <w:r>
              <w:t xml:space="preserve">QA3C</w:t>
            </w:r>
          </w:p>
        </w:tc>
        <w:tc>
          <w:tcPr>
            <w:tcW w:w="6391" w:type="dxa"/>
          </w:tcPr>
          <w:p>
            <w:pPr/>
            <w:r>
              <w:t xml:space="preserve">8-qubit VQC 的 actor 與 critic；用主論文的批次模擬器加速，輸出與 PennyLane 差異 &lt; 1e-15</w:t>
            </w:r>
          </w:p>
        </w:tc>
        <w:tc>
          <w:tcPr>
            <w:tcW w:w="1163" w:type="dxa"/>
          </w:tcPr>
          <w:p>
            <w:pPr/>
            <w:r>
              <w:t xml:space="preserve">244</w:t>
            </w:r>
          </w:p>
        </w:tc>
      </w:tr>
      <w:tr>
        <w:tc>
          <w:tcPr>
            <w:tcW w:w="1804" w:type="dxa"/>
          </w:tcPr>
          <w:p>
            <w:pPr/>
            <w:r>
              <w:t xml:space="preserve">A3C_small</w:t>
            </w:r>
          </w:p>
        </w:tc>
        <w:tc>
          <w:tcPr>
            <w:tcW w:w="6391" w:type="dxa"/>
          </w:tcPr>
          <w:p>
            <w:pPr/>
            <w:r>
              <w:t xml:space="preserve">古典 A3C，隱藏層 9（參數量和 QA3C 相同）</w:t>
            </w:r>
          </w:p>
        </w:tc>
        <w:tc>
          <w:tcPr>
            <w:tcW w:w="1163" w:type="dxa"/>
          </w:tcPr>
          <w:p>
            <w:pPr/>
            <w:r>
              <w:t xml:space="preserve">238</w:t>
            </w:r>
          </w:p>
        </w:tc>
      </w:tr>
      <w:tr>
        <w:tc>
          <w:tcPr>
            <w:tcW w:w="1804" w:type="dxa"/>
          </w:tcPr>
          <w:p>
            <w:pPr/>
            <w:r>
              <w:t xml:space="preserve">A3C</w:t>
            </w:r>
          </w:p>
        </w:tc>
        <w:tc>
          <w:tcPr>
            <w:tcW w:w="6391" w:type="dxa"/>
          </w:tcPr>
          <w:p>
            <w:pPr/>
            <w:r>
              <w:t xml:space="preserve">論文的古典基準，隱藏層 128</w:t>
            </w:r>
          </w:p>
        </w:tc>
        <w:tc>
          <w:tcPr>
            <w:tcW w:w="1163" w:type="dxa"/>
          </w:tcPr>
          <w:p>
            <w:pPr/>
            <w:r>
              <w:t xml:space="preserve">3,332</w:t>
            </w:r>
          </w:p>
        </w:tc>
      </w:tr>
      <w:tr>
        <w:tc>
          <w:tcPr>
            <w:tcW w:w="1804" w:type="dxa"/>
          </w:tcPr>
          <w:p>
            <w:pPr/>
            <w:r>
              <w:t xml:space="preserve">規則型</w:t>
            </w:r>
          </w:p>
        </w:tc>
        <w:tc>
          <w:tcPr>
            <w:tcW w:w="6391" w:type="dxa"/>
          </w:tcPr>
          <w:p>
            <w:pPr/>
            <w:r>
              <w:t xml:space="preserve">買進持有、MA5／MA20 均線、隨機（20 個種子，只選有效動作）</w:t>
            </w:r>
          </w:p>
        </w:tc>
        <w:tc>
          <w:tcPr>
            <w:tcW w:w="1163" w:type="dxa"/>
          </w:tcPr>
          <w:p>
            <w:pPr/>
            <w:r>
              <w:t xml:space="preserve">—</w:t>
            </w:r>
          </w:p>
        </w:tc>
      </w:tr>
    </w:tbl>
    <w:p>
      <w:pPr>
        <w:pStyle w:val="Heading3"/>
      </w:pPr>
      <w:r>
        <w:t xml:space="preserve">5. 訓練</w:t>
      </w:r>
    </w:p>
    <w:p>
      <w:pPr>
        <w:pStyle w:val="ListParagraph"/>
        <w:numPr>
          <w:ilvl w:val="0"/>
          <w:numId w:val="5"/>
        </w:numPr>
      </w:pPr>
      <w:r>
        <w:t xml:space="preserve">和論文相同：8 個 worker、rollout 30、Shared Adam lr 1e-5（betas 0.92／0.999）、γ 0.995、熵係數 0.05、1,600 個 episode。</w:t>
      </w:r>
    </w:p>
    <w:p>
      <w:pPr>
        <w:pStyle w:val="ListParagraph"/>
        <w:numPr>
          <w:ilvl w:val="0"/>
          <w:numId w:val="5"/>
        </w:numPr>
      </w:pPr>
      <w:r>
        <w:t xml:space="preserve">每 100 個 episode 在驗證年評估一次，取驗證 Sharpe 最高的權重做測試，也報告最後一個 episode 的結果。</w:t>
      </w:r>
    </w:p>
    <w:p>
      <w:pPr>
        <w:pStyle w:val="ListParagraph"/>
        <w:numPr>
          <w:ilvl w:val="0"/>
          <w:numId w:val="5"/>
        </w:numPr>
      </w:pPr>
      <w:r>
        <w:t xml:space="preserve">預測器：論文的 QLSTM（hidden 2、RMSprop 5e-3、加權交叉熵、50 epochs），標籤為 5 天後漲跌超過 1.2%，每個 fold 只用訓練期資料。</w:t>
      </w:r>
    </w:p>
    <w:p>
      <w:pPr>
        <w:pStyle w:val="Heading3"/>
      </w:pPr>
      <w:r>
        <w:t xml:space="preserve">6. 實驗組合（共 105 次訓練）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92"/>
        <w:gridCol w:w="1329"/>
        <w:gridCol w:w="1116"/>
        <w:gridCol w:w="1973"/>
        <w:gridCol w:w="2529"/>
        <w:gridCol w:w="720"/>
      </w:tblGrid>
      <w:tr>
        <w:trPr>
          <w:tblHeader/>
        </w:trPr>
        <w:tc>
          <w:tcPr>
            <w:tcW w:w="1692" w:type="dxa"/>
            <w:shd w:val="clear" w:color="auto" w:fill="F2F2F2"/>
          </w:tcPr>
          <w:p>
            <w:pPr/>
            <w:r>
              <w:t xml:space="preserve">實驗</w:t>
            </w:r>
          </w:p>
        </w:tc>
        <w:tc>
          <w:tcPr>
            <w:tcW w:w="1329" w:type="dxa"/>
            <w:shd w:val="clear" w:color="auto" w:fill="F2F2F2"/>
          </w:tcPr>
          <w:p>
            <w:pPr/>
            <w:r>
              <w:t xml:space="preserve">回答</w:t>
            </w:r>
          </w:p>
        </w:tc>
        <w:tc>
          <w:tcPr>
            <w:tcW w:w="1116" w:type="dxa"/>
            <w:shd w:val="clear" w:color="auto" w:fill="F2F2F2"/>
          </w:tcPr>
          <w:p>
            <w:pPr/>
            <w:r>
              <w:t xml:space="preserve">獎勵</w:t>
            </w:r>
          </w:p>
        </w:tc>
        <w:tc>
          <w:tcPr>
            <w:tcW w:w="1973" w:type="dxa"/>
            <w:shd w:val="clear" w:color="auto" w:fill="F2F2F2"/>
          </w:tcPr>
          <w:p>
            <w:pPr/>
            <w:r>
              <w:t xml:space="preserve">預測器</w:t>
            </w:r>
          </w:p>
        </w:tc>
        <w:tc>
          <w:tcPr>
            <w:tcW w:w="2529" w:type="dxa"/>
            <w:shd w:val="clear" w:color="auto" w:fill="F2F2F2"/>
          </w:tcPr>
          <w:p>
            <w:pPr/>
            <w:r>
              <w:t xml:space="preserve">代理人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次數</w:t>
            </w:r>
          </w:p>
        </w:tc>
      </w:tr>
      <w:tr>
        <w:tc>
          <w:tcPr>
            <w:tcW w:w="1692" w:type="dxa"/>
          </w:tcPr>
          <w:p>
            <w:pPr/>
            <w:r>
              <w:t xml:space="preserve">E1 主實驗</w:t>
            </w:r>
          </w:p>
        </w:tc>
        <w:tc>
          <w:tcPr>
            <w:tcW w:w="1329" w:type="dxa"/>
          </w:tcPr>
          <w:p>
            <w:pPr/>
            <w:r>
              <w:t xml:space="preserve">RQ1、RQ2、RQ5</w:t>
            </w:r>
          </w:p>
        </w:tc>
        <w:tc>
          <w:tcPr>
            <w:tcW w:w="1116" w:type="dxa"/>
          </w:tcPr>
          <w:p>
            <w:pPr/>
            <w:r>
              <w:t xml:space="preserve">log 報酬</w:t>
            </w:r>
          </w:p>
        </w:tc>
        <w:tc>
          <w:tcPr>
            <w:tcW w:w="1973" w:type="dxa"/>
          </w:tcPr>
          <w:p>
            <w:pPr/>
            <w:r>
              <w:t xml:space="preserve">QLSTM</w:t>
            </w:r>
          </w:p>
        </w:tc>
        <w:tc>
          <w:tcPr>
            <w:tcW w:w="2529" w:type="dxa"/>
          </w:tcPr>
          <w:p>
            <w:pPr/>
            <w:r>
              <w:t xml:space="preserve">QA3C、A3C_small、A3C</w:t>
            </w:r>
          </w:p>
        </w:tc>
        <w:tc>
          <w:tcPr>
            <w:tcW w:w="720" w:type="dxa"/>
          </w:tcPr>
          <w:p>
            <w:pPr/>
            <w:r>
              <w:t xml:space="preserve">45</w:t>
            </w:r>
          </w:p>
        </w:tc>
      </w:tr>
      <w:tr>
        <w:tc>
          <w:tcPr>
            <w:tcW w:w="1692" w:type="dxa"/>
          </w:tcPr>
          <w:p>
            <w:pPr/>
            <w:r>
              <w:t xml:space="preserve">E2 獎勵消融</w:t>
            </w:r>
          </w:p>
        </w:tc>
        <w:tc>
          <w:tcPr>
            <w:tcW w:w="1329" w:type="dxa"/>
          </w:tcPr>
          <w:p>
            <w:pPr/>
            <w:r>
              <w:t xml:space="preserve">RQ3</w:t>
            </w:r>
          </w:p>
        </w:tc>
        <w:tc>
          <w:tcPr>
            <w:tcW w:w="1116" w:type="dxa"/>
          </w:tcPr>
          <w:p>
            <w:pPr/>
            <w:r>
              <w:t xml:space="preserve">論文獎勵</w:t>
            </w:r>
          </w:p>
        </w:tc>
        <w:tc>
          <w:tcPr>
            <w:tcW w:w="1973" w:type="dxa"/>
          </w:tcPr>
          <w:p>
            <w:pPr/>
            <w:r>
              <w:t xml:space="preserve">QLSTM</w:t>
            </w:r>
          </w:p>
        </w:tc>
        <w:tc>
          <w:tcPr>
            <w:tcW w:w="2529" w:type="dxa"/>
          </w:tcPr>
          <w:p>
            <w:pPr/>
            <w:r>
              <w:t xml:space="preserve">QA3C、A3C_small</w:t>
            </w:r>
          </w:p>
        </w:tc>
        <w:tc>
          <w:tcPr>
            <w:tcW w:w="720" w:type="dxa"/>
          </w:tcPr>
          <w:p>
            <w:pPr/>
            <w:r>
              <w:t xml:space="preserve">30</w:t>
            </w:r>
          </w:p>
        </w:tc>
      </w:tr>
      <w:tr>
        <w:tc>
          <w:tcPr>
            <w:tcW w:w="1692" w:type="dxa"/>
          </w:tcPr>
          <w:p>
            <w:pPr/>
            <w:r>
              <w:t xml:space="preserve">E3 預測器消融</w:t>
            </w:r>
          </w:p>
        </w:tc>
        <w:tc>
          <w:tcPr>
            <w:tcW w:w="1329" w:type="dxa"/>
          </w:tcPr>
          <w:p>
            <w:pPr/>
            <w:r>
              <w:t xml:space="preserve">RQ4</w:t>
            </w:r>
          </w:p>
        </w:tc>
        <w:tc>
          <w:tcPr>
            <w:tcW w:w="1116" w:type="dxa"/>
          </w:tcPr>
          <w:p>
            <w:pPr/>
            <w:r>
              <w:t xml:space="preserve">log 報酬</w:t>
            </w:r>
          </w:p>
        </w:tc>
        <w:tc>
          <w:tcPr>
            <w:tcW w:w="1973" w:type="dxa"/>
          </w:tcPr>
          <w:p>
            <w:pPr/>
            <w:r>
              <w:t xml:space="preserve">無（0.5）、理想（上限）</w:t>
            </w:r>
          </w:p>
        </w:tc>
        <w:tc>
          <w:tcPr>
            <w:tcW w:w="2529" w:type="dxa"/>
          </w:tcPr>
          <w:p>
            <w:pPr/>
            <w:r>
              <w:t xml:space="preserve">A3C_small</w:t>
            </w:r>
          </w:p>
        </w:tc>
        <w:tc>
          <w:tcPr>
            <w:tcW w:w="720" w:type="dxa"/>
          </w:tcPr>
          <w:p>
            <w:pPr/>
            <w:r>
              <w:t xml:space="preserve">30</w:t>
            </w:r>
          </w:p>
        </w:tc>
      </w:tr>
    </w:tbl>
    <w:p>
      <w:pPr/>
      <w:r>
        <w:t xml:space="preserve">每個組合都是 5 個 fold × 3 個種子。理想預測器用到未來 5 天的資訊，只用來看這個環境最多能賺多少。</w:t>
      </w:r>
    </w:p>
    <w:p>
      <w:pPr>
        <w:pStyle w:val="Heading3"/>
      </w:pPr>
      <w:r>
        <w:t xml:space="preserve">7. 評估指標與統計檢定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308"/>
        <w:gridCol w:w="5051"/>
      </w:tblGrid>
      <w:tr>
        <w:trPr>
          <w:tblHeader/>
        </w:trPr>
        <w:tc>
          <w:tcPr>
            <w:tcW w:w="4308" w:type="dxa"/>
            <w:shd w:val="clear" w:color="auto" w:fill="F2F2F2"/>
          </w:tcPr>
          <w:p>
            <w:pPr/>
            <w:r>
              <w:t xml:space="preserve">指標</w:t>
            </w:r>
          </w:p>
        </w:tc>
        <w:tc>
          <w:tcPr>
            <w:tcW w:w="5051" w:type="dxa"/>
            <w:shd w:val="clear" w:color="auto" w:fill="F2F2F2"/>
          </w:tcPr>
          <w:p>
            <w:pPr/>
            <w:r>
              <w:t xml:space="preserve">用途</w:t>
            </w:r>
          </w:p>
        </w:tc>
      </w:tr>
      <w:tr>
        <w:tc>
          <w:tcPr>
            <w:tcW w:w="4308" w:type="dxa"/>
          </w:tcPr>
          <w:p>
            <w:pPr/>
            <w:r>
              <w:t xml:space="preserve">總報酬、年化 Sharpe、最大回撤</w:t>
            </w:r>
          </w:p>
        </w:tc>
        <w:tc>
          <w:tcPr>
            <w:tcW w:w="5051" w:type="dxa"/>
          </w:tcPr>
          <w:p>
            <w:pPr/>
            <w:r>
              <w:t xml:space="preserve">扣成本後的績效，三種成本各算一次</w:t>
            </w:r>
          </w:p>
        </w:tc>
      </w:tr>
      <w:tr>
        <w:tc>
          <w:tcPr>
            <w:tcW w:w="4308" w:type="dxa"/>
          </w:tcPr>
          <w:p>
            <w:pPr/>
            <w:r>
              <w:t xml:space="preserve">交易次數、勝率、持倉比例、付出的成本</w:t>
            </w:r>
          </w:p>
        </w:tc>
        <w:tc>
          <w:tcPr>
            <w:tcW w:w="5051" w:type="dxa"/>
          </w:tcPr>
          <w:p>
            <w:pPr/>
            <w:r>
              <w:t xml:space="preserve">判斷交易型態</w:t>
            </w:r>
          </w:p>
        </w:tc>
      </w:tr>
      <w:tr>
        <w:tc>
          <w:tcPr>
            <w:tcW w:w="4308" w:type="dxa"/>
          </w:tcPr>
          <w:p>
            <w:pPr/>
            <w:r>
              <w:t xml:space="preserve">動作分布</w:t>
            </w:r>
          </w:p>
        </w:tc>
        <w:tc>
          <w:tcPr>
            <w:tcW w:w="5051" w:type="dxa"/>
          </w:tcPr>
          <w:p>
            <w:pPr/>
            <w:r>
              <w:t xml:space="preserve">檢查是否「從不持有」或只用單一動作</w:t>
            </w:r>
          </w:p>
        </w:tc>
      </w:tr>
      <w:tr>
        <w:tc>
          <w:tcPr>
            <w:tcW w:w="4308" w:type="dxa"/>
          </w:tcPr>
          <w:p>
            <w:pPr/>
            <w:r>
              <w:t xml:space="preserve">成對比較</w:t>
            </w:r>
          </w:p>
        </w:tc>
        <w:tc>
          <w:tcPr>
            <w:tcW w:w="5051" w:type="dxa"/>
          </w:tcPr>
          <w:p>
            <w:pPr/>
            <w:r>
              <w:t xml:space="preserve">同 fold、同種子的 QA3C vs. A3C_small（15 對），Wilcoxon 符號等級檢定</w:t>
            </w:r>
          </w:p>
        </w:tc>
      </w:tr>
    </w:tbl>
    <w:p>
      <w:pPr>
        <w:pStyle w:val="Heading3"/>
      </w:pPr>
      <w:r>
        <w:t xml:space="preserve">8. 計算環境</w:t>
      </w:r>
    </w:p>
    <w:p>
      <w:pPr/>
      <w:r>
        <w:t xml:space="preserve">Windows 11、AMD Ryzen 9 9950X3D；QA3C 使用主論文方向 B 的批次模擬器，比 PennyLane 快且結果相同。</w:t>
      </w:r>
    </w:p>
    <w:p>
      <w:pPr>
        <w:pStyle w:val="Heading2"/>
      </w:pPr>
      <w:r>
        <w:t xml:space="preserve">七、目前進度與初步結果</w:t>
      </w:r>
    </w:p>
    <w:p>
      <w:pPr/>
      <w:r>
        <w:t xml:space="preserve">預測器與規則型基準已完成；代理人訓練（105 次）進行中，強化學習的數字等跑完再填。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93"/>
        <w:gridCol w:w="4866"/>
      </w:tblGrid>
      <w:tr>
        <w:trPr>
          <w:tblHeader/>
        </w:trPr>
        <w:tc>
          <w:tcPr>
            <w:tcW w:w="4493" w:type="dxa"/>
            <w:shd w:val="clear" w:color="auto" w:fill="F2F2F2"/>
          </w:tcPr>
          <w:p>
            <w:pPr/>
            <w:r>
              <w:t xml:space="preserve">項目</w:t>
            </w:r>
          </w:p>
        </w:tc>
        <w:tc>
          <w:tcPr>
            <w:tcW w:w="4866" w:type="dxa"/>
            <w:shd w:val="clear" w:color="auto" w:fill="F2F2F2"/>
          </w:tcPr>
          <w:p>
            <w:pPr/>
            <w:r>
              <w:t xml:space="preserve">狀態</w:t>
            </w:r>
          </w:p>
        </w:tc>
      </w:tr>
      <w:tr>
        <w:tc>
          <w:tcPr>
            <w:tcW w:w="4493" w:type="dxa"/>
          </w:tcPr>
          <w:p>
            <w:pPr/>
            <w:r>
              <w:t xml:space="preserve">交易環境（遮罩、成本、兩種獎勵）與程式</w:t>
            </w:r>
          </w:p>
        </w:tc>
        <w:tc>
          <w:tcPr>
            <w:tcW w:w="4866" w:type="dxa"/>
          </w:tcPr>
          <w:p>
            <w:pPr/>
            <w:r>
              <w:t xml:space="preserve">完成</w:t>
            </w:r>
          </w:p>
        </w:tc>
      </w:tr>
      <w:tr>
        <w:tc>
          <w:tcPr>
            <w:tcW w:w="4493" w:type="dxa"/>
          </w:tcPr>
          <w:p>
            <w:pPr/>
            <w:r>
              <w:t xml:space="preserve">批次模擬器版 QA3C 與原版逐步比對</w:t>
            </w:r>
          </w:p>
        </w:tc>
        <w:tc>
          <w:tcPr>
            <w:tcW w:w="4866" w:type="dxa"/>
          </w:tcPr>
          <w:p>
            <w:pPr/>
            <w:r>
              <w:t xml:space="preserve">完成：3,323 步動作完全相同，機率差 &lt; 4e-16</w:t>
            </w:r>
          </w:p>
        </w:tc>
      </w:tr>
      <w:tr>
        <w:tc>
          <w:tcPr>
            <w:tcW w:w="4493" w:type="dxa"/>
          </w:tcPr>
          <w:p>
            <w:pPr/>
            <w:r>
              <w:t xml:space="preserve">5 個 fold 的 QLSTM 預測器</w:t>
            </w:r>
          </w:p>
        </w:tc>
        <w:tc>
          <w:tcPr>
            <w:tcW w:w="4866" w:type="dxa"/>
          </w:tcPr>
          <w:p>
            <w:pPr/>
            <w:r>
              <w:t xml:space="preserve">完成</w:t>
            </w:r>
          </w:p>
        </w:tc>
      </w:tr>
      <w:tr>
        <w:tc>
          <w:tcPr>
            <w:tcW w:w="4493" w:type="dxa"/>
          </w:tcPr>
          <w:p>
            <w:pPr/>
            <w:r>
              <w:t xml:space="preserve">規則型基準 × 3 種成本</w:t>
            </w:r>
          </w:p>
        </w:tc>
        <w:tc>
          <w:tcPr>
            <w:tcW w:w="4866" w:type="dxa"/>
          </w:tcPr>
          <w:p>
            <w:pPr/>
            <w:r>
              <w:t xml:space="preserve">完成</w:t>
            </w:r>
          </w:p>
        </w:tc>
      </w:tr>
      <w:tr>
        <w:tc>
          <w:tcPr>
            <w:tcW w:w="4493" w:type="dxa"/>
          </w:tcPr>
          <w:p>
            <w:pPr/>
            <w:r>
              <w:t xml:space="preserve">代理人訓練 E1～E3（105 次）</w:t>
            </w:r>
          </w:p>
        </w:tc>
        <w:tc>
          <w:tcPr>
            <w:tcW w:w="4866" w:type="dxa"/>
          </w:tcPr>
          <w:p>
            <w:pPr/>
            <w:r>
              <w:t xml:space="preserve">進行中</w:t>
            </w:r>
          </w:p>
        </w:tc>
      </w:tr>
      <w:tr>
        <w:tc>
          <w:tcPr>
            <w:tcW w:w="4493" w:type="dxa"/>
          </w:tcPr>
          <w:p>
            <w:pPr/>
            <w:r>
              <w:t xml:space="preserve">彙整與統計檢定</w:t>
            </w:r>
          </w:p>
        </w:tc>
        <w:tc>
          <w:tcPr>
            <w:tcW w:w="4866" w:type="dxa"/>
          </w:tcPr>
          <w:p>
            <w:pPr/>
            <w:r>
              <w:t xml:space="preserve">等訓練完成</w:t>
            </w:r>
          </w:p>
        </w:tc>
      </w:tr>
    </w:tbl>
    <w:p>
      <w:pPr/>
      <w:r>
        <w:rPr>
          <w:b/>
        </w:rPr>
        <w:t xml:space="preserve">初步結果一：QLSTM 預測器在 walk-forward 下幾乎沒有訊號。</w:t>
      </w:r>
      <w:r>
        <w:t xml:space="preserve"> 五個測試年只有 2022 年贏過「全猜多數類別」，論文的約 71.5% 沒有出現。測試筆數只算 5 天後漲跌超過 1.2% 的日子，所以很少。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59"/>
        <w:gridCol w:w="1942"/>
        <w:gridCol w:w="3149"/>
        <w:gridCol w:w="2708"/>
      </w:tblGrid>
      <w:tr>
        <w:trPr>
          <w:tblHeader/>
        </w:trPr>
        <w:tc>
          <w:tcPr>
            <w:tcW w:w="1559" w:type="dxa"/>
            <w:shd w:val="clear" w:color="auto" w:fill="F2F2F2"/>
          </w:tcPr>
          <w:p>
            <w:pPr/>
            <w:r>
              <w:t xml:space="preserve">測試年</w:t>
            </w:r>
          </w:p>
        </w:tc>
        <w:tc>
          <w:tcPr>
            <w:tcW w:w="1942" w:type="dxa"/>
            <w:shd w:val="clear" w:color="auto" w:fill="F2F2F2"/>
          </w:tcPr>
          <w:p>
            <w:pPr/>
            <w:r>
              <w:t xml:space="preserve">測試筆數</w:t>
            </w:r>
          </w:p>
        </w:tc>
        <w:tc>
          <w:tcPr>
            <w:tcW w:w="3149" w:type="dxa"/>
            <w:shd w:val="clear" w:color="auto" w:fill="F2F2F2"/>
          </w:tcPr>
          <w:p>
            <w:pPr/>
            <w:r>
              <w:t xml:space="preserve">QLSTM 準確率</w:t>
            </w:r>
          </w:p>
        </w:tc>
        <w:tc>
          <w:tcPr>
            <w:tcW w:w="2708" w:type="dxa"/>
            <w:shd w:val="clear" w:color="auto" w:fill="F2F2F2"/>
          </w:tcPr>
          <w:p>
            <w:pPr/>
            <w:r>
              <w:t xml:space="preserve">全猜多數類別</w:t>
            </w:r>
          </w:p>
        </w:tc>
      </w:tr>
      <w:tr>
        <w:tc>
          <w:tcPr>
            <w:tcW w:w="1559" w:type="dxa"/>
          </w:tcPr>
          <w:p>
            <w:pPr/>
            <w:r>
              <w:t xml:space="preserve">2020</w:t>
            </w:r>
          </w:p>
        </w:tc>
        <w:tc>
          <w:tcPr>
            <w:tcW w:w="1942" w:type="dxa"/>
          </w:tcPr>
          <w:p>
            <w:pPr/>
            <w:r>
              <w:t xml:space="preserve">10</w:t>
            </w:r>
          </w:p>
        </w:tc>
        <w:tc>
          <w:tcPr>
            <w:tcW w:w="3149" w:type="dxa"/>
          </w:tcPr>
          <w:p>
            <w:pPr/>
            <w:r>
              <w:t xml:space="preserve">30.0%</w:t>
            </w:r>
          </w:p>
        </w:tc>
        <w:tc>
          <w:tcPr>
            <w:tcW w:w="2708" w:type="dxa"/>
          </w:tcPr>
          <w:p>
            <w:pPr/>
            <w:r>
              <w:t xml:space="preserve">70.0%</w:t>
            </w:r>
          </w:p>
        </w:tc>
      </w:tr>
      <w:tr>
        <w:tc>
          <w:tcPr>
            <w:tcW w:w="1559" w:type="dxa"/>
          </w:tcPr>
          <w:p>
            <w:pPr/>
            <w:r>
              <w:t xml:space="preserve">2021</w:t>
            </w:r>
          </w:p>
        </w:tc>
        <w:tc>
          <w:tcPr>
            <w:tcW w:w="1942" w:type="dxa"/>
          </w:tcPr>
          <w:p>
            <w:pPr/>
            <w:r>
              <w:t xml:space="preserve">9</w:t>
            </w:r>
          </w:p>
        </w:tc>
        <w:tc>
          <w:tcPr>
            <w:tcW w:w="3149" w:type="dxa"/>
          </w:tcPr>
          <w:p>
            <w:pPr/>
            <w:r>
              <w:t xml:space="preserve">66.7%</w:t>
            </w:r>
          </w:p>
        </w:tc>
        <w:tc>
          <w:tcPr>
            <w:tcW w:w="2708" w:type="dxa"/>
          </w:tcPr>
          <w:p>
            <w:pPr/>
            <w:r>
              <w:t xml:space="preserve">66.7%</w:t>
            </w:r>
          </w:p>
        </w:tc>
      </w:tr>
      <w:tr>
        <w:tc>
          <w:tcPr>
            <w:tcW w:w="1559" w:type="dxa"/>
          </w:tcPr>
          <w:p>
            <w:pPr/>
            <w:r>
              <w:t xml:space="preserve">2022</w:t>
            </w:r>
          </w:p>
        </w:tc>
        <w:tc>
          <w:tcPr>
            <w:tcW w:w="1942" w:type="dxa"/>
          </w:tcPr>
          <w:p>
            <w:pPr/>
            <w:r>
              <w:t xml:space="preserve">26</w:t>
            </w:r>
          </w:p>
        </w:tc>
        <w:tc>
          <w:tcPr>
            <w:tcW w:w="3149" w:type="dxa"/>
          </w:tcPr>
          <w:p>
            <w:pPr/>
            <w:r>
              <w:t xml:space="preserve">69.2%</w:t>
            </w:r>
          </w:p>
        </w:tc>
        <w:tc>
          <w:tcPr>
            <w:tcW w:w="2708" w:type="dxa"/>
          </w:tcPr>
          <w:p>
            <w:pPr/>
            <w:r>
              <w:t xml:space="preserve">53.8%</w:t>
            </w:r>
          </w:p>
        </w:tc>
      </w:tr>
      <w:tr>
        <w:tc>
          <w:tcPr>
            <w:tcW w:w="1559" w:type="dxa"/>
          </w:tcPr>
          <w:p>
            <w:pPr/>
            <w:r>
              <w:t xml:space="preserve">2023</w:t>
            </w:r>
          </w:p>
        </w:tc>
        <w:tc>
          <w:tcPr>
            <w:tcW w:w="1942" w:type="dxa"/>
          </w:tcPr>
          <w:p>
            <w:pPr/>
            <w:r>
              <w:t xml:space="preserve">22</w:t>
            </w:r>
          </w:p>
        </w:tc>
        <w:tc>
          <w:tcPr>
            <w:tcW w:w="3149" w:type="dxa"/>
          </w:tcPr>
          <w:p>
            <w:pPr/>
            <w:r>
              <w:t xml:space="preserve">68.2%</w:t>
            </w:r>
          </w:p>
        </w:tc>
        <w:tc>
          <w:tcPr>
            <w:tcW w:w="2708" w:type="dxa"/>
          </w:tcPr>
          <w:p>
            <w:pPr/>
            <w:r>
              <w:t xml:space="preserve">68.2%</w:t>
            </w:r>
          </w:p>
        </w:tc>
      </w:tr>
      <w:tr>
        <w:tc>
          <w:tcPr>
            <w:tcW w:w="1559" w:type="dxa"/>
          </w:tcPr>
          <w:p>
            <w:pPr/>
            <w:r>
              <w:t xml:space="preserve">2024</w:t>
            </w:r>
          </w:p>
        </w:tc>
        <w:tc>
          <w:tcPr>
            <w:tcW w:w="1942" w:type="dxa"/>
          </w:tcPr>
          <w:p>
            <w:pPr/>
            <w:r>
              <w:t xml:space="preserve">20</w:t>
            </w:r>
          </w:p>
        </w:tc>
        <w:tc>
          <w:tcPr>
            <w:tcW w:w="3149" w:type="dxa"/>
          </w:tcPr>
          <w:p>
            <w:pPr/>
            <w:r>
              <w:t xml:space="preserve">30.0%</w:t>
            </w:r>
          </w:p>
        </w:tc>
        <w:tc>
          <w:tcPr>
            <w:tcW w:w="2708" w:type="dxa"/>
          </w:tcPr>
          <w:p>
            <w:pPr/>
            <w:r>
              <w:t xml:space="preserve">70.0%</w:t>
            </w:r>
          </w:p>
        </w:tc>
      </w:tr>
    </w:tbl>
    <w:p>
      <w:pPr/>
      <w:r>
        <w:rPr>
          <w:b/>
        </w:rPr>
        <w:t xml:space="preserve">初步結果二：成本對頻繁交易的策略影響很大。</w:t>
      </w:r>
      <w:r>
        <w:t xml:space="preserve"> 隨機策略在 0.1% 成本下，每年平均少 2.1～2.3 個百分點；論文二的 A3C 約 3 天進出一次，屬於這一類。買進持有在 2020、2021 年虧損，代表單一切分的結論會受期間影響。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96"/>
        <w:gridCol w:w="1116"/>
        <w:gridCol w:w="1677"/>
        <w:gridCol w:w="1806"/>
        <w:gridCol w:w="2035"/>
        <w:gridCol w:w="1828"/>
      </w:tblGrid>
      <w:tr>
        <w:trPr>
          <w:tblHeader/>
        </w:trPr>
        <w:tc>
          <w:tcPr>
            <w:tcW w:w="896" w:type="dxa"/>
            <w:shd w:val="clear" w:color="auto" w:fill="F2F2F2"/>
          </w:tcPr>
          <w:p>
            <w:pPr/>
            <w:r>
              <w:t xml:space="preserve">測試年</w:t>
            </w:r>
          </w:p>
        </w:tc>
        <w:tc>
          <w:tcPr>
            <w:tcW w:w="1116" w:type="dxa"/>
            <w:shd w:val="clear" w:color="auto" w:fill="F2F2F2"/>
          </w:tcPr>
          <w:p>
            <w:pPr/>
            <w:r>
              <w:t xml:space="preserve">買進持有</w:t>
            </w:r>
          </w:p>
        </w:tc>
        <w:tc>
          <w:tcPr>
            <w:tcW w:w="1677" w:type="dxa"/>
            <w:shd w:val="clear" w:color="auto" w:fill="F2F2F2"/>
          </w:tcPr>
          <w:p>
            <w:pPr/>
            <w:r>
              <w:t xml:space="preserve">均線（成本 0）</w:t>
            </w:r>
          </w:p>
        </w:tc>
        <w:tc>
          <w:tcPr>
            <w:tcW w:w="1806" w:type="dxa"/>
            <w:shd w:val="clear" w:color="auto" w:fill="F2F2F2"/>
          </w:tcPr>
          <w:p>
            <w:pPr/>
            <w:r>
              <w:t xml:space="preserve">均線（成本 0.1%）</w:t>
            </w:r>
          </w:p>
        </w:tc>
        <w:tc>
          <w:tcPr>
            <w:tcW w:w="2035" w:type="dxa"/>
            <w:shd w:val="clear" w:color="auto" w:fill="F2F2F2"/>
          </w:tcPr>
          <w:p>
            <w:pPr/>
            <w:r>
              <w:t xml:space="preserve">隨機（成本 0，20 種子平均）</w:t>
            </w:r>
          </w:p>
        </w:tc>
        <w:tc>
          <w:tcPr>
            <w:tcW w:w="1828" w:type="dxa"/>
            <w:shd w:val="clear" w:color="auto" w:fill="F2F2F2"/>
          </w:tcPr>
          <w:p>
            <w:pPr/>
            <w:r>
              <w:t xml:space="preserve">隨機（成本 0.1%）</w:t>
            </w:r>
          </w:p>
        </w:tc>
      </w:tr>
      <w:tr>
        <w:tc>
          <w:tcPr>
            <w:tcW w:w="896" w:type="dxa"/>
          </w:tcPr>
          <w:p>
            <w:pPr/>
            <w:r>
              <w:t xml:space="preserve">2020</w:t>
            </w:r>
          </w:p>
        </w:tc>
        <w:tc>
          <w:tcPr>
            <w:tcW w:w="1116" w:type="dxa"/>
          </w:tcPr>
          <w:p>
            <w:pPr/>
            <w:r>
              <w:t xml:space="preserve">−6.11%</w:t>
            </w:r>
          </w:p>
        </w:tc>
        <w:tc>
          <w:tcPr>
            <w:tcW w:w="1677" w:type="dxa"/>
          </w:tcPr>
          <w:p>
            <w:pPr/>
            <w:r>
              <w:t xml:space="preserve">−2.47%</w:t>
            </w:r>
          </w:p>
        </w:tc>
        <w:tc>
          <w:tcPr>
            <w:tcW w:w="1806" w:type="dxa"/>
          </w:tcPr>
          <w:p>
            <w:pPr/>
            <w:r>
              <w:t xml:space="preserve">−3.45%</w:t>
            </w:r>
          </w:p>
        </w:tc>
        <w:tc>
          <w:tcPr>
            <w:tcW w:w="2035" w:type="dxa"/>
          </w:tcPr>
          <w:p>
            <w:pPr/>
            <w:r>
              <w:t xml:space="preserve">−1.02%</w:t>
            </w:r>
          </w:p>
        </w:tc>
        <w:tc>
          <w:tcPr>
            <w:tcW w:w="1828" w:type="dxa"/>
          </w:tcPr>
          <w:p>
            <w:pPr/>
            <w:r>
              <w:t xml:space="preserve">−3.10%</w:t>
            </w:r>
          </w:p>
        </w:tc>
      </w:tr>
      <w:tr>
        <w:tc>
          <w:tcPr>
            <w:tcW w:w="896" w:type="dxa"/>
          </w:tcPr>
          <w:p>
            <w:pPr/>
            <w:r>
              <w:t xml:space="preserve">2021</w:t>
            </w:r>
          </w:p>
        </w:tc>
        <w:tc>
          <w:tcPr>
            <w:tcW w:w="1116" w:type="dxa"/>
          </w:tcPr>
          <w:p>
            <w:pPr/>
            <w:r>
              <w:t xml:space="preserve">−1.21%</w:t>
            </w:r>
          </w:p>
        </w:tc>
        <w:tc>
          <w:tcPr>
            <w:tcW w:w="1677" w:type="dxa"/>
          </w:tcPr>
          <w:p>
            <w:pPr/>
            <w:r>
              <w:t xml:space="preserve">−1.11%</w:t>
            </w:r>
          </w:p>
        </w:tc>
        <w:tc>
          <w:tcPr>
            <w:tcW w:w="1806" w:type="dxa"/>
          </w:tcPr>
          <w:p>
            <w:pPr/>
            <w:r>
              <w:t xml:space="preserve">−2.22%</w:t>
            </w:r>
          </w:p>
        </w:tc>
        <w:tc>
          <w:tcPr>
            <w:tcW w:w="2035" w:type="dxa"/>
          </w:tcPr>
          <w:p>
            <w:pPr/>
            <w:r>
              <w:t xml:space="preserve">−0.25%</w:t>
            </w:r>
          </w:p>
        </w:tc>
        <w:tc>
          <w:tcPr>
            <w:tcW w:w="1828" w:type="dxa"/>
          </w:tcPr>
          <w:p>
            <w:pPr/>
            <w:r>
              <w:t xml:space="preserve">−2.32%</w:t>
            </w:r>
          </w:p>
        </w:tc>
      </w:tr>
      <w:tr>
        <w:tc>
          <w:tcPr>
            <w:tcW w:w="896" w:type="dxa"/>
          </w:tcPr>
          <w:p>
            <w:pPr/>
            <w:r>
              <w:t xml:space="preserve">2022</w:t>
            </w:r>
          </w:p>
        </w:tc>
        <w:tc>
          <w:tcPr>
            <w:tcW w:w="1116" w:type="dxa"/>
          </w:tcPr>
          <w:p>
            <w:pPr/>
            <w:r>
              <w:t xml:space="preserve">+11.08%</w:t>
            </w:r>
          </w:p>
        </w:tc>
        <w:tc>
          <w:tcPr>
            <w:tcW w:w="1677" w:type="dxa"/>
          </w:tcPr>
          <w:p>
            <w:pPr/>
            <w:r>
              <w:t xml:space="preserve">+12.35%</w:t>
            </w:r>
          </w:p>
        </w:tc>
        <w:tc>
          <w:tcPr>
            <w:tcW w:w="1806" w:type="dxa"/>
          </w:tcPr>
          <w:p>
            <w:pPr/>
            <w:r>
              <w:t xml:space="preserve">+11.90%</w:t>
            </w:r>
          </w:p>
        </w:tc>
        <w:tc>
          <w:tcPr>
            <w:tcW w:w="2035" w:type="dxa"/>
          </w:tcPr>
          <w:p>
            <w:pPr/>
            <w:r>
              <w:t xml:space="preserve">+1.05%</w:t>
            </w:r>
          </w:p>
        </w:tc>
        <w:tc>
          <w:tcPr>
            <w:tcW w:w="1828" w:type="dxa"/>
          </w:tcPr>
          <w:p>
            <w:pPr/>
            <w:r>
              <w:t xml:space="preserve">−1.20%</w:t>
            </w:r>
          </w:p>
        </w:tc>
      </w:tr>
      <w:tr>
        <w:tc>
          <w:tcPr>
            <w:tcW w:w="896" w:type="dxa"/>
          </w:tcPr>
          <w:p>
            <w:pPr/>
            <w:r>
              <w:t xml:space="preserve">2023</w:t>
            </w:r>
          </w:p>
        </w:tc>
        <w:tc>
          <w:tcPr>
            <w:tcW w:w="1116" w:type="dxa"/>
          </w:tcPr>
          <w:p>
            <w:pPr/>
            <w:r>
              <w:t xml:space="preserve">+0.47%</w:t>
            </w:r>
          </w:p>
        </w:tc>
        <w:tc>
          <w:tcPr>
            <w:tcW w:w="1677" w:type="dxa"/>
          </w:tcPr>
          <w:p>
            <w:pPr/>
            <w:r>
              <w:t xml:space="preserve">+1.78%</w:t>
            </w:r>
          </w:p>
        </w:tc>
        <w:tc>
          <w:tcPr>
            <w:tcW w:w="1806" w:type="dxa"/>
          </w:tcPr>
          <w:p>
            <w:pPr/>
            <w:r>
              <w:t xml:space="preserve">+0.58%</w:t>
            </w:r>
          </w:p>
        </w:tc>
        <w:tc>
          <w:tcPr>
            <w:tcW w:w="2035" w:type="dxa"/>
          </w:tcPr>
          <w:p>
            <w:pPr/>
            <w:r>
              <w:t xml:space="preserve">−0.05%</w:t>
            </w:r>
          </w:p>
        </w:tc>
        <w:tc>
          <w:tcPr>
            <w:tcW w:w="1828" w:type="dxa"/>
          </w:tcPr>
          <w:p>
            <w:pPr/>
            <w:r>
              <w:t xml:space="preserve">−2.18%</w:t>
            </w:r>
          </w:p>
        </w:tc>
      </w:tr>
      <w:tr>
        <w:tc>
          <w:tcPr>
            <w:tcW w:w="896" w:type="dxa"/>
          </w:tcPr>
          <w:p>
            <w:pPr/>
            <w:r>
              <w:t xml:space="preserve">2024</w:t>
            </w:r>
          </w:p>
        </w:tc>
        <w:tc>
          <w:tcPr>
            <w:tcW w:w="1116" w:type="dxa"/>
          </w:tcPr>
          <w:p>
            <w:pPr/>
            <w:r>
              <w:t xml:space="preserve">+5.43%</w:t>
            </w:r>
          </w:p>
        </w:tc>
        <w:tc>
          <w:tcPr>
            <w:tcW w:w="1677" w:type="dxa"/>
          </w:tcPr>
          <w:p>
            <w:pPr/>
            <w:r>
              <w:t xml:space="preserve">+0.36%</w:t>
            </w:r>
          </w:p>
        </w:tc>
        <w:tc>
          <w:tcPr>
            <w:tcW w:w="1806" w:type="dxa"/>
          </w:tcPr>
          <w:p>
            <w:pPr/>
            <w:r>
              <w:t xml:space="preserve">−1.03%</w:t>
            </w:r>
          </w:p>
        </w:tc>
        <w:tc>
          <w:tcPr>
            <w:tcW w:w="2035" w:type="dxa"/>
          </w:tcPr>
          <w:p>
            <w:pPr/>
            <w:r>
              <w:t xml:space="preserve">+0.84%</w:t>
            </w:r>
          </w:p>
        </w:tc>
        <w:tc>
          <w:tcPr>
            <w:tcW w:w="1828" w:type="dxa"/>
          </w:tcPr>
          <w:p>
            <w:pPr/>
            <w:r>
              <w:t xml:space="preserve">−1.37%</w:t>
            </w:r>
          </w:p>
        </w:tc>
      </w:tr>
    </w:tbl>
    <w:p>
      <w:pPr>
        <w:pStyle w:val="Heading2"/>
      </w:pPr>
      <w:r>
        <w:t xml:space="preserve">八、預期成果與貢獻</w:t>
      </w:r>
    </w:p>
    <w:p>
      <w:pPr/>
      <w:r>
        <w:t xml:space="preserve">不論 QA3C 最後輸或贏，結果都能發表：輸了是「優勢來自評估方式」的反例，贏了則是比原文更有力的正面證據。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嚴格評估下的答案</w:t>
      </w:r>
      <w:r>
        <w:t xml:space="preserve">：第一個在交易成本、動作遮罩、walk-forward、多種子下評估 QA3C 的研究，回答量子優勢是否存在（RQ1）。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可重現的交易環境</w:t>
      </w:r>
      <w:r>
        <w:t xml:space="preserve">：公開完整規格與程式（初始資金、部位、成本、遮罩、獎勵），回應《</w:t>
      </w:r>
      <w:hyperlink r:id="rId20" w:history="1">
        <w:r>
          <w:rPr>
            <w:rStyle w:val="Hyperlink"/>
          </w:rPr>
          <w:t xml:space="preserve">FinRL Contests: Data-Driven Financial Reinforcement Learning Agents for Stock and Crypto Trading</w:t>
        </w:r>
      </w:hyperlink>
      <w:r>
        <w:t xml:space="preserve">》（IET 2025）指出的「缺乏標準環境與穩健基準」。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獎勵被鑽漏洞的具體案例</w:t>
      </w:r>
      <w:r>
        <w:t xml:space="preserve">：用持有比例、無效動作嘗試、交易次數量化「從不持有」與「用無效賣出空手」（RQ3）。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預測訊號的真實價值</w:t>
      </w:r>
      <w:r>
        <w:t xml:space="preserve">：理想預測器給出這個環境的上限，並直接檢驗《</w:t>
      </w:r>
      <w:hyperlink r:id="rId11" w:history="1">
        <w:r>
          <w:rPr>
            <w:rStyle w:val="Hyperlink"/>
          </w:rPr>
          <w:t xml:space="preserve">Quantum-Enhanced Reinforcement Learning with LSTM Forecasting Signals for Optimizing Fintech Trading Decisions</w:t>
        </w:r>
      </w:hyperlink>
      <w:r>
        <w:t xml:space="preserve">》（IEEE QCE 2025）關於預測訊號的主張（RQ4）。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評估清單</w:t>
      </w:r>
      <w:r>
        <w:t xml:space="preserve">：給量子強化學習交易論文的最低要求：成本、遮罩、walk-forward、多種子、同參數量基準、多重測試修正。</w:t>
      </w:r>
    </w:p>
    <w:p>
      <w:pPr/>
      <w:r>
        <w:t xml:space="preserve">預計投稿：IEEE QCE 或 IEEE ICASSP；期刊版可投 IEEE Transactions on Quantum Engineering 或 IEEE Access。截稿日需再確認。</w:t>
      </w:r>
    </w:p>
    <w:p>
      <w:pPr>
        <w:pStyle w:val="Heading2"/>
      </w:pPr>
      <w:r>
        <w:t xml:space="preserve">九、尚未解決的問題與後續工作</w:t>
      </w:r>
    </w:p>
    <w:p>
      <w:pPr/>
      <w:r>
        <w:t xml:space="preserve">最優先的是跑完 E1～E3，其次是多重測試修正與多資產。</w:t>
      </w:r>
    </w:p>
    <w:p>
      <w:pPr>
        <w:pStyle w:val="ListParagraph"/>
        <w:numPr>
          <w:ilvl w:val="0"/>
          <w:numId w:val="7"/>
        </w:numPr>
      </w:pPr>
      <w:r>
        <w:t xml:space="preserve">☐ 跑完 E1～E3 並彙整結果與成對檢定（進行中）</w:t>
      </w:r>
    </w:p>
    <w:p>
      <w:pPr>
        <w:pStyle w:val="ListParagraph"/>
        <w:numPr>
          <w:ilvl w:val="0"/>
          <w:numId w:val="7"/>
        </w:numPr>
      </w:pPr>
      <w:r>
        <w:t xml:space="preserve">☐ 多重測試修正：Deflated Sharpe Ratio、PBO，以及 Sharpe 的 block bootstrap 信賴區間</w:t>
      </w:r>
    </w:p>
    <w:p>
      <w:pPr>
        <w:pStyle w:val="ListParagraph"/>
        <w:numPr>
          <w:ilvl w:val="0"/>
          <w:numId w:val="7"/>
        </w:numPr>
      </w:pPr>
      <w:r>
        <w:t xml:space="preserve">☐ 多資產：加 2～3 個匯率與 S&amp;P 500，報告每個策略的損益兩平成本</w:t>
      </w:r>
    </w:p>
    <w:p>
      <w:pPr>
        <w:pStyle w:val="ListParagraph"/>
        <w:numPr>
          <w:ilvl w:val="0"/>
          <w:numId w:val="7"/>
        </w:numPr>
      </w:pPr>
      <w:r>
        <w:t xml:space="preserve">☐ 種子從 3 個增加到 10 個（15 對的 Wilcoxon 檢定力有限）</w:t>
      </w:r>
    </w:p>
    <w:p>
      <w:pPr>
        <w:pStyle w:val="ListParagraph"/>
        <w:numPr>
          <w:ilvl w:val="0"/>
          <w:numId w:val="7"/>
        </w:numPr>
      </w:pPr>
      <w:r>
        <w:t xml:space="preserve">☐ 風險調整獎勵：《</w:t>
      </w:r>
      <w:hyperlink r:id="rId17" w:history="1">
        <w:r>
          <w:rPr>
            <w:rStyle w:val="Hyperlink"/>
          </w:rPr>
          <w:t xml:space="preserve">Learning to trade via direct reinforcement</w:t>
        </w:r>
      </w:hyperlink>
      <w:r>
        <w:t xml:space="preserve">》的差分 Sharpe、《</w:t>
      </w:r>
      <w:hyperlink r:id="rId19" w:history="1">
        <w:r>
          <w:rPr>
            <w:rStyle w:val="Hyperlink"/>
          </w:rPr>
          <w:t xml:space="preserve">A Mean-VaR Based Deep Reinforcement Learning Framework for Practical Algorithmic Trading</w:t>
        </w:r>
      </w:hyperlink>
      <w:r>
        <w:t xml:space="preserve">》的 mean-VaR 目標</w:t>
      </w:r>
    </w:p>
    <w:p>
      <w:pPr>
        <w:pStyle w:val="ListParagraph"/>
        <w:numPr>
          <w:ilvl w:val="0"/>
          <w:numId w:val="7"/>
        </w:numPr>
      </w:pPr>
      <w:r>
        <w:t xml:space="preserve">☐ 拿掉糾纏的 VQC 消融：《</w:t>
      </w:r>
      <w:hyperlink r:id="rId27" w:history="1">
        <w:r>
          <w:rPr>
            <w:rStyle w:val="Hyperlink"/>
          </w:rPr>
          <w:t xml:space="preserve">Better than classical? The subtle art of benchmarking quantum machine learning models</w:t>
        </w:r>
      </w:hyperlink>
      <w:r>
        <w:t xml:space="preserve">》發現拿掉糾纏常常一樣好</w:t>
      </w:r>
    </w:p>
    <w:p>
      <w:pPr>
        <w:pStyle w:val="ListParagraph"/>
        <w:numPr>
          <w:ilvl w:val="0"/>
          <w:numId w:val="7"/>
        </w:numPr>
      </w:pPr>
      <w:r>
        <w:t xml:space="preserve">☐ 用同一協定重新評估 IEEE QCE 2025 與 ICASSP 2026 兩篇 QA3C 論文的設定</w:t>
      </w:r>
    </w:p>
    <w:p>
      <w:pPr>
        <w:pStyle w:val="ListParagraph"/>
        <w:numPr>
          <w:ilvl w:val="0"/>
          <w:numId w:val="7"/>
        </w:numPr>
      </w:pPr>
      <w:r>
        <w:t xml:space="preserve">☐ 預測器輸入含當日 High／Low：主論文發現 Yahoo 匯率日線有前視，需改用前一日 High／Low 重做預測器</w:t>
      </w:r>
    </w:p>
    <w:p>
      <w:pPr>
        <w:pStyle w:val="ListParagraph"/>
        <w:numPr>
          <w:ilvl w:val="0"/>
          <w:numId w:val="7"/>
        </w:numPr>
      </w:pPr>
      <w:r>
        <w:t xml:space="preserve">☐ 和原作者確認論文沒寫的設定（初始資金、部位大小、罰分、pnl% 單位）</w:t>
      </w:r>
    </w:p>
    <w:p>
      <w:pPr/>
      <w:r>
        <w:rPr>
          <w:b/>
        </w:rPr>
        <w:t xml:space="preserve">風險與對策</w:t>
      </w:r>
      <w:r>
        <w:t xml:space="preserve">：QA3C 可能在嚴格評估下全面落後，這時貢獻是評估協定與反例。結論若和同實驗室相反，定位為延伸並邀請原作者討論。預測器測試筆數少（9～26 筆），預測器的結論要搭配 E3 一起看。</w:t>
      </w:r>
    </w:p>
    <w:p>
      <w:pPr>
        <w:pStyle w:val="Heading2"/>
      </w:pPr>
      <w:r>
        <w:t xml:space="preserve">十、參考文獻</w:t>
      </w:r>
    </w:p>
    <w:p>
      <w:pPr/>
      <w:r>
        <w:t xml:space="preserve">每篇都已打開頁面或用 Crossref 的 DOI 紀錄核對（2026-10-19）。有正式刊登版本的優先給 IEEE Xplore 或期刊連結，括號內附 arXiv 預印本。</w:t>
      </w:r>
    </w:p>
    <w:p>
      <w:pPr/>
      <w:r>
        <w:rPr>
          <w:b/>
        </w:rPr>
        <w:t xml:space="preserve">IEEE／IET 期刊與會議</w:t>
      </w:r>
    </w:p>
    <w:p>
      <w:pPr>
        <w:pStyle w:val="ListParagraph"/>
        <w:numPr>
          <w:ilvl w:val="0"/>
          <w:numId w:val="8"/>
        </w:numPr>
      </w:pPr>
      <w:hyperlink r:id="rId10" w:history="1">
        <w:r>
          <w:rPr>
            <w:rStyle w:val="Hyperlink"/>
          </w:rPr>
          <w:t xml:space="preserve">Quantum-Enhanced Forecasting for Deep Reinforcement Learning in Algorithmic Trading</w:t>
        </w:r>
      </w:hyperlink>
      <w:r>
        <w:t xml:space="preserve">。J.-H. Chen, Y.-C. Huang, Y.-C. Tsai, S. Y.-C. Chen，IEEE Globecom Workshops 2025（論文二）。https://ieeexplore.ieee.org/document/11591031（arXiv 預印本：https://arxiv.org/abs/2509.09176）</w:t>
      </w:r>
    </w:p>
    <w:p>
      <w:pPr>
        <w:pStyle w:val="ListParagraph"/>
        <w:numPr>
          <w:ilvl w:val="0"/>
          <w:numId w:val="8"/>
        </w:numPr>
      </w:pPr>
      <w:hyperlink r:id="rId11" w:history="1">
        <w:r>
          <w:rPr>
            <w:rStyle w:val="Hyperlink"/>
          </w:rPr>
          <w:t xml:space="preserve">Quantum-Enhanced Reinforcement Learning with LSTM Forecasting Signals for Optimizing Fintech Trading Decisions</w:t>
        </w:r>
      </w:hyperlink>
      <w:r>
        <w:t xml:space="preserve">。Y.-K. Liu, Y.-H. Pan, P.-F. Lu, Y.-C. Tsai, S. Y.-C. Chen，IEEE QCE 2025。https://ieeexplore.ieee.org/document/11250034（arXiv 預印本：https://arxiv.org/abs/2507.12835）</w:t>
      </w:r>
    </w:p>
    <w:p>
      <w:pPr>
        <w:pStyle w:val="ListParagraph"/>
        <w:numPr>
          <w:ilvl w:val="0"/>
          <w:numId w:val="8"/>
        </w:numPr>
      </w:pPr>
      <w:hyperlink r:id="rId12" w:history="1">
        <w:r>
          <w:rPr>
            <w:rStyle w:val="Hyperlink"/>
          </w:rPr>
          <w:t xml:space="preserve">Q-A3C2: Quantum Reinforcement Learning with Time-Series Dynamic Clustering for Adaptive ETF Stock Selection</w:t>
        </w:r>
      </w:hyperlink>
      <w:r>
        <w:t xml:space="preserve">。Y.-K. Liu, Y.-C. Tsai, S. Y.-C. Chen，IEEE ICASSP 2026。https://ieeexplore.ieee.org/document/11462530（arXiv 預印本：https://arxiv.org/abs/2512.21819）</w:t>
      </w:r>
    </w:p>
    <w:p>
      <w:pPr>
        <w:pStyle w:val="ListParagraph"/>
        <w:numPr>
          <w:ilvl w:val="0"/>
          <w:numId w:val="8"/>
        </w:numPr>
      </w:pPr>
      <w:hyperlink r:id="rId13" w:history="1">
        <w:r>
          <w:rPr>
            <w:rStyle w:val="Hyperlink"/>
          </w:rPr>
          <w:t xml:space="preserve">Differentiable Quantum Architecture Search in Asynchronous Quantum Reinforcement Learning</w:t>
        </w:r>
      </w:hyperlink>
      <w:r>
        <w:t xml:space="preserve">。S. Y.-C. Chen，IEEE QCE 2024。https://ieeexplore.ieee.org/document/10821463</w:t>
      </w:r>
    </w:p>
    <w:p>
      <w:pPr>
        <w:pStyle w:val="ListParagraph"/>
        <w:numPr>
          <w:ilvl w:val="0"/>
          <w:numId w:val="8"/>
        </w:numPr>
      </w:pPr>
      <w:hyperlink r:id="rId14" w:history="1">
        <w:r>
          <w:rPr>
            <w:rStyle w:val="Hyperlink"/>
          </w:rPr>
          <w:t xml:space="preserve">Variational Quantum Circuits for Deep Reinforcement Learning</w:t>
        </w:r>
      </w:hyperlink>
      <w:r>
        <w:t xml:space="preserve">。S. Y.-C. Chen 等，IEEE Access 2020。https://ieeexplore.ieee.org/document/9144562</w:t>
      </w:r>
    </w:p>
    <w:p>
      <w:pPr>
        <w:pStyle w:val="ListParagraph"/>
        <w:numPr>
          <w:ilvl w:val="0"/>
          <w:numId w:val="8"/>
        </w:numPr>
      </w:pPr>
      <w:hyperlink r:id="rId15" w:history="1">
        <w:r>
          <w:rPr>
            <w:rStyle w:val="Hyperlink"/>
          </w:rPr>
          <w:t xml:space="preserve">QADQN: Quantum Attention Deep Q-Network for Financial Market Prediction</w:t>
        </w:r>
      </w:hyperlink>
      <w:r>
        <w:t xml:space="preserve">。S. Dutta, N. Innan, A. Marchisio, S. Ben Yahia, M. Shafique，IEEE QCE 2024。https://ieeexplore.ieee.org/document/10821228（arXiv 預印本：https://arxiv.org/abs/2408.03088）</w:t>
      </w:r>
    </w:p>
    <w:p>
      <w:pPr>
        <w:pStyle w:val="ListParagraph"/>
        <w:numPr>
          <w:ilvl w:val="0"/>
          <w:numId w:val="8"/>
        </w:numPr>
      </w:pPr>
      <w:hyperlink r:id="rId28" w:history="1">
        <w:r>
          <w:rPr>
            <w:rStyle w:val="Hyperlink"/>
          </w:rPr>
          <w:t xml:space="preserve">Quantum Long Short-Term Memory</w:t>
        </w:r>
      </w:hyperlink>
      <w:r>
        <w:t xml:space="preserve">。S. Y.-C. Chen, S. Yoo, Y.-L. L. Fang，IEEE ICASSP 2022（預測器模型）。https://ieeexplore.ieee.org/document/9747369</w:t>
      </w:r>
    </w:p>
    <w:p>
      <w:pPr>
        <w:pStyle w:val="ListParagraph"/>
        <w:numPr>
          <w:ilvl w:val="0"/>
          <w:numId w:val="8"/>
        </w:numPr>
      </w:pPr>
      <w:hyperlink r:id="rId17" w:history="1">
        <w:r>
          <w:rPr>
            <w:rStyle w:val="Hyperlink"/>
          </w:rPr>
          <w:t xml:space="preserve">Learning to trade via direct reinforcement</w:t>
        </w:r>
      </w:hyperlink>
      <w:r>
        <w:t xml:space="preserve">。J. Moody, M. Saffell，IEEE Transactions on Neural Networks 2001。https://ieeexplore.ieee.org/document/935097</w:t>
      </w:r>
    </w:p>
    <w:p>
      <w:pPr>
        <w:pStyle w:val="ListParagraph"/>
        <w:numPr>
          <w:ilvl w:val="0"/>
          <w:numId w:val="8"/>
        </w:numPr>
      </w:pPr>
      <w:hyperlink r:id="rId18" w:history="1">
        <w:r>
          <w:rPr>
            <w:rStyle w:val="Hyperlink"/>
          </w:rPr>
          <w:t xml:space="preserve">Deep Direct Reinforcement Learning for Financial Signal Representation and Trading</w:t>
        </w:r>
      </w:hyperlink>
      <w:r>
        <w:t xml:space="preserve">。Y. Deng, F. Bao, Y. Kong, Z. Ren, Q. Dai，IEEE Transactions on Neural Networks and Learning Systems 2017。https://ieeexplore.ieee.org/document/7407387</w:t>
      </w:r>
    </w:p>
    <w:p>
      <w:pPr>
        <w:pStyle w:val="ListParagraph"/>
        <w:numPr>
          <w:ilvl w:val="0"/>
          <w:numId w:val="8"/>
        </w:numPr>
      </w:pPr>
      <w:hyperlink r:id="rId16" w:history="1">
        <w:r>
          <w:rPr>
            <w:rStyle w:val="Hyperlink"/>
          </w:rPr>
          <w:t xml:space="preserve">Deep Robust Reinforcement Learning for Practical Algorithmic Trading</w:t>
        </w:r>
      </w:hyperlink>
      <w:r>
        <w:t xml:space="preserve">。Y. Li, W. Zheng, Z. Zheng，IEEE Access 2019。https://ieeexplore.ieee.org/document/8786132</w:t>
      </w:r>
    </w:p>
    <w:p>
      <w:pPr>
        <w:pStyle w:val="ListParagraph"/>
        <w:numPr>
          <w:ilvl w:val="0"/>
          <w:numId w:val="8"/>
        </w:numPr>
      </w:pPr>
      <w:hyperlink r:id="rId19" w:history="1">
        <w:r>
          <w:rPr>
            <w:rStyle w:val="Hyperlink"/>
          </w:rPr>
          <w:t xml:space="preserve">A Mean-VaR Based Deep Reinforcement Learning Framework for Practical Algorithmic Trading</w:t>
        </w:r>
      </w:hyperlink>
      <w:r>
        <w:t xml:space="preserve">。Jin，IEEE Access 2023。https://ieeexplore.ieee.org/document/10076454</w:t>
      </w:r>
    </w:p>
    <w:p>
      <w:pPr>
        <w:pStyle w:val="ListParagraph"/>
        <w:numPr>
          <w:ilvl w:val="0"/>
          <w:numId w:val="8"/>
        </w:numPr>
      </w:pPr>
      <w:hyperlink r:id="rId29" w:history="1">
        <w:r>
          <w:rPr>
            <w:rStyle w:val="Hyperlink"/>
          </w:rPr>
          <w:t xml:space="preserve">Quantum Computing for Finance: State-of-the-Art and Future Prospects</w:t>
        </w:r>
      </w:hyperlink>
      <w:r>
        <w:t xml:space="preserve">。D. J. Egger 等，IEEE Transactions on Quantum Engineering 2020。https://ieeexplore.ieee.org/document/9222275</w:t>
      </w:r>
    </w:p>
    <w:p>
      <w:pPr>
        <w:pStyle w:val="ListParagraph"/>
        <w:numPr>
          <w:ilvl w:val="0"/>
          <w:numId w:val="8"/>
        </w:numPr>
      </w:pPr>
      <w:hyperlink r:id="rId30" w:history="1">
        <w:r>
          <w:rPr>
            <w:rStyle w:val="Hyperlink"/>
          </w:rPr>
          <w:t xml:space="preserve">Quantum Machine Learning for Finance ICCAD Special Session Paper</w:t>
        </w:r>
      </w:hyperlink>
      <w:r>
        <w:t xml:space="preserve">。M. Pistoia 等，IEEE/ACM ICCAD 2021。https://ieeexplore.ieee.org/document/9643469</w:t>
      </w:r>
    </w:p>
    <w:p>
      <w:pPr>
        <w:pStyle w:val="ListParagraph"/>
        <w:numPr>
          <w:ilvl w:val="0"/>
          <w:numId w:val="8"/>
        </w:numPr>
      </w:pPr>
      <w:hyperlink r:id="rId26" w:history="1">
        <w:r>
          <w:rPr>
            <w:rStyle w:val="Hyperlink"/>
          </w:rPr>
          <w:t xml:space="preserve">A Comparative Study of Performance Estimation Methods for Time Series Forecasting</w:t>
        </w:r>
      </w:hyperlink>
      <w:r>
        <w:t xml:space="preserve">。V. Cerqueira, L. Torgo, J. Smailović, I. Mozetič，IEEE DSAA 2017。https://ieeexplore.ieee.org/document/8259815</w:t>
      </w:r>
    </w:p>
    <w:p>
      <w:pPr>
        <w:pStyle w:val="ListParagraph"/>
        <w:numPr>
          <w:ilvl w:val="0"/>
          <w:numId w:val="8"/>
        </w:numPr>
      </w:pPr>
      <w:hyperlink r:id="rId20" w:history="1">
        <w:r>
          <w:rPr>
            <w:rStyle w:val="Hyperlink"/>
          </w:rPr>
          <w:t xml:space="preserve">FinRL Contests: Data-Driven Financial Reinforcement Learning Agents for Stock and Crypto Trading</w:t>
        </w:r>
      </w:hyperlink>
      <w:r>
        <w:t xml:space="preserve">。Wang 等，IET Artificial Intelligence for Engineering 2025。https://doi.org/10.1049/aie2.12004</w:t>
      </w:r>
    </w:p>
    <w:p>
      <w:pPr/>
      <w:r>
        <w:rPr>
          <w:b/>
        </w:rPr>
        <w:t xml:space="preserve">其他期刊、會議與預印本</w:t>
      </w:r>
    </w:p>
    <w:p>
      <w:pPr>
        <w:pStyle w:val="ListParagraph"/>
        <w:numPr>
          <w:ilvl w:val="0"/>
          <w:numId w:val="9"/>
        </w:numPr>
      </w:pPr>
      <w:hyperlink r:id="rId7" w:history="1">
        <w:r>
          <w:rPr>
            <w:rStyle w:val="Hyperlink"/>
          </w:rPr>
          <w:t xml:space="preserve">Asynchronous training of quantum reinforcement learning</w:t>
        </w:r>
      </w:hyperlink>
      <w:r>
        <w:t xml:space="preserve">。S. Y.-C. Chen，Procedia Computer Science 2023。https://doi.org/10.1016/j.procs.2023.08.171（arXiv 預印本：https://arxiv.org/abs/2301.05096）</w:t>
      </w:r>
    </w:p>
    <w:p>
      <w:pPr>
        <w:pStyle w:val="ListParagraph"/>
        <w:numPr>
          <w:ilvl w:val="0"/>
          <w:numId w:val="9"/>
        </w:numPr>
      </w:pPr>
      <w:hyperlink r:id="rId31" w:history="1">
        <w:r>
          <w:rPr>
            <w:rStyle w:val="Hyperlink"/>
          </w:rPr>
          <w:t xml:space="preserve">Asynchronous Methods for Deep Reinforcement Learning</w:t>
        </w:r>
      </w:hyperlink>
      <w:r>
        <w:t xml:space="preserve">。V. Mnih 等，ICML 2016（A3C 原始方法）。https://proceedings.mlr.press/v48/mniha16.html</w:t>
      </w:r>
    </w:p>
    <w:p>
      <w:pPr>
        <w:pStyle w:val="ListParagraph"/>
        <w:numPr>
          <w:ilvl w:val="0"/>
          <w:numId w:val="9"/>
        </w:numPr>
      </w:pPr>
      <w:hyperlink r:id="rId21" w:history="1">
        <w:r>
          <w:rPr>
            <w:rStyle w:val="Hyperlink"/>
          </w:rPr>
          <w:t xml:space="preserve">A Closer Look at Invalid Action Masking in Policy Gradient Algorithms</w:t>
        </w:r>
      </w:hyperlink>
      <w:r>
        <w:t xml:space="preserve">。S. Huang, S. Ontañón，FLAIRS 2022。https://doi.org/10.32473/flairs.v35i.130584（arXiv 預印本：https://arxiv.org/abs/2006.14171）</w:t>
      </w:r>
    </w:p>
    <w:p>
      <w:pPr>
        <w:pStyle w:val="ListParagraph"/>
        <w:numPr>
          <w:ilvl w:val="0"/>
          <w:numId w:val="9"/>
        </w:numPr>
      </w:pPr>
      <w:hyperlink r:id="rId22" w:history="1">
        <w:r>
          <w:rPr>
            <w:rStyle w:val="Hyperlink"/>
          </w:rPr>
          <w:t xml:space="preserve">Defining and Characterizing Reward Hacking</w:t>
        </w:r>
      </w:hyperlink>
      <w:r>
        <w:t xml:space="preserve">。J. Skalse, N. Howe, D. Krasheninnikov, D. Krueger，NeurIPS 2022。https://arxiv.org/abs/2209.13085</w:t>
      </w:r>
    </w:p>
    <w:p>
      <w:pPr>
        <w:pStyle w:val="ListParagraph"/>
        <w:numPr>
          <w:ilvl w:val="0"/>
          <w:numId w:val="9"/>
        </w:numPr>
      </w:pPr>
      <w:hyperlink r:id="rId23" w:history="1">
        <w:r>
          <w:rPr>
            <w:rStyle w:val="Hyperlink"/>
          </w:rPr>
          <w:t xml:space="preserve">The Deflated Sharpe Ratio: Correcting for Selection Bias, Backtest Overfitting, and Non-Normality</w:t>
        </w:r>
      </w:hyperlink>
      <w:r>
        <w:t xml:space="preserve">。D. H. Bailey, M. López de Prado，The Journal of Portfolio Management 2014。https://doi.org/10.3905/jpm.2014.40.5.094</w:t>
      </w:r>
    </w:p>
    <w:p>
      <w:pPr>
        <w:pStyle w:val="ListParagraph"/>
        <w:numPr>
          <w:ilvl w:val="0"/>
          <w:numId w:val="9"/>
        </w:numPr>
      </w:pPr>
      <w:hyperlink r:id="rId24" w:history="1">
        <w:r>
          <w:rPr>
            <w:rStyle w:val="Hyperlink"/>
          </w:rPr>
          <w:t xml:space="preserve">The Probability of Backtest Overfitting</w:t>
        </w:r>
      </w:hyperlink>
      <w:r>
        <w:t xml:space="preserve">。D. H. Bailey, J. Borwein, M. López de Prado, Q. J. Zhu，The Journal of Computational Finance 2016。https://doi.org/10.21314/JCF.2016.322</w:t>
      </w:r>
    </w:p>
    <w:p>
      <w:pPr>
        <w:pStyle w:val="ListParagraph"/>
        <w:numPr>
          <w:ilvl w:val="0"/>
          <w:numId w:val="9"/>
        </w:numPr>
      </w:pPr>
      <w:hyperlink r:id="rId25" w:history="1">
        <w:r>
          <w:rPr>
            <w:rStyle w:val="Hyperlink"/>
          </w:rPr>
          <w:t xml:space="preserve">Backtesting</w:t>
        </w:r>
      </w:hyperlink>
      <w:r>
        <w:t xml:space="preserve">。C. R. Harvey, Y. Liu，The Journal of Portfolio Management 2015。https://doi.org/10.3905/jpm.2015.42.1.013</w:t>
      </w:r>
    </w:p>
    <w:p>
      <w:pPr>
        <w:pStyle w:val="ListParagraph"/>
        <w:numPr>
          <w:ilvl w:val="0"/>
          <w:numId w:val="9"/>
        </w:numPr>
      </w:pPr>
      <w:hyperlink r:id="rId27" w:history="1">
        <w:r>
          <w:rPr>
            <w:rStyle w:val="Hyperlink"/>
          </w:rPr>
          <w:t xml:space="preserve">Better than classical? The subtle art of benchmarking quantum machine learning models</w:t>
        </w:r>
      </w:hyperlink>
      <w:r>
        <w:t xml:space="preserve">。J. Bowles, S. Ahmed, M. Schuld，2024（預印本）。https://arxiv.org/abs/2403.07059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6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doi.org/10.1109/gcwkshps68340.2025.11591031" TargetMode="External"/><Relationship Id="rId4" Type="http://schemas.openxmlformats.org/officeDocument/2006/relationships/hyperlink" Target="https://doi.org/10.1109/TQE.2020.3030314" TargetMode="External"/><Relationship Id="rId5" Type="http://schemas.openxmlformats.org/officeDocument/2006/relationships/hyperlink" Target="https://doi.org/10.1109/ICCAD51958.2021.9643469" TargetMode="External"/><Relationship Id="rId6" Type="http://schemas.openxmlformats.org/officeDocument/2006/relationships/hyperlink" Target="https://doi.org/10.1109/ACCESS.2020.3010470" TargetMode="External"/><Relationship Id="rId7" Type="http://schemas.openxmlformats.org/officeDocument/2006/relationships/hyperlink" Target="https://doi.org/10.1016/j.procs.2023.08.171" TargetMode="External"/><Relationship Id="rId8" Type="http://schemas.openxmlformats.org/officeDocument/2006/relationships/hyperlink" Target="https://doi.org/10.1109/72.935097" TargetMode="External"/><Relationship Id="rId9" Type="http://schemas.openxmlformats.org/officeDocument/2006/relationships/hyperlink" Target="https://doi.org/10.1109/TNNLS.2016.2522401" TargetMode="External"/><Relationship Id="rId10" Type="http://schemas.openxmlformats.org/officeDocument/2006/relationships/hyperlink" Target="https://ieeexplore.ieee.org/document/11591031" TargetMode="External"/><Relationship Id="rId11" Type="http://schemas.openxmlformats.org/officeDocument/2006/relationships/hyperlink" Target="https://ieeexplore.ieee.org/document/11250034" TargetMode="External"/><Relationship Id="rId12" Type="http://schemas.openxmlformats.org/officeDocument/2006/relationships/hyperlink" Target="https://ieeexplore.ieee.org/document/11462530" TargetMode="External"/><Relationship Id="rId13" Type="http://schemas.openxmlformats.org/officeDocument/2006/relationships/hyperlink" Target="https://ieeexplore.ieee.org/document/10821463" TargetMode="External"/><Relationship Id="rId14" Type="http://schemas.openxmlformats.org/officeDocument/2006/relationships/hyperlink" Target="https://ieeexplore.ieee.org/document/9144562" TargetMode="External"/><Relationship Id="rId15" Type="http://schemas.openxmlformats.org/officeDocument/2006/relationships/hyperlink" Target="https://ieeexplore.ieee.org/document/10821228" TargetMode="External"/><Relationship Id="rId16" Type="http://schemas.openxmlformats.org/officeDocument/2006/relationships/hyperlink" Target="https://ieeexplore.ieee.org/document/8786132" TargetMode="External"/><Relationship Id="rId17" Type="http://schemas.openxmlformats.org/officeDocument/2006/relationships/hyperlink" Target="https://ieeexplore.ieee.org/document/935097" TargetMode="External"/><Relationship Id="rId18" Type="http://schemas.openxmlformats.org/officeDocument/2006/relationships/hyperlink" Target="https://ieeexplore.ieee.org/document/7407387" TargetMode="External"/><Relationship Id="rId19" Type="http://schemas.openxmlformats.org/officeDocument/2006/relationships/hyperlink" Target="https://ieeexplore.ieee.org/document/10076454" TargetMode="External"/><Relationship Id="rId20" Type="http://schemas.openxmlformats.org/officeDocument/2006/relationships/hyperlink" Target="https://doi.org/10.1049/aie2.12004" TargetMode="External"/><Relationship Id="rId21" Type="http://schemas.openxmlformats.org/officeDocument/2006/relationships/hyperlink" Target="https://doi.org/10.32473/flairs.v35i.130584" TargetMode="External"/><Relationship Id="rId22" Type="http://schemas.openxmlformats.org/officeDocument/2006/relationships/hyperlink" Target="https://arxiv.org/abs/2209.13085" TargetMode="External"/><Relationship Id="rId23" Type="http://schemas.openxmlformats.org/officeDocument/2006/relationships/hyperlink" Target="https://doi.org/10.3905/jpm.2014.40.5.094" TargetMode="External"/><Relationship Id="rId24" Type="http://schemas.openxmlformats.org/officeDocument/2006/relationships/hyperlink" Target="https://doi.org/10.21314/JCF.2016.322" TargetMode="External"/><Relationship Id="rId25" Type="http://schemas.openxmlformats.org/officeDocument/2006/relationships/hyperlink" Target="https://doi.org/10.3905/jpm.2015.42.1.013" TargetMode="External"/><Relationship Id="rId26" Type="http://schemas.openxmlformats.org/officeDocument/2006/relationships/hyperlink" Target="https://ieeexplore.ieee.org/document/8259815" TargetMode="External"/><Relationship Id="rId27" Type="http://schemas.openxmlformats.org/officeDocument/2006/relationships/hyperlink" Target="https://arxiv.org/abs/2403.07059" TargetMode="External"/><Relationship Id="rId28" Type="http://schemas.openxmlformats.org/officeDocument/2006/relationships/hyperlink" Target="https://ieeexplore.ieee.org/document/9747369" TargetMode="External"/><Relationship Id="rId29" Type="http://schemas.openxmlformats.org/officeDocument/2006/relationships/hyperlink" Target="https://ieeexplore.ieee.org/document/9222275" TargetMode="External"/><Relationship Id="rId30" Type="http://schemas.openxmlformats.org/officeDocument/2006/relationships/hyperlink" Target="https://ieeexplore.ieee.org/document/9643469" TargetMode="External"/><Relationship Id="rId31" Type="http://schemas.openxmlformats.org/officeDocument/2006/relationships/hyperlink" Target="https://proceedings.mlr.press/v48/mniha16.html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第二篇論文預計報告書：有交易成本的量子強化學習交易評估</dc:title>
  <dc:description>Claude Docs node/019c1eac-38df@11 docx-w7</dc:description>
  <cp:revision>11</cp:revision>
</cp:coreProperties>
</file>