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B07DD" w14:textId="77777777" w:rsidR="004D1EC6" w:rsidRDefault="004D1EC6" w:rsidP="004D1EC6">
      <w:pPr>
        <w:pStyle w:val="Default"/>
        <w:jc w:val="center"/>
        <w:rPr>
          <w:b/>
          <w:bCs/>
          <w:sz w:val="22"/>
          <w:szCs w:val="22"/>
        </w:rPr>
      </w:pPr>
      <w:r w:rsidRPr="00F526AA">
        <w:rPr>
          <w:b/>
          <w:bCs/>
          <w:sz w:val="22"/>
          <w:szCs w:val="22"/>
        </w:rPr>
        <w:t xml:space="preserve">AIMS OF THE COMPREHENSIVE REVIEW OF THE </w:t>
      </w:r>
    </w:p>
    <w:p w14:paraId="75098392" w14:textId="77777777" w:rsidR="004D1EC6" w:rsidRPr="00F526AA" w:rsidRDefault="004D1EC6" w:rsidP="004D1EC6">
      <w:pPr>
        <w:pStyle w:val="Default"/>
        <w:jc w:val="center"/>
        <w:rPr>
          <w:sz w:val="22"/>
          <w:szCs w:val="22"/>
        </w:rPr>
      </w:pPr>
      <w:r w:rsidRPr="00F526AA">
        <w:rPr>
          <w:b/>
          <w:bCs/>
          <w:sz w:val="22"/>
          <w:szCs w:val="22"/>
        </w:rPr>
        <w:t>1978 STCW CONVENTION AND CODE</w:t>
      </w:r>
    </w:p>
    <w:p w14:paraId="09097386" w14:textId="77777777" w:rsidR="004D1EC6" w:rsidRPr="00F526AA" w:rsidRDefault="004D1EC6" w:rsidP="004D1EC6">
      <w:pPr>
        <w:pStyle w:val="Default"/>
        <w:rPr>
          <w:sz w:val="22"/>
          <w:szCs w:val="22"/>
        </w:rPr>
      </w:pPr>
    </w:p>
    <w:p w14:paraId="4AA19C58" w14:textId="77777777" w:rsidR="004D1EC6" w:rsidRPr="00F526AA" w:rsidRDefault="004D1EC6" w:rsidP="004D1EC6">
      <w:pPr>
        <w:pStyle w:val="Default"/>
        <w:jc w:val="both"/>
        <w:rPr>
          <w:sz w:val="22"/>
          <w:szCs w:val="22"/>
        </w:rPr>
      </w:pPr>
      <w:r w:rsidRPr="00F526AA">
        <w:rPr>
          <w:sz w:val="22"/>
          <w:szCs w:val="22"/>
        </w:rPr>
        <w:t xml:space="preserve">The aim of the comprehensive review of the 1978 STCW Convention and Code is to ensure that the Convention and Code: </w:t>
      </w:r>
    </w:p>
    <w:p w14:paraId="34F7AC71" w14:textId="77777777" w:rsidR="004D1EC6" w:rsidRPr="00F526AA" w:rsidRDefault="004D1EC6" w:rsidP="004D1EC6">
      <w:pPr>
        <w:pStyle w:val="Default"/>
        <w:jc w:val="both"/>
        <w:rPr>
          <w:sz w:val="22"/>
          <w:szCs w:val="22"/>
        </w:rPr>
      </w:pPr>
    </w:p>
    <w:p w14:paraId="1C9F480A" w14:textId="77777777" w:rsidR="004D1EC6" w:rsidRDefault="004D1EC6" w:rsidP="004D1EC6">
      <w:pPr>
        <w:pStyle w:val="Default"/>
        <w:numPr>
          <w:ilvl w:val="0"/>
          <w:numId w:val="1"/>
        </w:numPr>
        <w:jc w:val="both"/>
        <w:rPr>
          <w:sz w:val="22"/>
          <w:szCs w:val="22"/>
        </w:rPr>
      </w:pPr>
      <w:r w:rsidRPr="00F526AA">
        <w:rPr>
          <w:sz w:val="22"/>
          <w:szCs w:val="22"/>
        </w:rPr>
        <w:t>continue to deliver seafarers who are competent and fit to perform the functions required on board ships;</w:t>
      </w:r>
    </w:p>
    <w:p w14:paraId="259B6B12" w14:textId="77777777" w:rsidR="004D1EC6" w:rsidRPr="00F526AA" w:rsidRDefault="004D1EC6" w:rsidP="004D1EC6">
      <w:pPr>
        <w:pStyle w:val="Default"/>
        <w:ind w:firstLine="60"/>
        <w:jc w:val="both"/>
        <w:rPr>
          <w:sz w:val="22"/>
          <w:szCs w:val="22"/>
        </w:rPr>
      </w:pPr>
    </w:p>
    <w:p w14:paraId="5667574C" w14:textId="77777777" w:rsidR="004D1EC6" w:rsidRDefault="004D1EC6" w:rsidP="004D1EC6">
      <w:pPr>
        <w:pStyle w:val="Default"/>
        <w:numPr>
          <w:ilvl w:val="0"/>
          <w:numId w:val="1"/>
        </w:numPr>
        <w:jc w:val="both"/>
        <w:rPr>
          <w:sz w:val="22"/>
          <w:szCs w:val="22"/>
        </w:rPr>
      </w:pPr>
      <w:r w:rsidRPr="00F526AA">
        <w:rPr>
          <w:sz w:val="22"/>
          <w:szCs w:val="22"/>
        </w:rPr>
        <w:t xml:space="preserve">provide the internationally recognized standards for training and certification of seafarers and standards for watchkeeping; </w:t>
      </w:r>
    </w:p>
    <w:p w14:paraId="558CDC92" w14:textId="77777777" w:rsidR="004D1EC6" w:rsidRPr="00F526AA" w:rsidRDefault="004D1EC6" w:rsidP="004D1EC6">
      <w:pPr>
        <w:pStyle w:val="Default"/>
        <w:jc w:val="both"/>
        <w:rPr>
          <w:sz w:val="22"/>
          <w:szCs w:val="22"/>
        </w:rPr>
      </w:pPr>
    </w:p>
    <w:p w14:paraId="17F69E57" w14:textId="77777777" w:rsidR="004D1EC6" w:rsidRDefault="004D1EC6" w:rsidP="004D1EC6">
      <w:pPr>
        <w:pStyle w:val="Default"/>
        <w:numPr>
          <w:ilvl w:val="0"/>
          <w:numId w:val="1"/>
        </w:numPr>
        <w:jc w:val="both"/>
        <w:rPr>
          <w:sz w:val="22"/>
          <w:szCs w:val="22"/>
        </w:rPr>
      </w:pPr>
      <w:r w:rsidRPr="00F526AA">
        <w:rPr>
          <w:sz w:val="22"/>
          <w:szCs w:val="22"/>
        </w:rPr>
        <w:t xml:space="preserve">respond and adapt to technological, regulatory, operational and other related industry developments; and </w:t>
      </w:r>
    </w:p>
    <w:p w14:paraId="6B252627" w14:textId="77777777" w:rsidR="004D1EC6" w:rsidRPr="00F526AA" w:rsidRDefault="004D1EC6" w:rsidP="004D1EC6">
      <w:pPr>
        <w:pStyle w:val="Default"/>
        <w:jc w:val="both"/>
        <w:rPr>
          <w:sz w:val="22"/>
          <w:szCs w:val="22"/>
        </w:rPr>
      </w:pPr>
    </w:p>
    <w:p w14:paraId="0A5EF610" w14:textId="0B358900" w:rsidR="004A165F" w:rsidRPr="007A6006" w:rsidRDefault="004D1EC6" w:rsidP="007A6006">
      <w:pPr>
        <w:pStyle w:val="Default"/>
        <w:numPr>
          <w:ilvl w:val="0"/>
          <w:numId w:val="1"/>
        </w:numPr>
        <w:jc w:val="both"/>
        <w:rPr>
          <w:sz w:val="22"/>
          <w:szCs w:val="22"/>
        </w:rPr>
      </w:pPr>
      <w:r w:rsidRPr="007A6006">
        <w:rPr>
          <w:sz w:val="22"/>
          <w:szCs w:val="22"/>
        </w:rPr>
        <w:t>are structured and organized in a manner facilitating harmonized and consistent implementation.</w:t>
      </w:r>
    </w:p>
    <w:p w14:paraId="79492D7B" w14:textId="77777777" w:rsidR="004D1EC6" w:rsidRDefault="004D1EC6" w:rsidP="00B46EDF">
      <w:pPr>
        <w:pStyle w:val="Default"/>
        <w:jc w:val="center"/>
        <w:rPr>
          <w:b/>
          <w:bCs/>
        </w:rPr>
      </w:pPr>
    </w:p>
    <w:p w14:paraId="06C3B5F0" w14:textId="77777777" w:rsidR="007A6006" w:rsidRDefault="007A6006" w:rsidP="00B46EDF">
      <w:pPr>
        <w:pStyle w:val="Default"/>
        <w:jc w:val="center"/>
        <w:rPr>
          <w:b/>
          <w:bCs/>
        </w:rPr>
      </w:pPr>
    </w:p>
    <w:p w14:paraId="0BC79107" w14:textId="77777777" w:rsidR="007A6006" w:rsidRDefault="007A6006" w:rsidP="00B46EDF">
      <w:pPr>
        <w:pStyle w:val="Default"/>
        <w:jc w:val="center"/>
        <w:rPr>
          <w:b/>
          <w:bCs/>
        </w:rPr>
      </w:pPr>
    </w:p>
    <w:p w14:paraId="40F92B94" w14:textId="77777777" w:rsidR="007A6006" w:rsidRDefault="007A6006" w:rsidP="00B46EDF">
      <w:pPr>
        <w:pStyle w:val="Default"/>
        <w:jc w:val="center"/>
        <w:rPr>
          <w:b/>
          <w:bCs/>
        </w:rPr>
      </w:pPr>
    </w:p>
    <w:p w14:paraId="39183C2A" w14:textId="77777777" w:rsidR="007A6006" w:rsidRDefault="007A6006" w:rsidP="00B46EDF">
      <w:pPr>
        <w:pStyle w:val="Default"/>
        <w:jc w:val="center"/>
        <w:rPr>
          <w:b/>
          <w:bCs/>
        </w:rPr>
      </w:pPr>
    </w:p>
    <w:p w14:paraId="41B701B5" w14:textId="77777777" w:rsidR="007A6006" w:rsidRDefault="007A6006" w:rsidP="00B46EDF">
      <w:pPr>
        <w:pStyle w:val="Default"/>
        <w:jc w:val="center"/>
        <w:rPr>
          <w:b/>
          <w:bCs/>
        </w:rPr>
      </w:pPr>
    </w:p>
    <w:p w14:paraId="5A3160B8" w14:textId="77777777" w:rsidR="007A6006" w:rsidRDefault="007A6006" w:rsidP="00B46EDF">
      <w:pPr>
        <w:pStyle w:val="Default"/>
        <w:jc w:val="center"/>
        <w:rPr>
          <w:b/>
          <w:bCs/>
        </w:rPr>
      </w:pPr>
    </w:p>
    <w:p w14:paraId="5E62DD28" w14:textId="77777777" w:rsidR="007A6006" w:rsidRDefault="007A6006" w:rsidP="00B46EDF">
      <w:pPr>
        <w:pStyle w:val="Default"/>
        <w:jc w:val="center"/>
        <w:rPr>
          <w:b/>
          <w:bCs/>
        </w:rPr>
      </w:pPr>
    </w:p>
    <w:p w14:paraId="3C4CE2D6" w14:textId="77777777" w:rsidR="007A6006" w:rsidRDefault="007A6006" w:rsidP="00B46EDF">
      <w:pPr>
        <w:pStyle w:val="Default"/>
        <w:jc w:val="center"/>
        <w:rPr>
          <w:b/>
          <w:bCs/>
        </w:rPr>
      </w:pPr>
    </w:p>
    <w:p w14:paraId="5B85D9B8" w14:textId="77777777" w:rsidR="007A6006" w:rsidRDefault="007A6006" w:rsidP="00B46EDF">
      <w:pPr>
        <w:pStyle w:val="Default"/>
        <w:jc w:val="center"/>
        <w:rPr>
          <w:b/>
          <w:bCs/>
        </w:rPr>
      </w:pPr>
    </w:p>
    <w:p w14:paraId="0D1F28C4" w14:textId="77777777" w:rsidR="007A6006" w:rsidRDefault="007A6006" w:rsidP="00B46EDF">
      <w:pPr>
        <w:pStyle w:val="Default"/>
        <w:jc w:val="center"/>
        <w:rPr>
          <w:b/>
          <w:bCs/>
        </w:rPr>
      </w:pPr>
    </w:p>
    <w:p w14:paraId="6080FB35" w14:textId="77777777" w:rsidR="007A6006" w:rsidRDefault="007A6006" w:rsidP="00B46EDF">
      <w:pPr>
        <w:pStyle w:val="Default"/>
        <w:jc w:val="center"/>
        <w:rPr>
          <w:b/>
          <w:bCs/>
        </w:rPr>
      </w:pPr>
    </w:p>
    <w:p w14:paraId="4B543C64" w14:textId="77777777" w:rsidR="007A6006" w:rsidRDefault="007A6006" w:rsidP="00B46EDF">
      <w:pPr>
        <w:pStyle w:val="Default"/>
        <w:jc w:val="center"/>
        <w:rPr>
          <w:b/>
          <w:bCs/>
        </w:rPr>
      </w:pPr>
    </w:p>
    <w:p w14:paraId="2F51DE12" w14:textId="77777777" w:rsidR="007A6006" w:rsidRDefault="007A6006" w:rsidP="00B46EDF">
      <w:pPr>
        <w:pStyle w:val="Default"/>
        <w:jc w:val="center"/>
        <w:rPr>
          <w:b/>
          <w:bCs/>
        </w:rPr>
      </w:pPr>
    </w:p>
    <w:p w14:paraId="769A1D38" w14:textId="77777777" w:rsidR="007A6006" w:rsidRDefault="007A6006" w:rsidP="00B46EDF">
      <w:pPr>
        <w:pStyle w:val="Default"/>
        <w:jc w:val="center"/>
        <w:rPr>
          <w:b/>
          <w:bCs/>
        </w:rPr>
      </w:pPr>
    </w:p>
    <w:p w14:paraId="293CD931" w14:textId="77777777" w:rsidR="007A6006" w:rsidRDefault="007A6006" w:rsidP="00B46EDF">
      <w:pPr>
        <w:pStyle w:val="Default"/>
        <w:jc w:val="center"/>
        <w:rPr>
          <w:b/>
          <w:bCs/>
        </w:rPr>
      </w:pPr>
    </w:p>
    <w:p w14:paraId="23EABCB1" w14:textId="77777777" w:rsidR="007A6006" w:rsidRDefault="007A6006" w:rsidP="00B46EDF">
      <w:pPr>
        <w:pStyle w:val="Default"/>
        <w:jc w:val="center"/>
        <w:rPr>
          <w:b/>
          <w:bCs/>
        </w:rPr>
      </w:pPr>
    </w:p>
    <w:p w14:paraId="13BF9E01" w14:textId="77777777" w:rsidR="007A6006" w:rsidRDefault="007A6006" w:rsidP="00B46EDF">
      <w:pPr>
        <w:pStyle w:val="Default"/>
        <w:jc w:val="center"/>
        <w:rPr>
          <w:b/>
          <w:bCs/>
        </w:rPr>
      </w:pPr>
    </w:p>
    <w:p w14:paraId="34155689" w14:textId="77777777" w:rsidR="007A6006" w:rsidRDefault="007A6006" w:rsidP="00B46EDF">
      <w:pPr>
        <w:pStyle w:val="Default"/>
        <w:jc w:val="center"/>
        <w:rPr>
          <w:b/>
          <w:bCs/>
        </w:rPr>
      </w:pPr>
    </w:p>
    <w:p w14:paraId="371A55AD" w14:textId="77777777" w:rsidR="007A6006" w:rsidRDefault="007A6006" w:rsidP="00B46EDF">
      <w:pPr>
        <w:pStyle w:val="Default"/>
        <w:jc w:val="center"/>
        <w:rPr>
          <w:b/>
          <w:bCs/>
        </w:rPr>
      </w:pPr>
    </w:p>
    <w:p w14:paraId="5828E6F4" w14:textId="77777777" w:rsidR="007A6006" w:rsidRDefault="007A6006" w:rsidP="00B46EDF">
      <w:pPr>
        <w:pStyle w:val="Default"/>
        <w:jc w:val="center"/>
        <w:rPr>
          <w:b/>
          <w:bCs/>
        </w:rPr>
      </w:pPr>
    </w:p>
    <w:p w14:paraId="5911F1D1" w14:textId="77777777" w:rsidR="007A6006" w:rsidRDefault="007A6006" w:rsidP="00B46EDF">
      <w:pPr>
        <w:pStyle w:val="Default"/>
        <w:jc w:val="center"/>
        <w:rPr>
          <w:b/>
          <w:bCs/>
        </w:rPr>
      </w:pPr>
    </w:p>
    <w:p w14:paraId="05788A6E" w14:textId="77777777" w:rsidR="007A6006" w:rsidRDefault="007A6006" w:rsidP="00B46EDF">
      <w:pPr>
        <w:pStyle w:val="Default"/>
        <w:jc w:val="center"/>
        <w:rPr>
          <w:b/>
          <w:bCs/>
        </w:rPr>
      </w:pPr>
    </w:p>
    <w:p w14:paraId="0AD03500" w14:textId="77777777" w:rsidR="007A6006" w:rsidRDefault="007A6006" w:rsidP="00B46EDF">
      <w:pPr>
        <w:pStyle w:val="Default"/>
        <w:jc w:val="center"/>
        <w:rPr>
          <w:b/>
          <w:bCs/>
        </w:rPr>
      </w:pPr>
    </w:p>
    <w:p w14:paraId="0F61CF95" w14:textId="77777777" w:rsidR="007A6006" w:rsidRDefault="007A6006" w:rsidP="00B46EDF">
      <w:pPr>
        <w:pStyle w:val="Default"/>
        <w:jc w:val="center"/>
        <w:rPr>
          <w:b/>
          <w:bCs/>
        </w:rPr>
      </w:pPr>
    </w:p>
    <w:p w14:paraId="67FB7625" w14:textId="77777777" w:rsidR="007A6006" w:rsidRDefault="007A6006" w:rsidP="00B46EDF">
      <w:pPr>
        <w:pStyle w:val="Default"/>
        <w:jc w:val="center"/>
        <w:rPr>
          <w:b/>
          <w:bCs/>
        </w:rPr>
      </w:pPr>
    </w:p>
    <w:p w14:paraId="0581F715" w14:textId="77777777" w:rsidR="007A6006" w:rsidRDefault="007A6006" w:rsidP="00B46EDF">
      <w:pPr>
        <w:pStyle w:val="Default"/>
        <w:jc w:val="center"/>
        <w:rPr>
          <w:b/>
          <w:bCs/>
        </w:rPr>
      </w:pPr>
    </w:p>
    <w:p w14:paraId="5B7F89AF" w14:textId="77777777" w:rsidR="007A6006" w:rsidRDefault="007A6006" w:rsidP="00B46EDF">
      <w:pPr>
        <w:pStyle w:val="Default"/>
        <w:jc w:val="center"/>
        <w:rPr>
          <w:b/>
          <w:bCs/>
        </w:rPr>
      </w:pPr>
    </w:p>
    <w:p w14:paraId="7CAFDD6F" w14:textId="77777777" w:rsidR="007A6006" w:rsidRDefault="007A6006" w:rsidP="00B46EDF">
      <w:pPr>
        <w:pStyle w:val="Default"/>
        <w:jc w:val="center"/>
        <w:rPr>
          <w:b/>
          <w:bCs/>
        </w:rPr>
      </w:pPr>
    </w:p>
    <w:p w14:paraId="78B2FCDC" w14:textId="77777777" w:rsidR="007A6006" w:rsidRDefault="007A6006" w:rsidP="00B46EDF">
      <w:pPr>
        <w:pStyle w:val="Default"/>
        <w:jc w:val="center"/>
        <w:rPr>
          <w:b/>
          <w:bCs/>
        </w:rPr>
      </w:pPr>
    </w:p>
    <w:p w14:paraId="366B7371" w14:textId="77777777" w:rsidR="007A6006" w:rsidRDefault="007A6006" w:rsidP="00B46EDF">
      <w:pPr>
        <w:pStyle w:val="Default"/>
        <w:jc w:val="center"/>
        <w:rPr>
          <w:b/>
          <w:bCs/>
        </w:rPr>
      </w:pPr>
    </w:p>
    <w:p w14:paraId="3A42E307" w14:textId="77777777" w:rsidR="007A6006" w:rsidRDefault="007A6006" w:rsidP="00B46EDF">
      <w:pPr>
        <w:pStyle w:val="Default"/>
        <w:jc w:val="center"/>
        <w:rPr>
          <w:b/>
          <w:bCs/>
        </w:rPr>
      </w:pPr>
    </w:p>
    <w:p w14:paraId="7D9ADC6F" w14:textId="77777777" w:rsidR="007A6006" w:rsidRDefault="007A6006" w:rsidP="00B46EDF">
      <w:pPr>
        <w:pStyle w:val="Default"/>
        <w:jc w:val="center"/>
        <w:rPr>
          <w:b/>
          <w:bCs/>
        </w:rPr>
      </w:pPr>
    </w:p>
    <w:p w14:paraId="6F0B2435" w14:textId="77777777" w:rsidR="007A6006" w:rsidRDefault="007A6006" w:rsidP="00B46EDF">
      <w:pPr>
        <w:pStyle w:val="Default"/>
        <w:jc w:val="center"/>
        <w:rPr>
          <w:b/>
          <w:bCs/>
        </w:rPr>
      </w:pPr>
    </w:p>
    <w:p w14:paraId="51BC57DF" w14:textId="77777777" w:rsidR="007A6006" w:rsidRDefault="007A6006" w:rsidP="00B46EDF">
      <w:pPr>
        <w:pStyle w:val="Default"/>
        <w:jc w:val="center"/>
        <w:rPr>
          <w:b/>
          <w:bCs/>
        </w:rPr>
      </w:pPr>
    </w:p>
    <w:p w14:paraId="79DF2EFF" w14:textId="77777777" w:rsidR="007A6006" w:rsidRDefault="007A6006" w:rsidP="00B46EDF">
      <w:pPr>
        <w:pStyle w:val="Default"/>
        <w:jc w:val="center"/>
        <w:rPr>
          <w:b/>
          <w:bCs/>
        </w:rPr>
      </w:pPr>
    </w:p>
    <w:p w14:paraId="5B704322" w14:textId="77777777" w:rsidR="007A6006" w:rsidRDefault="007A6006" w:rsidP="00B46EDF">
      <w:pPr>
        <w:pStyle w:val="Default"/>
        <w:jc w:val="center"/>
        <w:rPr>
          <w:b/>
          <w:bCs/>
        </w:rPr>
      </w:pPr>
    </w:p>
    <w:p w14:paraId="4645CCC6" w14:textId="77777777" w:rsidR="007A6006" w:rsidRDefault="007A6006" w:rsidP="00B46EDF">
      <w:pPr>
        <w:pStyle w:val="Default"/>
        <w:jc w:val="center"/>
        <w:rPr>
          <w:b/>
          <w:bCs/>
        </w:rPr>
      </w:pPr>
    </w:p>
    <w:p w14:paraId="331CC4B8" w14:textId="77777777" w:rsidR="007A6006" w:rsidRDefault="007A6006" w:rsidP="00B46EDF">
      <w:pPr>
        <w:pStyle w:val="Default"/>
        <w:jc w:val="center"/>
        <w:rPr>
          <w:b/>
          <w:bCs/>
        </w:rPr>
      </w:pPr>
    </w:p>
    <w:p w14:paraId="13BDA486" w14:textId="77777777" w:rsidR="007A6006" w:rsidRDefault="007A6006" w:rsidP="00B46EDF">
      <w:pPr>
        <w:pStyle w:val="Default"/>
        <w:jc w:val="center"/>
        <w:rPr>
          <w:b/>
          <w:bCs/>
        </w:rPr>
      </w:pPr>
    </w:p>
    <w:p w14:paraId="33FB214E" w14:textId="77777777" w:rsidR="007A6006" w:rsidRDefault="007A6006" w:rsidP="00B46EDF">
      <w:pPr>
        <w:pStyle w:val="Default"/>
        <w:jc w:val="center"/>
        <w:rPr>
          <w:b/>
          <w:bCs/>
        </w:rPr>
      </w:pPr>
    </w:p>
    <w:p w14:paraId="6BFE324C" w14:textId="77777777" w:rsidR="007A6006" w:rsidRDefault="007A6006" w:rsidP="00B46EDF">
      <w:pPr>
        <w:pStyle w:val="Default"/>
        <w:jc w:val="center"/>
        <w:rPr>
          <w:b/>
          <w:bCs/>
        </w:rPr>
      </w:pPr>
    </w:p>
    <w:p w14:paraId="7E4BED67" w14:textId="77777777" w:rsidR="009165B2" w:rsidRPr="001F4BE9" w:rsidRDefault="009165B2" w:rsidP="009165B2">
      <w:pPr>
        <w:pStyle w:val="Default"/>
        <w:jc w:val="center"/>
        <w:rPr>
          <w:b/>
          <w:bCs/>
          <w:sz w:val="22"/>
          <w:szCs w:val="22"/>
        </w:rPr>
      </w:pPr>
      <w:r w:rsidRPr="001F4BE9">
        <w:rPr>
          <w:b/>
          <w:bCs/>
          <w:sz w:val="22"/>
          <w:szCs w:val="22"/>
        </w:rPr>
        <w:lastRenderedPageBreak/>
        <w:t xml:space="preserve">PRINCIPLES OF THE COMPREHENSIVE REVIEW OF THE </w:t>
      </w:r>
    </w:p>
    <w:p w14:paraId="41DF7969" w14:textId="77777777" w:rsidR="009165B2" w:rsidRPr="001F4BE9" w:rsidRDefault="009165B2" w:rsidP="009165B2">
      <w:pPr>
        <w:pStyle w:val="Default"/>
        <w:jc w:val="center"/>
        <w:rPr>
          <w:b/>
          <w:bCs/>
          <w:sz w:val="22"/>
          <w:szCs w:val="22"/>
        </w:rPr>
      </w:pPr>
      <w:r w:rsidRPr="001F4BE9">
        <w:rPr>
          <w:b/>
          <w:bCs/>
          <w:sz w:val="22"/>
          <w:szCs w:val="22"/>
        </w:rPr>
        <w:t xml:space="preserve">1978 STCW CONVENTION AND CODE </w:t>
      </w:r>
    </w:p>
    <w:p w14:paraId="354187B0" w14:textId="77777777" w:rsidR="009165B2" w:rsidRPr="001F4BE9" w:rsidRDefault="009165B2" w:rsidP="009165B2">
      <w:pPr>
        <w:pStyle w:val="Default"/>
        <w:rPr>
          <w:sz w:val="22"/>
          <w:szCs w:val="22"/>
        </w:rPr>
      </w:pPr>
    </w:p>
    <w:p w14:paraId="2DFF3CE9" w14:textId="77777777" w:rsidR="009165B2" w:rsidRDefault="009165B2" w:rsidP="009165B2">
      <w:pPr>
        <w:pStyle w:val="Default"/>
        <w:rPr>
          <w:sz w:val="22"/>
          <w:szCs w:val="22"/>
        </w:rPr>
      </w:pPr>
      <w:r w:rsidRPr="001F4BE9">
        <w:rPr>
          <w:sz w:val="22"/>
          <w:szCs w:val="22"/>
        </w:rPr>
        <w:t>The comprehensive review should:</w:t>
      </w:r>
    </w:p>
    <w:p w14:paraId="33D0858C" w14:textId="77777777" w:rsidR="009165B2" w:rsidRPr="001F4BE9" w:rsidRDefault="009165B2" w:rsidP="009165B2">
      <w:pPr>
        <w:pStyle w:val="Default"/>
        <w:rPr>
          <w:sz w:val="22"/>
          <w:szCs w:val="22"/>
        </w:rPr>
      </w:pPr>
      <w:r w:rsidRPr="001F4BE9">
        <w:rPr>
          <w:sz w:val="22"/>
          <w:szCs w:val="22"/>
        </w:rPr>
        <w:t xml:space="preserve"> </w:t>
      </w:r>
    </w:p>
    <w:p w14:paraId="61A00999"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consider all provisions of the Convention and Code in order to be comprehensive;</w:t>
      </w:r>
    </w:p>
    <w:p w14:paraId="539D2632" w14:textId="77777777" w:rsidR="009165B2" w:rsidRPr="001F4BE9" w:rsidRDefault="009165B2" w:rsidP="009165B2">
      <w:pPr>
        <w:pStyle w:val="ListParagraph"/>
        <w:jc w:val="both"/>
        <w:rPr>
          <w:rFonts w:ascii="Arial" w:hAnsi="Arial" w:cs="Arial"/>
        </w:rPr>
      </w:pPr>
      <w:r w:rsidRPr="001F4BE9">
        <w:rPr>
          <w:rFonts w:ascii="Arial" w:hAnsi="Arial" w:cs="Arial"/>
        </w:rPr>
        <w:t xml:space="preserve"> </w:t>
      </w:r>
    </w:p>
    <w:p w14:paraId="4ECF306B"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not downscale existing minimum standards of training, certification and watchkeeping;</w:t>
      </w:r>
    </w:p>
    <w:p w14:paraId="7D81540E" w14:textId="77777777" w:rsidR="009165B2" w:rsidRPr="001F4BE9" w:rsidRDefault="009165B2" w:rsidP="009165B2">
      <w:pPr>
        <w:pStyle w:val="ListParagraph"/>
        <w:rPr>
          <w:rFonts w:ascii="Arial" w:hAnsi="Arial" w:cs="Arial"/>
        </w:rPr>
      </w:pPr>
    </w:p>
    <w:p w14:paraId="65829F76"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address new and obsolete competencies and proficiencies, outdated requirements and unnecessary duplications;</w:t>
      </w:r>
    </w:p>
    <w:p w14:paraId="5F2C4DCD" w14:textId="77777777" w:rsidR="009165B2" w:rsidRPr="001F4BE9" w:rsidRDefault="009165B2" w:rsidP="009165B2">
      <w:pPr>
        <w:pStyle w:val="ListParagraph"/>
        <w:rPr>
          <w:rFonts w:ascii="Arial" w:hAnsi="Arial" w:cs="Arial"/>
        </w:rPr>
      </w:pPr>
    </w:p>
    <w:p w14:paraId="41B1ACCE"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address the possibilities of digitalization and emerging technologies and their impact on ships and ship operations;</w:t>
      </w:r>
    </w:p>
    <w:p w14:paraId="583F33ED" w14:textId="77777777" w:rsidR="009165B2" w:rsidRPr="0009204B" w:rsidRDefault="009165B2" w:rsidP="009165B2">
      <w:pPr>
        <w:pStyle w:val="ListParagraph"/>
        <w:rPr>
          <w:rFonts w:ascii="Arial" w:hAnsi="Arial" w:cs="Arial"/>
        </w:rPr>
      </w:pPr>
    </w:p>
    <w:p w14:paraId="0BB7E3D1"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address the impact and possibilities from the implementation and use of digitalization and emerging technologies in seafarers' education, training and certification;</w:t>
      </w:r>
    </w:p>
    <w:p w14:paraId="28AB7ECD" w14:textId="77777777" w:rsidR="009165B2" w:rsidRPr="0009204B" w:rsidRDefault="009165B2" w:rsidP="009165B2">
      <w:pPr>
        <w:pStyle w:val="ListParagraph"/>
        <w:rPr>
          <w:rFonts w:ascii="Arial" w:hAnsi="Arial" w:cs="Arial"/>
        </w:rPr>
      </w:pPr>
    </w:p>
    <w:p w14:paraId="562C48F3"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seek the reduction of unnecessary administrative burdens;</w:t>
      </w:r>
    </w:p>
    <w:p w14:paraId="7BF7813E" w14:textId="77777777" w:rsidR="009165B2" w:rsidRPr="0009204B" w:rsidRDefault="009165B2" w:rsidP="009165B2">
      <w:pPr>
        <w:pStyle w:val="ListParagraph"/>
        <w:rPr>
          <w:rFonts w:ascii="Arial" w:hAnsi="Arial" w:cs="Arial"/>
        </w:rPr>
      </w:pPr>
    </w:p>
    <w:p w14:paraId="61262819"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address inconsistencies and different interpretations within the Convention and Code, including clarifications already issued by relevant IMO bodies;</w:t>
      </w:r>
    </w:p>
    <w:p w14:paraId="0FDD3B99" w14:textId="77777777" w:rsidR="009165B2" w:rsidRPr="0009204B" w:rsidRDefault="009165B2" w:rsidP="009165B2">
      <w:pPr>
        <w:pStyle w:val="ListParagraph"/>
        <w:rPr>
          <w:rFonts w:ascii="Arial" w:hAnsi="Arial" w:cs="Arial"/>
        </w:rPr>
      </w:pPr>
    </w:p>
    <w:p w14:paraId="3544215E"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seek to use a consistent terminology and taxonomy throughout the Convention and Code;</w:t>
      </w:r>
    </w:p>
    <w:p w14:paraId="11C0E340" w14:textId="77777777" w:rsidR="009165B2" w:rsidRPr="0009204B" w:rsidRDefault="009165B2" w:rsidP="009165B2">
      <w:pPr>
        <w:pStyle w:val="ListParagraph"/>
        <w:rPr>
          <w:rFonts w:ascii="Arial" w:hAnsi="Arial" w:cs="Arial"/>
        </w:rPr>
      </w:pPr>
    </w:p>
    <w:p w14:paraId="2FDAC865"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not address minimum safe manning levels which are regulated by the SOLAS Convention (regulation V/14);</w:t>
      </w:r>
    </w:p>
    <w:p w14:paraId="7746A2BB" w14:textId="77777777" w:rsidR="009165B2" w:rsidRPr="0009204B" w:rsidRDefault="009165B2" w:rsidP="009165B2">
      <w:pPr>
        <w:pStyle w:val="ListParagraph"/>
        <w:rPr>
          <w:rFonts w:ascii="Arial" w:hAnsi="Arial" w:cs="Arial"/>
        </w:rPr>
      </w:pPr>
    </w:p>
    <w:p w14:paraId="6BDDCA2E"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address training, in principle, related to safety of life and property at sea, security and the protection of the marine environment;</w:t>
      </w:r>
    </w:p>
    <w:p w14:paraId="36A2366E" w14:textId="77777777" w:rsidR="009165B2" w:rsidRPr="00327EC8" w:rsidRDefault="009165B2" w:rsidP="009165B2">
      <w:pPr>
        <w:pStyle w:val="ListParagraph"/>
        <w:rPr>
          <w:rFonts w:ascii="Arial" w:hAnsi="Arial" w:cs="Arial"/>
        </w:rPr>
      </w:pPr>
    </w:p>
    <w:p w14:paraId="080EED36"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ensure that the Convention and Code are fully aligned with the IMO standards on ship's operation, construction and equipment;</w:t>
      </w:r>
    </w:p>
    <w:p w14:paraId="3FAEDC87" w14:textId="77777777" w:rsidR="009165B2" w:rsidRPr="00327EC8" w:rsidRDefault="009165B2" w:rsidP="009165B2">
      <w:pPr>
        <w:pStyle w:val="ListParagraph"/>
        <w:rPr>
          <w:rFonts w:ascii="Arial" w:hAnsi="Arial" w:cs="Arial"/>
        </w:rPr>
      </w:pPr>
    </w:p>
    <w:p w14:paraId="324EEB74"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ensure that the Convention and Code remain the sole IMO instruments addressing standards for training and certification of seafarers;</w:t>
      </w:r>
    </w:p>
    <w:p w14:paraId="18AB94C3" w14:textId="77777777" w:rsidR="009165B2" w:rsidRPr="00327EC8" w:rsidRDefault="009165B2" w:rsidP="009165B2">
      <w:pPr>
        <w:pStyle w:val="ListParagraph"/>
        <w:rPr>
          <w:rFonts w:ascii="Arial" w:hAnsi="Arial" w:cs="Arial"/>
        </w:rPr>
      </w:pPr>
    </w:p>
    <w:p w14:paraId="0976CB98"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take into account different approaches to organizing and structuring education, training and certification, including formats of delivery of training;</w:t>
      </w:r>
    </w:p>
    <w:p w14:paraId="2D6D3606" w14:textId="77777777" w:rsidR="009165B2" w:rsidRPr="00327EC8" w:rsidRDefault="009165B2" w:rsidP="009165B2">
      <w:pPr>
        <w:pStyle w:val="ListParagraph"/>
        <w:rPr>
          <w:rFonts w:ascii="Arial" w:hAnsi="Arial" w:cs="Arial"/>
        </w:rPr>
      </w:pPr>
    </w:p>
    <w:p w14:paraId="51BE59AC"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ensure that reporting and monitoring of implementation under the Convention and Code are appropriately transparent, robust and dynamic;</w:t>
      </w:r>
    </w:p>
    <w:p w14:paraId="0E82FEFE" w14:textId="77777777" w:rsidR="009165B2" w:rsidRPr="00327EC8" w:rsidRDefault="009165B2" w:rsidP="009165B2">
      <w:pPr>
        <w:pStyle w:val="ListParagraph"/>
        <w:rPr>
          <w:rFonts w:ascii="Arial" w:hAnsi="Arial" w:cs="Arial"/>
        </w:rPr>
      </w:pPr>
    </w:p>
    <w:p w14:paraId="527D1224" w14:textId="77777777" w:rsidR="009165B2" w:rsidRDefault="009165B2" w:rsidP="009165B2">
      <w:pPr>
        <w:pStyle w:val="ListParagraph"/>
        <w:numPr>
          <w:ilvl w:val="0"/>
          <w:numId w:val="2"/>
        </w:numPr>
        <w:jc w:val="both"/>
        <w:rPr>
          <w:rFonts w:ascii="Arial" w:hAnsi="Arial" w:cs="Arial"/>
        </w:rPr>
      </w:pPr>
      <w:r w:rsidRPr="001F4BE9">
        <w:rPr>
          <w:rFonts w:ascii="Arial" w:hAnsi="Arial" w:cs="Arial"/>
        </w:rPr>
        <w:t>ensure that the standards within the Convention and Code for the training and certification of seafarers facilitate, to the extent possible, the mobility of seafarers across different ship types and trades; and</w:t>
      </w:r>
    </w:p>
    <w:p w14:paraId="232DCDF0" w14:textId="77777777" w:rsidR="009165B2" w:rsidRPr="00327EC8" w:rsidRDefault="009165B2" w:rsidP="009165B2">
      <w:pPr>
        <w:pStyle w:val="ListParagraph"/>
        <w:rPr>
          <w:rFonts w:ascii="Arial" w:hAnsi="Arial" w:cs="Arial"/>
        </w:rPr>
      </w:pPr>
    </w:p>
    <w:p w14:paraId="5156A30E" w14:textId="2F424861" w:rsidR="007A6006" w:rsidRPr="009165B2" w:rsidRDefault="009165B2" w:rsidP="009165B2">
      <w:pPr>
        <w:pStyle w:val="ListParagraph"/>
        <w:numPr>
          <w:ilvl w:val="0"/>
          <w:numId w:val="2"/>
        </w:numPr>
        <w:jc w:val="both"/>
        <w:rPr>
          <w:rFonts w:ascii="Arial" w:hAnsi="Arial" w:cs="Arial"/>
        </w:rPr>
      </w:pPr>
      <w:r w:rsidRPr="001F4BE9">
        <w:rPr>
          <w:rFonts w:ascii="Arial" w:hAnsi="Arial" w:cs="Arial"/>
        </w:rPr>
        <w:t>consider the cumulative impact of requirements for seafarer education, training and certification.</w:t>
      </w:r>
    </w:p>
    <w:p w14:paraId="19D88466" w14:textId="77777777" w:rsidR="007A6006" w:rsidRDefault="007A6006" w:rsidP="00B46EDF">
      <w:pPr>
        <w:pStyle w:val="Default"/>
        <w:jc w:val="center"/>
        <w:rPr>
          <w:b/>
          <w:bCs/>
        </w:rPr>
      </w:pPr>
    </w:p>
    <w:p w14:paraId="3E7A684F" w14:textId="77777777" w:rsidR="007A6006" w:rsidRDefault="007A6006" w:rsidP="00B46EDF">
      <w:pPr>
        <w:pStyle w:val="Default"/>
        <w:jc w:val="center"/>
        <w:rPr>
          <w:b/>
          <w:bCs/>
        </w:rPr>
      </w:pPr>
    </w:p>
    <w:p w14:paraId="7028A8D6" w14:textId="77777777" w:rsidR="004D1EC6" w:rsidRDefault="004D1EC6" w:rsidP="00B46EDF">
      <w:pPr>
        <w:pStyle w:val="Default"/>
        <w:jc w:val="center"/>
        <w:rPr>
          <w:b/>
          <w:bCs/>
        </w:rPr>
      </w:pPr>
    </w:p>
    <w:p w14:paraId="16D94CF0" w14:textId="77777777" w:rsidR="004D1EC6" w:rsidRDefault="004D1EC6" w:rsidP="00B46EDF">
      <w:pPr>
        <w:pStyle w:val="Default"/>
        <w:jc w:val="center"/>
        <w:rPr>
          <w:b/>
          <w:bCs/>
        </w:rPr>
      </w:pPr>
    </w:p>
    <w:p w14:paraId="47CE4DA9" w14:textId="77777777" w:rsidR="004D1EC6" w:rsidRDefault="004D1EC6" w:rsidP="00B46EDF">
      <w:pPr>
        <w:pStyle w:val="Default"/>
        <w:jc w:val="center"/>
        <w:rPr>
          <w:b/>
          <w:bCs/>
        </w:rPr>
      </w:pPr>
    </w:p>
    <w:p w14:paraId="46AEEF5F" w14:textId="77777777" w:rsidR="004D1EC6" w:rsidRDefault="004D1EC6" w:rsidP="00B46EDF">
      <w:pPr>
        <w:pStyle w:val="Default"/>
        <w:jc w:val="center"/>
        <w:rPr>
          <w:b/>
          <w:bCs/>
        </w:rPr>
      </w:pPr>
    </w:p>
    <w:p w14:paraId="719D00DF" w14:textId="77777777" w:rsidR="004D1EC6" w:rsidRDefault="004D1EC6" w:rsidP="00B46EDF">
      <w:pPr>
        <w:pStyle w:val="Default"/>
        <w:jc w:val="center"/>
        <w:rPr>
          <w:b/>
          <w:bCs/>
        </w:rPr>
      </w:pPr>
    </w:p>
    <w:p w14:paraId="79F3E75A" w14:textId="77777777" w:rsidR="004D1EC6" w:rsidRDefault="004D1EC6" w:rsidP="00B46EDF">
      <w:pPr>
        <w:pStyle w:val="Default"/>
        <w:jc w:val="center"/>
        <w:rPr>
          <w:b/>
          <w:bCs/>
        </w:rPr>
      </w:pPr>
    </w:p>
    <w:p w14:paraId="0A6A7519" w14:textId="77777777" w:rsidR="004D1EC6" w:rsidRDefault="004D1EC6" w:rsidP="00B46EDF">
      <w:pPr>
        <w:pStyle w:val="Default"/>
        <w:jc w:val="center"/>
        <w:rPr>
          <w:b/>
          <w:bCs/>
        </w:rPr>
      </w:pPr>
    </w:p>
    <w:p w14:paraId="0FA507BE" w14:textId="77777777" w:rsidR="00D75863" w:rsidRDefault="00D75863" w:rsidP="00F00066">
      <w:pPr>
        <w:pStyle w:val="Default"/>
        <w:jc w:val="center"/>
        <w:rPr>
          <w:b/>
          <w:bCs/>
        </w:rPr>
      </w:pPr>
    </w:p>
    <w:p w14:paraId="362524E2" w14:textId="77777777" w:rsidR="00D75863" w:rsidRDefault="00D75863" w:rsidP="00D75863">
      <w:pPr>
        <w:spacing w:after="0"/>
        <w:jc w:val="center"/>
        <w:rPr>
          <w:rStyle w:val="Emphasis"/>
          <w:rFonts w:ascii="Arial" w:eastAsia="Arial" w:hAnsi="Arial" w:cs="Arial"/>
          <w:b/>
          <w:bCs/>
          <w:i w:val="0"/>
          <w:iCs w:val="0"/>
        </w:rPr>
      </w:pPr>
      <w:r w:rsidRPr="00B477A4">
        <w:rPr>
          <w:rStyle w:val="Emphasis"/>
          <w:rFonts w:ascii="Arial" w:eastAsia="Arial" w:hAnsi="Arial" w:cs="Arial"/>
          <w:b/>
          <w:bCs/>
          <w:i w:val="0"/>
          <w:iCs w:val="0"/>
        </w:rPr>
        <w:lastRenderedPageBreak/>
        <w:t xml:space="preserve">PRELIMINARY LIST OF SPECIFIC AREAS IDENTIFIED FOR THE </w:t>
      </w:r>
    </w:p>
    <w:p w14:paraId="4A04C2BA" w14:textId="77777777" w:rsidR="00D75863" w:rsidRPr="00B477A4" w:rsidRDefault="00D75863" w:rsidP="00D75863">
      <w:pPr>
        <w:spacing w:after="0"/>
        <w:jc w:val="center"/>
        <w:rPr>
          <w:rStyle w:val="Emphasis"/>
          <w:rFonts w:ascii="Arial" w:eastAsia="Arial" w:hAnsi="Arial" w:cs="Arial"/>
          <w:i w:val="0"/>
          <w:iCs w:val="0"/>
        </w:rPr>
      </w:pPr>
      <w:r w:rsidRPr="00B477A4">
        <w:rPr>
          <w:rStyle w:val="Emphasis"/>
          <w:rFonts w:ascii="Arial" w:eastAsia="Arial" w:hAnsi="Arial" w:cs="Arial"/>
          <w:b/>
          <w:bCs/>
          <w:i w:val="0"/>
          <w:iCs w:val="0"/>
        </w:rPr>
        <w:t xml:space="preserve">COMPREHENSIVE REVIEW OF THE </w:t>
      </w:r>
      <w:r>
        <w:rPr>
          <w:rStyle w:val="Emphasis"/>
          <w:rFonts w:ascii="Arial" w:eastAsia="Arial" w:hAnsi="Arial" w:cs="Arial"/>
          <w:b/>
          <w:bCs/>
          <w:i w:val="0"/>
          <w:iCs w:val="0"/>
        </w:rPr>
        <w:t xml:space="preserve">1978 </w:t>
      </w:r>
      <w:r w:rsidRPr="00B477A4">
        <w:rPr>
          <w:rStyle w:val="Emphasis"/>
          <w:rFonts w:ascii="Arial" w:eastAsia="Arial" w:hAnsi="Arial" w:cs="Arial"/>
          <w:b/>
          <w:bCs/>
          <w:i w:val="0"/>
          <w:iCs w:val="0"/>
        </w:rPr>
        <w:t>STCW CONVENTION AND CODE</w:t>
      </w:r>
    </w:p>
    <w:p w14:paraId="33AF2C84" w14:textId="77777777" w:rsidR="00D75863" w:rsidRDefault="00D75863" w:rsidP="00D75863">
      <w:pPr>
        <w:jc w:val="both"/>
        <w:rPr>
          <w:rStyle w:val="Emphasis"/>
          <w:rFonts w:ascii="Arial" w:eastAsia="Arial" w:hAnsi="Arial" w:cs="Arial"/>
          <w:i w:val="0"/>
          <w:iCs w:val="0"/>
        </w:rPr>
      </w:pPr>
    </w:p>
    <w:p w14:paraId="624BA0B6"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The below areas in the STCW Convention and Code are identified for the comprehensive review. The scope of work specified for each area is based on preliminary assessment of the relevant issues however, to be comprehensive, the scope should include all pertinent issues and provisions of the STCW Convention and Code, including the articles. </w:t>
      </w:r>
    </w:p>
    <w:p w14:paraId="0A616161"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Emerging technologies on ships and ship operations </w:t>
      </w:r>
    </w:p>
    <w:p w14:paraId="54E171FF"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Technological developments in shipping, as well as environmental challenges, have provided the industry with new types of vessels, equipment, propulsion, energy sources and manoeuvring and operations, which may require new standards of competence, functions, and levels of responsibility. </w:t>
      </w:r>
    </w:p>
    <w:tbl>
      <w:tblPr>
        <w:tblStyle w:val="TableGrid"/>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9145"/>
      </w:tblGrid>
      <w:tr w:rsidR="00D75863" w:rsidRPr="00B477A4" w14:paraId="37CC4F4A" w14:textId="77777777" w:rsidTr="00C81D36">
        <w:trPr>
          <w:trHeight w:val="787"/>
        </w:trPr>
        <w:tc>
          <w:tcPr>
            <w:tcW w:w="1063" w:type="dxa"/>
            <w:shd w:val="clear" w:color="auto" w:fill="auto"/>
          </w:tcPr>
          <w:p w14:paraId="67DF2079"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 xml:space="preserve"> Action:</w:t>
            </w:r>
          </w:p>
        </w:tc>
        <w:tc>
          <w:tcPr>
            <w:tcW w:w="9145" w:type="dxa"/>
            <w:shd w:val="clear" w:color="auto" w:fill="auto"/>
          </w:tcPr>
          <w:p w14:paraId="75ED9DD1"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existing standards and determine the need for a new requirement to address provisions established by IMO and other relevant instruments, taking into account current and future work.</w:t>
            </w:r>
          </w:p>
        </w:tc>
      </w:tr>
    </w:tbl>
    <w:p w14:paraId="340AA72B" w14:textId="77777777" w:rsidR="00D75863" w:rsidRPr="00B477A4" w:rsidRDefault="00D75863" w:rsidP="00D75863">
      <w:pPr>
        <w:jc w:val="both"/>
        <w:rPr>
          <w:rStyle w:val="Emphasis"/>
          <w:rFonts w:ascii="Arial" w:eastAsia="Arial" w:hAnsi="Arial" w:cs="Arial"/>
          <w:i w:val="0"/>
          <w:iCs w:val="0"/>
        </w:rPr>
      </w:pPr>
    </w:p>
    <w:p w14:paraId="17BBFBEF" w14:textId="77777777" w:rsidR="00D75863" w:rsidRPr="00B477A4" w:rsidRDefault="00D75863" w:rsidP="00D75863">
      <w:pPr>
        <w:pStyle w:val="ListParagraph"/>
        <w:numPr>
          <w:ilvl w:val="0"/>
          <w:numId w:val="6"/>
        </w:numPr>
        <w:ind w:hanging="720"/>
        <w:jc w:val="both"/>
        <w:rPr>
          <w:rStyle w:val="Emphasis"/>
          <w:rFonts w:ascii="Arial" w:eastAsia="Arial" w:hAnsi="Arial" w:cs="Arial"/>
          <w:i w:val="0"/>
          <w:iCs w:val="0"/>
        </w:rPr>
      </w:pPr>
      <w:r w:rsidRPr="00B477A4">
        <w:rPr>
          <w:rStyle w:val="Emphasis"/>
          <w:rFonts w:ascii="Arial" w:eastAsia="Arial" w:hAnsi="Arial" w:cs="Arial"/>
          <w:b/>
          <w:bCs/>
          <w:i w:val="0"/>
          <w:iCs w:val="0"/>
        </w:rPr>
        <w:t>Digitalization of documentation, including certificates issued under STCW</w:t>
      </w:r>
      <w:r w:rsidRPr="00B477A4">
        <w:rPr>
          <w:rStyle w:val="Emphasis"/>
          <w:rFonts w:ascii="Arial" w:eastAsia="Arial" w:hAnsi="Arial" w:cs="Arial"/>
          <w:i w:val="0"/>
          <w:iCs w:val="0"/>
        </w:rPr>
        <w:t xml:space="preserve"> </w:t>
      </w:r>
    </w:p>
    <w:p w14:paraId="21BCB51A"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The utilization of electronic documents in the maritime industry will demand modifications in the traditional issuance and processing of documentation issued under STCW. This also includes validation and authentication of certificates. </w:t>
      </w:r>
    </w:p>
    <w:tbl>
      <w:tblPr>
        <w:tblStyle w:val="TableGrid"/>
        <w:tblW w:w="10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
        <w:gridCol w:w="9158"/>
      </w:tblGrid>
      <w:tr w:rsidR="00D75863" w:rsidRPr="00B477A4" w14:paraId="1E8F68F9" w14:textId="77777777" w:rsidTr="00C81D36">
        <w:trPr>
          <w:trHeight w:val="727"/>
        </w:trPr>
        <w:tc>
          <w:tcPr>
            <w:tcW w:w="1064" w:type="dxa"/>
            <w:shd w:val="clear" w:color="auto" w:fill="auto"/>
          </w:tcPr>
          <w:p w14:paraId="5F7C5F8A"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158" w:type="dxa"/>
            <w:shd w:val="clear" w:color="auto" w:fill="auto"/>
          </w:tcPr>
          <w:p w14:paraId="416A1AB5"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provisions in the Convention and Code concerning documentation issued under STCW to facilitate the utilization of electronic documentation. (Reference to MSC.1/Circ.1665)</w:t>
            </w:r>
          </w:p>
        </w:tc>
      </w:tr>
    </w:tbl>
    <w:p w14:paraId="7EBADC6A" w14:textId="77777777" w:rsidR="00D75863" w:rsidRPr="00B477A4" w:rsidRDefault="00D75863" w:rsidP="00D75863">
      <w:pPr>
        <w:jc w:val="both"/>
        <w:rPr>
          <w:rStyle w:val="Emphasis"/>
          <w:rFonts w:ascii="Arial" w:eastAsia="Arial" w:hAnsi="Arial" w:cs="Arial"/>
          <w:i w:val="0"/>
          <w:iCs w:val="0"/>
        </w:rPr>
      </w:pPr>
    </w:p>
    <w:p w14:paraId="61A6C50B"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Emerging technologies in education and training </w:t>
      </w:r>
    </w:p>
    <w:p w14:paraId="55E21E9F"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With the experience already gained in using digitalization and emerging technologies in education and training, it is envisaged that further use of those technologies will continue. Therefore, a review of the existing provisions in the STCW Convention and Code would allow for the expansion of teaching and teaching aids to supplement and support shore-based training, methods for assessment of competence, and approval and monitoring of training programmes including those outside the jurisdiction of the Party.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9124"/>
      </w:tblGrid>
      <w:tr w:rsidR="00D75863" w:rsidRPr="00B477A4" w14:paraId="67FA6516" w14:textId="77777777" w:rsidTr="00C81D36">
        <w:trPr>
          <w:trHeight w:val="1095"/>
        </w:trPr>
        <w:tc>
          <w:tcPr>
            <w:tcW w:w="1061" w:type="dxa"/>
            <w:shd w:val="clear" w:color="auto" w:fill="auto"/>
          </w:tcPr>
          <w:p w14:paraId="5EBD9B9E"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124" w:type="dxa"/>
            <w:shd w:val="clear" w:color="auto" w:fill="auto"/>
          </w:tcPr>
          <w:p w14:paraId="2B07DEC8"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and determine the need to amend existing standards and guidance to incorporate emerging instructional and assessment techniques such as distance learning, and improve the quality and flexibility of onboard training, shore-based and workshop skills training, including use of simulators.</w:t>
            </w:r>
          </w:p>
        </w:tc>
      </w:tr>
    </w:tbl>
    <w:p w14:paraId="0C04F34F" w14:textId="77777777" w:rsidR="00D75863" w:rsidRPr="00B477A4" w:rsidRDefault="00D75863" w:rsidP="00D75863">
      <w:pPr>
        <w:jc w:val="both"/>
        <w:rPr>
          <w:rStyle w:val="Emphasis"/>
          <w:rFonts w:ascii="Arial" w:eastAsia="Arial" w:hAnsi="Arial" w:cs="Arial"/>
          <w:i w:val="0"/>
          <w:iCs w:val="0"/>
        </w:rPr>
      </w:pPr>
    </w:p>
    <w:p w14:paraId="34F6C9E8"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Facilitation, flexibility and quality of onboard, shore-based and workshop skills training, including use of simulators </w:t>
      </w:r>
    </w:p>
    <w:p w14:paraId="7AACA990"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It is important to focus on facilitating and improving the quality of onboard and workshop skills training and seagoing service required in different chapters of the Convention, also taking into account up-to-date learning technologies, including additional use of simulators.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9152"/>
      </w:tblGrid>
      <w:tr w:rsidR="00D75863" w:rsidRPr="00B477A4" w14:paraId="1D2C94A5" w14:textId="77777777" w:rsidTr="00C81D36">
        <w:trPr>
          <w:trHeight w:val="1064"/>
        </w:trPr>
        <w:tc>
          <w:tcPr>
            <w:tcW w:w="1054" w:type="dxa"/>
            <w:shd w:val="clear" w:color="auto" w:fill="auto"/>
          </w:tcPr>
          <w:p w14:paraId="4CF1E2D0"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152" w:type="dxa"/>
            <w:shd w:val="clear" w:color="auto" w:fill="auto"/>
          </w:tcPr>
          <w:p w14:paraId="769715CF"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and determine the need to amend existing standards and guidance to incorporate emerging instructional and assessment techniques, and improve the quality and flexibility of onboard training, distance learning, shore-based and workshop skills training, including use of simulators.</w:t>
            </w:r>
          </w:p>
        </w:tc>
      </w:tr>
    </w:tbl>
    <w:p w14:paraId="524F4DE4" w14:textId="77777777" w:rsidR="00D75863" w:rsidRPr="00B477A4" w:rsidRDefault="00D75863" w:rsidP="00D75863">
      <w:pPr>
        <w:jc w:val="both"/>
        <w:rPr>
          <w:rStyle w:val="Emphasis"/>
          <w:rFonts w:ascii="Arial" w:eastAsia="Arial" w:hAnsi="Arial" w:cs="Arial"/>
          <w:i w:val="0"/>
          <w:iCs w:val="0"/>
        </w:rPr>
      </w:pPr>
    </w:p>
    <w:p w14:paraId="476BF666"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Flexibility and efficiency in implementation of new training requirements and reduction of administrative burdens </w:t>
      </w:r>
    </w:p>
    <w:p w14:paraId="13D88757"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It is important that amendments related to new training standards, particularly those emanating from amendments to other IMO instruments, enter into force in the shortest possible time.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727C9995" w14:textId="77777777" w:rsidTr="00C81D36">
        <w:tc>
          <w:tcPr>
            <w:tcW w:w="950" w:type="dxa"/>
            <w:shd w:val="clear" w:color="auto" w:fill="auto"/>
          </w:tcPr>
          <w:p w14:paraId="74CCD7BD"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lastRenderedPageBreak/>
              <w:t>Action:</w:t>
            </w:r>
          </w:p>
        </w:tc>
        <w:tc>
          <w:tcPr>
            <w:tcW w:w="9256" w:type="dxa"/>
            <w:shd w:val="clear" w:color="auto" w:fill="auto"/>
          </w:tcPr>
          <w:p w14:paraId="717D6445"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the current text of the STCW Convention and Code and identify the provisions that should be addressed in order to provide for a viable and efficient amendment process. This would allow any changes in standards of education and training, including KUPs stemming from the introduction of new technologies in ships and shipping operations, to be incorporated seamlessly and swiftly.</w:t>
            </w:r>
          </w:p>
        </w:tc>
      </w:tr>
    </w:tbl>
    <w:p w14:paraId="311CE656"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t>
      </w:r>
    </w:p>
    <w:p w14:paraId="3CBD38CD"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Requirements for sea time or practical experience in relation to new and emerging technologies including the use of simulation </w:t>
      </w:r>
    </w:p>
    <w:p w14:paraId="4238D5DB"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New and emerging technologies may support training and certification of seafarers. This could include the use of simulations as an alternative to a portion of a of a requirement for seagoing service. In addition, considering the initial phase, the training and certification of seafarers often precede the implementation or installation of these new technologies on ships.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73E6C7CE" w14:textId="77777777" w:rsidTr="00C81D36">
        <w:tc>
          <w:tcPr>
            <w:tcW w:w="950" w:type="dxa"/>
            <w:shd w:val="clear" w:color="auto" w:fill="auto"/>
          </w:tcPr>
          <w:p w14:paraId="1971140B"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256" w:type="dxa"/>
            <w:shd w:val="clear" w:color="auto" w:fill="auto"/>
          </w:tcPr>
          <w:p w14:paraId="221AA98A"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the STCW Convention and Code to determine the appropriateness of seagoing service requirements for training and certification and the feasibility of meeting requirements using new and emerging technologies, considering that in an initial phase, the training and certification of seafarers often precede the implementation or installation of these new technologies on ships. This may include consideration of the use of simulation as an alternative to a portion of a requirement for seagoing service.</w:t>
            </w:r>
          </w:p>
        </w:tc>
      </w:tr>
    </w:tbl>
    <w:p w14:paraId="778C1E45"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t>
      </w:r>
    </w:p>
    <w:p w14:paraId="557247C2"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Psychological safety, bullying and harassment, including SASH, gender diversity and gender sensitization </w:t>
      </w:r>
    </w:p>
    <w:p w14:paraId="1C37BFB6"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The review and revision of the STCW Convention and Code should be done in parallel with the work already initiated on the development and finalization of training provisions on psychological safety, bullying and harassment in the maritime sector, including sexual assault and sexual harassment. Furthermore, the responsibilities of companies should be reviewed to consider responsibility for psychologically safe working environments including the prevention of bullying and harassment.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3FA12EE4" w14:textId="77777777" w:rsidTr="00C81D36">
        <w:tc>
          <w:tcPr>
            <w:tcW w:w="950" w:type="dxa"/>
            <w:shd w:val="clear" w:color="auto" w:fill="auto"/>
          </w:tcPr>
          <w:p w14:paraId="21C2619E"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256" w:type="dxa"/>
            <w:shd w:val="clear" w:color="auto" w:fill="auto"/>
          </w:tcPr>
          <w:p w14:paraId="39279C3A"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the STCW Convention to consider incorporating psychological safety, bullying and harassment, including SASH, gender diversity and gender sensitization into the training requirements for seafarers.</w:t>
            </w:r>
          </w:p>
        </w:tc>
      </w:tr>
    </w:tbl>
    <w:p w14:paraId="2590C828" w14:textId="77777777" w:rsidR="00D75863" w:rsidRPr="00B477A4" w:rsidRDefault="00D75863" w:rsidP="00D75863">
      <w:pPr>
        <w:jc w:val="both"/>
        <w:rPr>
          <w:rStyle w:val="Emphasis"/>
          <w:rFonts w:ascii="Arial" w:eastAsia="Arial" w:hAnsi="Arial" w:cs="Arial"/>
          <w:i w:val="0"/>
          <w:iCs w:val="0"/>
        </w:rPr>
      </w:pPr>
    </w:p>
    <w:p w14:paraId="3E5B6C84"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Mental health </w:t>
      </w:r>
    </w:p>
    <w:p w14:paraId="545ED074"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In order to reduce the stigma of mental health issues, it should be considered to require appropriate competence so that seafarers understand the impact of living and working at sea and can recognize and triage a mental health challenge that may arise while on board a ship. The comprehensive review of the STCW Convention and Code should identify tools and methods to allow seafarers to recognize risk factors and know how and when to search for appropriate help. Furthermore, the responsibilities of companies should be reviewed to consider responsibility for the promotion of mental health and well-being on board ship.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208F647A" w14:textId="77777777" w:rsidTr="00C81D36">
        <w:tc>
          <w:tcPr>
            <w:tcW w:w="950" w:type="dxa"/>
            <w:shd w:val="clear" w:color="auto" w:fill="auto"/>
          </w:tcPr>
          <w:p w14:paraId="546FDD70"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256" w:type="dxa"/>
            <w:shd w:val="clear" w:color="auto" w:fill="auto"/>
          </w:tcPr>
          <w:p w14:paraId="628EEFB9"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the STCW Convention to consider incorporating mental health concepts into the training requirements for seafarers.</w:t>
            </w:r>
          </w:p>
        </w:tc>
      </w:tr>
    </w:tbl>
    <w:p w14:paraId="380E4EBF"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t>
      </w:r>
    </w:p>
    <w:p w14:paraId="17EFD898"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Twenty-first century and interpersonal skills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9317"/>
      </w:tblGrid>
      <w:tr w:rsidR="00D75863" w:rsidRPr="00B477A4" w14:paraId="48D2C114" w14:textId="77777777" w:rsidTr="00C81D36">
        <w:tc>
          <w:tcPr>
            <w:tcW w:w="889" w:type="dxa"/>
            <w:shd w:val="clear" w:color="auto" w:fill="auto"/>
          </w:tcPr>
          <w:p w14:paraId="67550593"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317" w:type="dxa"/>
            <w:shd w:val="clear" w:color="auto" w:fill="auto"/>
          </w:tcPr>
          <w:p w14:paraId="43C3C7BF"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the STCW Convention and Code for the need to address twenty-first century competence and interpersonal skills, such as digital skills, communications, information management and the ability to adapt to a changing work environment.</w:t>
            </w:r>
          </w:p>
        </w:tc>
      </w:tr>
    </w:tbl>
    <w:p w14:paraId="5845FC2C" w14:textId="77777777" w:rsidR="00D75863" w:rsidRPr="00B477A4" w:rsidRDefault="00D75863" w:rsidP="00D75863">
      <w:pPr>
        <w:jc w:val="both"/>
        <w:rPr>
          <w:rStyle w:val="Emphasis"/>
          <w:rFonts w:ascii="Arial" w:eastAsia="Arial" w:hAnsi="Arial" w:cs="Arial"/>
          <w:i w:val="0"/>
          <w:iCs w:val="0"/>
        </w:rPr>
      </w:pPr>
    </w:p>
    <w:p w14:paraId="0FE81102"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Addressing inconsistencies </w:t>
      </w:r>
    </w:p>
    <w:p w14:paraId="54E13837"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A significant number of inconsistencies were identified in the text of the annex to the STCW Convention and Code. Many of those are a consequence of amendments that were adopted at different times. The above </w:t>
      </w:r>
      <w:r w:rsidRPr="00B477A4">
        <w:rPr>
          <w:rStyle w:val="Emphasis"/>
          <w:rFonts w:ascii="Arial" w:eastAsia="Arial" w:hAnsi="Arial" w:cs="Arial"/>
          <w:i w:val="0"/>
          <w:iCs w:val="0"/>
        </w:rPr>
        <w:lastRenderedPageBreak/>
        <w:t xml:space="preserve">may lead to ineffective implementation of the STCW Convention. Thus, the Parties to the STCW Convention and those involved in implementing, applying or enforcing its measures may not always give to the STCW Convention in a uniform manner.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0091CB6D" w14:textId="77777777" w:rsidTr="00C81D36">
        <w:tc>
          <w:tcPr>
            <w:tcW w:w="950" w:type="dxa"/>
            <w:shd w:val="clear" w:color="auto" w:fill="auto"/>
          </w:tcPr>
          <w:p w14:paraId="5F36828D"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 xml:space="preserve"> Action:</w:t>
            </w:r>
          </w:p>
        </w:tc>
        <w:tc>
          <w:tcPr>
            <w:tcW w:w="9256" w:type="dxa"/>
            <w:shd w:val="clear" w:color="auto" w:fill="auto"/>
          </w:tcPr>
          <w:p w14:paraId="493B3CA1"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STCW provisions to address inconsistencies, duplications, and different interpretations.</w:t>
            </w:r>
          </w:p>
        </w:tc>
      </w:tr>
    </w:tbl>
    <w:p w14:paraId="7435CD64" w14:textId="77777777" w:rsidR="00D75863" w:rsidRPr="00B477A4" w:rsidRDefault="00D75863" w:rsidP="00D75863">
      <w:pPr>
        <w:jc w:val="both"/>
        <w:rPr>
          <w:rStyle w:val="Emphasis"/>
          <w:rFonts w:ascii="Arial" w:eastAsia="Arial" w:hAnsi="Arial" w:cs="Arial"/>
          <w:i w:val="0"/>
          <w:iCs w:val="0"/>
        </w:rPr>
      </w:pPr>
    </w:p>
    <w:p w14:paraId="4F156965"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Addressing different interpretations </w:t>
      </w:r>
    </w:p>
    <w:p w14:paraId="037914A6"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Different interpretations of the requirements have been identified which result in inconsistency in implementation and possible confusion. The comprehensive review would give the opportunity to clarify issues arising from inconsistent interpretations of the various standards, including those related to near-coastal voyages, in particular, the entering of an undertaking among Parties. It is also important to review and identify new and existing definitions for a more unison interpretation of the STCW Convention and Code.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558F4061" w14:textId="77777777" w:rsidTr="00C81D36">
        <w:tc>
          <w:tcPr>
            <w:tcW w:w="950" w:type="dxa"/>
            <w:shd w:val="clear" w:color="auto" w:fill="auto"/>
          </w:tcPr>
          <w:p w14:paraId="5719C652"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256" w:type="dxa"/>
            <w:shd w:val="clear" w:color="auto" w:fill="auto"/>
          </w:tcPr>
          <w:p w14:paraId="12DA2377"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STCW provisions to address inconsistencies, duplications, and different interpretations.</w:t>
            </w:r>
          </w:p>
        </w:tc>
      </w:tr>
    </w:tbl>
    <w:p w14:paraId="73A5B342" w14:textId="77777777" w:rsidR="00D75863" w:rsidRPr="00B477A4" w:rsidRDefault="00D75863" w:rsidP="00D75863">
      <w:pPr>
        <w:jc w:val="both"/>
        <w:rPr>
          <w:rStyle w:val="Emphasis"/>
          <w:rFonts w:ascii="Arial" w:eastAsia="Arial" w:hAnsi="Arial" w:cs="Arial"/>
          <w:i w:val="0"/>
          <w:iCs w:val="0"/>
        </w:rPr>
      </w:pPr>
    </w:p>
    <w:p w14:paraId="36DAEC01"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Addressing taxonomy and terminologies </w:t>
      </w:r>
    </w:p>
    <w:p w14:paraId="079CB41D"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The newly developed action verb taxonomy in appendices 4 and 5 of the Guidelines for the development, review and validation of model courses (MSC-MEPC.2/Circ.15/Rev.2) should be considered when reviewing the STCW Convention and Code in order to ensure the consistency of the wording used in the STCW Convention and Code defining the standards of competence with the action verbs used in modern educational systems.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19EFB2B8" w14:textId="77777777" w:rsidTr="00C81D36">
        <w:tc>
          <w:tcPr>
            <w:tcW w:w="950" w:type="dxa"/>
            <w:shd w:val="clear" w:color="auto" w:fill="auto"/>
          </w:tcPr>
          <w:p w14:paraId="21B67688"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256" w:type="dxa"/>
            <w:shd w:val="clear" w:color="auto" w:fill="auto"/>
          </w:tcPr>
          <w:p w14:paraId="6FEE0982"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STCW provisions to address taxonomy and terminologies.</w:t>
            </w:r>
          </w:p>
        </w:tc>
      </w:tr>
    </w:tbl>
    <w:p w14:paraId="1BA8054D"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t>
      </w:r>
    </w:p>
    <w:p w14:paraId="17E02741"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Flexibility in revalidation of certificates and endorsements </w:t>
      </w:r>
    </w:p>
    <w:p w14:paraId="0D4E98A5"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A comprehensive review of the STCW Convention and Code would allow for the identification of provisions that could be amended or new provisions that would need to be added to provide flexibility in revalidation and renewal of certificates, endorsements, and medical certificates, including whenever exceptional circumstances may occur.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25E6D6B9" w14:textId="77777777" w:rsidTr="00C81D36">
        <w:tc>
          <w:tcPr>
            <w:tcW w:w="950" w:type="dxa"/>
            <w:shd w:val="clear" w:color="auto" w:fill="auto"/>
          </w:tcPr>
          <w:p w14:paraId="1B42B5FB"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256" w:type="dxa"/>
            <w:shd w:val="clear" w:color="auto" w:fill="auto"/>
          </w:tcPr>
          <w:p w14:paraId="694C0EF6"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STCW provisions to consider incorporating flexibility and provisions for revalidation of certificates and endorsements in normal and exceptional circumstances.</w:t>
            </w:r>
          </w:p>
        </w:tc>
      </w:tr>
    </w:tbl>
    <w:p w14:paraId="23C84B81"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t>
      </w:r>
    </w:p>
    <w:p w14:paraId="5605549A"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Overview of the implementation of the Convention, in particular the need to update the STCW "White List" </w:t>
      </w:r>
    </w:p>
    <w:p w14:paraId="258B6F63"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Following the ongoing work of the HTW and III Sub-Committees, the review of the STCW Convention and Code should consider the need for clarification on the provisions related to quality standard systems, independent evaluation, and the preparation, reporting and consideration of information and identification of STCW compliance Parties for common understanding and uniform implementation.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4DEC761D" w14:textId="77777777" w:rsidTr="00C81D36">
        <w:tc>
          <w:tcPr>
            <w:tcW w:w="950" w:type="dxa"/>
            <w:shd w:val="clear" w:color="auto" w:fill="auto"/>
          </w:tcPr>
          <w:p w14:paraId="713D01D4"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256" w:type="dxa"/>
            <w:shd w:val="clear" w:color="auto" w:fill="auto"/>
          </w:tcPr>
          <w:p w14:paraId="4C7C0C30"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the Convention oversight infrastructure to clarify the process to identify parties that are giving the convention full and complete effect.</w:t>
            </w:r>
          </w:p>
        </w:tc>
      </w:tr>
    </w:tbl>
    <w:p w14:paraId="037C06DD"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t>
      </w:r>
    </w:p>
    <w:p w14:paraId="481FF4F9"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Lessons learned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55697536" w14:textId="77777777" w:rsidTr="00C81D36">
        <w:tc>
          <w:tcPr>
            <w:tcW w:w="950" w:type="dxa"/>
            <w:shd w:val="clear" w:color="auto" w:fill="auto"/>
          </w:tcPr>
          <w:p w14:paraId="0D05C023"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256" w:type="dxa"/>
            <w:shd w:val="clear" w:color="auto" w:fill="auto"/>
          </w:tcPr>
          <w:p w14:paraId="30A8C3BA"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the STCW Convention and Code to take into account issues based on experience, including experience implementing previous amendments, casualty investigations and lessons learned during the COVID-19 pandemic, inter alia, extension of the validity of the certificates, in extraordinary circumstances/cases of force majeure.</w:t>
            </w:r>
          </w:p>
        </w:tc>
      </w:tr>
    </w:tbl>
    <w:p w14:paraId="49C26CC3" w14:textId="77777777" w:rsidR="00D75863" w:rsidRDefault="00D75863" w:rsidP="00D75863">
      <w:pPr>
        <w:jc w:val="both"/>
        <w:rPr>
          <w:rStyle w:val="Emphasis"/>
          <w:rFonts w:ascii="Arial" w:eastAsia="Arial" w:hAnsi="Arial" w:cs="Arial"/>
          <w:i w:val="0"/>
          <w:iCs w:val="0"/>
        </w:rPr>
      </w:pPr>
    </w:p>
    <w:p w14:paraId="4498B10F" w14:textId="77777777" w:rsidR="00FF095E" w:rsidRPr="00B477A4" w:rsidRDefault="00FF095E" w:rsidP="00D75863">
      <w:pPr>
        <w:jc w:val="both"/>
        <w:rPr>
          <w:rStyle w:val="Emphasis"/>
          <w:rFonts w:ascii="Arial" w:eastAsia="Arial" w:hAnsi="Arial" w:cs="Arial"/>
          <w:i w:val="0"/>
          <w:iCs w:val="0"/>
        </w:rPr>
      </w:pPr>
    </w:p>
    <w:p w14:paraId="42D34E01"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lastRenderedPageBreak/>
        <w:t xml:space="preserve">Flexibility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9317"/>
      </w:tblGrid>
      <w:tr w:rsidR="00D75863" w:rsidRPr="00B477A4" w14:paraId="1D80E32D" w14:textId="77777777" w:rsidTr="00C81D36">
        <w:tc>
          <w:tcPr>
            <w:tcW w:w="889" w:type="dxa"/>
            <w:shd w:val="clear" w:color="auto" w:fill="auto"/>
          </w:tcPr>
          <w:p w14:paraId="3F645C0C"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317" w:type="dxa"/>
            <w:shd w:val="clear" w:color="auto" w:fill="auto"/>
          </w:tcPr>
          <w:p w14:paraId="082C107B"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STCW Convention and Code to consider facilitating to the possible extent the mobility of seafarers across different ship types and trades and conventions.</w:t>
            </w:r>
          </w:p>
        </w:tc>
      </w:tr>
    </w:tbl>
    <w:p w14:paraId="7497FA6E"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t>
      </w:r>
    </w:p>
    <w:p w14:paraId="056F39F0"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Alternative certification under chapter VII </w:t>
      </w:r>
    </w:p>
    <w:p w14:paraId="170E55ED"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Review chapter VII of the STCW Convention and Code to determine whether a revision is needed for more effective utilization of alternative certification as part of the flexibility needed to accommodate new and emerging technologies and organizational innovations, as well as the option for certifying different functions on board and different types of ships and taking a more goal-based approach.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288F2F90" w14:textId="77777777" w:rsidTr="00C81D36">
        <w:tc>
          <w:tcPr>
            <w:tcW w:w="950" w:type="dxa"/>
            <w:shd w:val="clear" w:color="auto" w:fill="auto"/>
          </w:tcPr>
          <w:p w14:paraId="1C031F3F"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256" w:type="dxa"/>
            <w:shd w:val="clear" w:color="auto" w:fill="auto"/>
          </w:tcPr>
          <w:p w14:paraId="3ED26591"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STCW provisions to use alternative certification in support of emerging technologies and other organizational changes.</w:t>
            </w:r>
          </w:p>
        </w:tc>
      </w:tr>
    </w:tbl>
    <w:p w14:paraId="18207085"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t>
      </w:r>
    </w:p>
    <w:p w14:paraId="2F89638D" w14:textId="77777777" w:rsidR="00D75863" w:rsidRPr="00B477A4" w:rsidRDefault="00D75863" w:rsidP="00D75863">
      <w:pPr>
        <w:pStyle w:val="ListParagraph"/>
        <w:numPr>
          <w:ilvl w:val="0"/>
          <w:numId w:val="6"/>
        </w:numPr>
        <w:ind w:hanging="720"/>
        <w:jc w:val="both"/>
        <w:rPr>
          <w:rStyle w:val="Emphasis"/>
          <w:rFonts w:ascii="Arial" w:eastAsia="Arial" w:hAnsi="Arial" w:cs="Arial"/>
          <w:i w:val="0"/>
          <w:iCs w:val="0"/>
        </w:rPr>
      </w:pPr>
      <w:r w:rsidRPr="00B477A4">
        <w:rPr>
          <w:rStyle w:val="Emphasis"/>
          <w:rFonts w:ascii="Arial" w:eastAsia="Arial" w:hAnsi="Arial" w:cs="Arial"/>
          <w:b/>
          <w:bCs/>
          <w:i w:val="0"/>
          <w:iCs w:val="0"/>
        </w:rPr>
        <w:t>Watchkeeping arrangements and principles to be observed (chapter VIII)</w:t>
      </w:r>
      <w:r w:rsidRPr="00B477A4">
        <w:rPr>
          <w:rStyle w:val="Emphasis"/>
          <w:rFonts w:ascii="Arial" w:eastAsia="Arial" w:hAnsi="Arial" w:cs="Arial"/>
          <w:i w:val="0"/>
          <w:iCs w:val="0"/>
        </w:rPr>
        <w:t xml:space="preserve"> </w:t>
      </w:r>
    </w:p>
    <w:p w14:paraId="44BCEBC5"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Review regulation VIII/2 of the Convention and sections A-VIII/2 and B-VIII/2 of the Code with a view to formulating these provisions in a goal-based manner to enable the accommodation of new and emerging technologies and organizational innovations.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792024E1" w14:textId="77777777" w:rsidTr="00C81D36">
        <w:tc>
          <w:tcPr>
            <w:tcW w:w="950" w:type="dxa"/>
            <w:shd w:val="clear" w:color="auto" w:fill="auto"/>
          </w:tcPr>
          <w:p w14:paraId="1EADAC5A"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256" w:type="dxa"/>
            <w:shd w:val="clear" w:color="auto" w:fill="auto"/>
          </w:tcPr>
          <w:p w14:paraId="07B9ACA0"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STCW provisions related to watchkeeping to support the use of emerging technologies and other organizational changes.</w:t>
            </w:r>
          </w:p>
        </w:tc>
      </w:tr>
    </w:tbl>
    <w:p w14:paraId="6133B2C3"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t>
      </w:r>
    </w:p>
    <w:p w14:paraId="175DD9C1"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Alignment of STCW with requirements placed on ships, seafarers, and shipowners by other IMO and relevant international instruments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9317"/>
      </w:tblGrid>
      <w:tr w:rsidR="00D75863" w:rsidRPr="00B477A4" w14:paraId="317D69AC" w14:textId="77777777" w:rsidTr="00C81D36">
        <w:tc>
          <w:tcPr>
            <w:tcW w:w="889" w:type="dxa"/>
            <w:shd w:val="clear" w:color="auto" w:fill="auto"/>
          </w:tcPr>
          <w:p w14:paraId="06777EB5"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317" w:type="dxa"/>
            <w:shd w:val="clear" w:color="auto" w:fill="auto"/>
          </w:tcPr>
          <w:p w14:paraId="3144A512"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the STCW Convention and Code to ensure, where necessary, that both are fully aligned with requirements placed on ships, seafarers, and shipowners by IMO and other relevant international instruments.</w:t>
            </w:r>
          </w:p>
        </w:tc>
      </w:tr>
    </w:tbl>
    <w:p w14:paraId="334BC5ED" w14:textId="77777777" w:rsidR="00D75863" w:rsidRPr="00B477A4" w:rsidRDefault="00D75863" w:rsidP="00D75863">
      <w:pPr>
        <w:jc w:val="both"/>
        <w:rPr>
          <w:rStyle w:val="Emphasis"/>
          <w:rFonts w:ascii="Arial" w:eastAsia="Arial" w:hAnsi="Arial" w:cs="Arial"/>
          <w:i w:val="0"/>
          <w:iCs w:val="0"/>
        </w:rPr>
      </w:pPr>
    </w:p>
    <w:p w14:paraId="7CF4D1C9"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Cybersecurity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9317"/>
      </w:tblGrid>
      <w:tr w:rsidR="00D75863" w:rsidRPr="00B477A4" w14:paraId="4E7E6748" w14:textId="77777777" w:rsidTr="00C81D36">
        <w:tc>
          <w:tcPr>
            <w:tcW w:w="889" w:type="dxa"/>
            <w:shd w:val="clear" w:color="auto" w:fill="auto"/>
          </w:tcPr>
          <w:p w14:paraId="5721112B"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317" w:type="dxa"/>
            <w:shd w:val="clear" w:color="auto" w:fill="auto"/>
          </w:tcPr>
          <w:p w14:paraId="2A9C6FEC"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the STCW Convention and Code to consider an approach to addressing the need for cybersecurity awareness for seafarers, especially as maritime operations become more reliant on the digitally integrated and automated systems.</w:t>
            </w:r>
          </w:p>
        </w:tc>
      </w:tr>
    </w:tbl>
    <w:p w14:paraId="624D17FC"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t>
      </w:r>
    </w:p>
    <w:p w14:paraId="429E0ECA"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Implementation and transitional provisions </w:t>
      </w:r>
    </w:p>
    <w:p w14:paraId="44AA38F8"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The implementation of any amendments developed under this review must be reasonable and achievable for all Parties. Previous difficulties in meeting requirements by established effective dates due to the lengthy process associated with the multiple steps that must be taken to fully implement any new requirements should be considered.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256"/>
      </w:tblGrid>
      <w:tr w:rsidR="00D75863" w:rsidRPr="00B477A4" w14:paraId="55F777DA" w14:textId="77777777" w:rsidTr="00C81D36">
        <w:tc>
          <w:tcPr>
            <w:tcW w:w="950" w:type="dxa"/>
            <w:shd w:val="clear" w:color="auto" w:fill="auto"/>
          </w:tcPr>
          <w:p w14:paraId="515856E9"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256" w:type="dxa"/>
            <w:shd w:val="clear" w:color="auto" w:fill="auto"/>
          </w:tcPr>
          <w:p w14:paraId="450B1A29"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transitional provisions to ensure efficient implementation of respective amendments</w:t>
            </w:r>
          </w:p>
        </w:tc>
      </w:tr>
    </w:tbl>
    <w:p w14:paraId="11BDC1B0" w14:textId="77777777" w:rsidR="00D75863" w:rsidRPr="00B477A4" w:rsidRDefault="00D75863" w:rsidP="00D75863">
      <w:pPr>
        <w:jc w:val="both"/>
        <w:rPr>
          <w:rStyle w:val="Emphasis"/>
          <w:rFonts w:ascii="Arial" w:eastAsia="Arial" w:hAnsi="Arial" w:cs="Arial"/>
          <w:i w:val="0"/>
          <w:iCs w:val="0"/>
        </w:rPr>
      </w:pPr>
      <w:r w:rsidRPr="00B477A4">
        <w:rPr>
          <w:rStyle w:val="Emphasis"/>
          <w:rFonts w:ascii="Arial" w:eastAsia="Arial" w:hAnsi="Arial" w:cs="Arial"/>
          <w:i w:val="0"/>
          <w:iCs w:val="0"/>
        </w:rPr>
        <w:t xml:space="preserve"> </w:t>
      </w:r>
    </w:p>
    <w:p w14:paraId="37BC2819" w14:textId="77777777" w:rsidR="00D75863" w:rsidRPr="00B477A4" w:rsidRDefault="00D75863" w:rsidP="00D75863">
      <w:pPr>
        <w:pStyle w:val="ListParagraph"/>
        <w:numPr>
          <w:ilvl w:val="0"/>
          <w:numId w:val="6"/>
        </w:numPr>
        <w:ind w:hanging="720"/>
        <w:jc w:val="both"/>
        <w:rPr>
          <w:rStyle w:val="Emphasis"/>
          <w:rFonts w:ascii="Arial" w:eastAsia="Arial" w:hAnsi="Arial" w:cs="Arial"/>
          <w:b/>
          <w:bCs/>
          <w:i w:val="0"/>
          <w:iCs w:val="0"/>
        </w:rPr>
      </w:pPr>
      <w:r w:rsidRPr="00B477A4">
        <w:rPr>
          <w:rStyle w:val="Emphasis"/>
          <w:rFonts w:ascii="Arial" w:eastAsia="Arial" w:hAnsi="Arial" w:cs="Arial"/>
          <w:b/>
          <w:bCs/>
          <w:i w:val="0"/>
          <w:iCs w:val="0"/>
        </w:rPr>
        <w:t xml:space="preserve">Addressing outdated training requirements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9317"/>
      </w:tblGrid>
      <w:tr w:rsidR="00D75863" w:rsidRPr="00B477A4" w14:paraId="63F43729" w14:textId="77777777" w:rsidTr="00C81D36">
        <w:tc>
          <w:tcPr>
            <w:tcW w:w="889" w:type="dxa"/>
            <w:shd w:val="clear" w:color="auto" w:fill="auto"/>
          </w:tcPr>
          <w:p w14:paraId="485B1289"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Action:</w:t>
            </w:r>
          </w:p>
        </w:tc>
        <w:tc>
          <w:tcPr>
            <w:tcW w:w="9317" w:type="dxa"/>
            <w:shd w:val="clear" w:color="auto" w:fill="auto"/>
          </w:tcPr>
          <w:p w14:paraId="68E2E83C" w14:textId="77777777" w:rsidR="00D75863" w:rsidRPr="00B477A4" w:rsidRDefault="00D75863" w:rsidP="00C81D36">
            <w:pPr>
              <w:spacing w:line="259" w:lineRule="auto"/>
              <w:jc w:val="both"/>
              <w:rPr>
                <w:rStyle w:val="Emphasis"/>
                <w:rFonts w:ascii="Arial" w:eastAsia="Arial" w:hAnsi="Arial" w:cs="Arial"/>
                <w:i w:val="0"/>
                <w:iCs w:val="0"/>
              </w:rPr>
            </w:pPr>
            <w:r w:rsidRPr="00B477A4">
              <w:rPr>
                <w:rStyle w:val="Emphasis"/>
                <w:rFonts w:ascii="Arial" w:eastAsia="Arial" w:hAnsi="Arial" w:cs="Arial"/>
                <w:i w:val="0"/>
                <w:iCs w:val="0"/>
              </w:rPr>
              <w:t>Review the tables of competence in the STCW Code to identify the need to update competences, KUPs, and training requirements that are outdated and no longer relevant.</w:t>
            </w:r>
          </w:p>
        </w:tc>
      </w:tr>
    </w:tbl>
    <w:p w14:paraId="2AF51948" w14:textId="77777777" w:rsidR="00D75863" w:rsidRDefault="00D75863" w:rsidP="00D75863">
      <w:pPr>
        <w:pStyle w:val="Default"/>
        <w:jc w:val="center"/>
        <w:rPr>
          <w:b/>
          <w:bCs/>
          <w:sz w:val="22"/>
          <w:szCs w:val="22"/>
        </w:rPr>
      </w:pPr>
    </w:p>
    <w:p w14:paraId="67C7B277" w14:textId="77777777" w:rsidR="00D75863" w:rsidRDefault="00D75863" w:rsidP="00F00066">
      <w:pPr>
        <w:pStyle w:val="Default"/>
        <w:jc w:val="center"/>
        <w:rPr>
          <w:b/>
          <w:bCs/>
        </w:rPr>
      </w:pPr>
    </w:p>
    <w:p w14:paraId="008FB152" w14:textId="77777777" w:rsidR="00D75863" w:rsidRDefault="00D75863" w:rsidP="00F00066">
      <w:pPr>
        <w:pStyle w:val="Default"/>
        <w:jc w:val="center"/>
        <w:rPr>
          <w:b/>
          <w:bCs/>
        </w:rPr>
      </w:pPr>
    </w:p>
    <w:p w14:paraId="403A6D3A" w14:textId="77777777" w:rsidR="00D75863" w:rsidRDefault="00D75863" w:rsidP="00F00066">
      <w:pPr>
        <w:pStyle w:val="Default"/>
        <w:jc w:val="center"/>
        <w:rPr>
          <w:b/>
          <w:bCs/>
        </w:rPr>
      </w:pPr>
    </w:p>
    <w:p w14:paraId="082F1F57" w14:textId="77777777" w:rsidR="00D75863" w:rsidRDefault="00D75863" w:rsidP="00F00066">
      <w:pPr>
        <w:pStyle w:val="Default"/>
        <w:jc w:val="center"/>
        <w:rPr>
          <w:b/>
          <w:bCs/>
        </w:rPr>
      </w:pPr>
    </w:p>
    <w:p w14:paraId="2393C1AD" w14:textId="77777777" w:rsidR="00517E96" w:rsidRDefault="00517E96" w:rsidP="00F00066">
      <w:pPr>
        <w:pStyle w:val="Default"/>
        <w:jc w:val="center"/>
        <w:rPr>
          <w:b/>
          <w:bCs/>
        </w:rPr>
      </w:pPr>
    </w:p>
    <w:p w14:paraId="386F1EAB" w14:textId="77777777" w:rsidR="00517E96" w:rsidRDefault="00517E96" w:rsidP="00F00066">
      <w:pPr>
        <w:pStyle w:val="Default"/>
        <w:jc w:val="center"/>
        <w:rPr>
          <w:b/>
          <w:bCs/>
        </w:rPr>
      </w:pPr>
    </w:p>
    <w:p w14:paraId="67E53947" w14:textId="77777777" w:rsidR="00517E96" w:rsidRDefault="00517E96" w:rsidP="00F00066">
      <w:pPr>
        <w:pStyle w:val="Default"/>
        <w:jc w:val="center"/>
        <w:rPr>
          <w:b/>
          <w:bCs/>
        </w:rPr>
      </w:pPr>
    </w:p>
    <w:p w14:paraId="5ABA8521" w14:textId="77777777" w:rsidR="00501E70" w:rsidRPr="00501E70" w:rsidRDefault="00501E70" w:rsidP="00322A42">
      <w:pPr>
        <w:pStyle w:val="ListParagraph"/>
        <w:jc w:val="both"/>
        <w:rPr>
          <w:rStyle w:val="Emphasis"/>
          <w:rFonts w:ascii="Arial" w:eastAsia="Arial" w:hAnsi="Arial" w:cs="Arial"/>
          <w:b/>
          <w:bCs/>
          <w:i w:val="0"/>
          <w:iCs w:val="0"/>
        </w:rPr>
      </w:pPr>
      <w:r w:rsidRPr="00501E70">
        <w:rPr>
          <w:rStyle w:val="Emphasis"/>
          <w:rFonts w:ascii="Arial" w:eastAsia="Arial" w:hAnsi="Arial" w:cs="Arial"/>
          <w:b/>
          <w:bCs/>
          <w:i w:val="0"/>
          <w:iCs w:val="0"/>
        </w:rPr>
        <w:lastRenderedPageBreak/>
        <w:t xml:space="preserve">MSC 108 instructed the HTW Sub-Committee to consider: </w:t>
      </w:r>
    </w:p>
    <w:p w14:paraId="5C7DB2F5" w14:textId="77777777" w:rsidR="00501E70" w:rsidRDefault="00501E70" w:rsidP="00501E70">
      <w:pPr>
        <w:pStyle w:val="Default"/>
        <w:rPr>
          <w:sz w:val="22"/>
          <w:szCs w:val="22"/>
        </w:rPr>
      </w:pPr>
    </w:p>
    <w:p w14:paraId="0FE8AACF" w14:textId="77777777" w:rsidR="00501E70" w:rsidRDefault="00501E70" w:rsidP="00501E70">
      <w:pPr>
        <w:pStyle w:val="Default"/>
        <w:jc w:val="both"/>
        <w:rPr>
          <w:sz w:val="22"/>
          <w:szCs w:val="22"/>
        </w:rPr>
      </w:pPr>
      <w:r>
        <w:rPr>
          <w:sz w:val="22"/>
          <w:szCs w:val="22"/>
        </w:rPr>
        <w:t>.1 measures to increase awareness, detection, information sharing and prosecution of fraudulent activities concerning certificates (document MSC 108/WP.1, paragraph 16.9.1.1); and</w:t>
      </w:r>
    </w:p>
    <w:p w14:paraId="40923C99" w14:textId="5D4735D2" w:rsidR="00501E70" w:rsidRDefault="00501E70" w:rsidP="00501E70">
      <w:pPr>
        <w:pStyle w:val="Default"/>
        <w:rPr>
          <w:sz w:val="22"/>
          <w:szCs w:val="22"/>
        </w:rPr>
      </w:pPr>
      <w:r>
        <w:rPr>
          <w:sz w:val="22"/>
          <w:szCs w:val="22"/>
        </w:rPr>
        <w:t xml:space="preserve"> </w:t>
      </w:r>
    </w:p>
    <w:p w14:paraId="07B477F2" w14:textId="77777777" w:rsidR="00322A42" w:rsidRDefault="00501E70" w:rsidP="00501E70">
      <w:pPr>
        <w:pStyle w:val="Default"/>
        <w:jc w:val="both"/>
        <w:rPr>
          <w:sz w:val="22"/>
          <w:szCs w:val="22"/>
        </w:rPr>
      </w:pPr>
      <w:r>
        <w:rPr>
          <w:sz w:val="22"/>
          <w:szCs w:val="22"/>
        </w:rPr>
        <w:t>.2 to consider the proposal in paragraph 14.2 of document ILO/IMO JTWG-SIHE 2/3/1, on the inclusion of a requirement in STCW regulation I/5 (National provisions) to take action in case of sexual assault,</w:t>
      </w:r>
    </w:p>
    <w:p w14:paraId="452B8BDA" w14:textId="6C9ABF94" w:rsidR="00501E70" w:rsidRDefault="00501E70" w:rsidP="00501E70">
      <w:pPr>
        <w:pStyle w:val="Default"/>
        <w:jc w:val="both"/>
        <w:rPr>
          <w:sz w:val="22"/>
          <w:szCs w:val="22"/>
        </w:rPr>
      </w:pPr>
      <w:r>
        <w:rPr>
          <w:sz w:val="22"/>
          <w:szCs w:val="22"/>
        </w:rPr>
        <w:t xml:space="preserve"> </w:t>
      </w:r>
    </w:p>
    <w:p w14:paraId="4A0FC00D" w14:textId="32A114F8" w:rsidR="00517E96" w:rsidRDefault="00501E70" w:rsidP="00322A42">
      <w:pPr>
        <w:pStyle w:val="Default"/>
        <w:jc w:val="both"/>
        <w:rPr>
          <w:b/>
          <w:bCs/>
        </w:rPr>
      </w:pPr>
      <w:r>
        <w:rPr>
          <w:sz w:val="22"/>
          <w:szCs w:val="22"/>
        </w:rPr>
        <w:t>and agreed to include these matters in the list of specific areas for the comprehensive review of the STCW Convention and Code (MSC 108/WP.1, paragraphs 16.9.1.1 and 16.14).</w:t>
      </w:r>
    </w:p>
    <w:p w14:paraId="0785D458" w14:textId="77777777" w:rsidR="002D224D" w:rsidRDefault="002D224D" w:rsidP="00517E96">
      <w:pPr>
        <w:spacing w:after="0"/>
        <w:jc w:val="center"/>
        <w:rPr>
          <w:rFonts w:ascii="Arial" w:hAnsi="Arial" w:cs="Arial"/>
          <w:b/>
          <w:bCs/>
        </w:rPr>
      </w:pPr>
    </w:p>
    <w:p w14:paraId="2B7BA159" w14:textId="77777777" w:rsidR="002D224D" w:rsidRDefault="002D224D" w:rsidP="00517E96">
      <w:pPr>
        <w:spacing w:after="0"/>
        <w:jc w:val="center"/>
        <w:rPr>
          <w:rFonts w:ascii="Arial" w:hAnsi="Arial" w:cs="Arial"/>
          <w:b/>
          <w:bCs/>
        </w:rPr>
      </w:pPr>
    </w:p>
    <w:p w14:paraId="5DB6D8E6" w14:textId="77777777" w:rsidR="002D224D" w:rsidRDefault="002D224D" w:rsidP="00517E96">
      <w:pPr>
        <w:spacing w:after="0"/>
        <w:jc w:val="center"/>
        <w:rPr>
          <w:rFonts w:ascii="Arial" w:hAnsi="Arial" w:cs="Arial"/>
          <w:b/>
          <w:bCs/>
        </w:rPr>
      </w:pPr>
    </w:p>
    <w:p w14:paraId="3E061A96" w14:textId="77777777" w:rsidR="002D224D" w:rsidRDefault="002D224D" w:rsidP="00517E96">
      <w:pPr>
        <w:spacing w:after="0"/>
        <w:jc w:val="center"/>
        <w:rPr>
          <w:rFonts w:ascii="Arial" w:hAnsi="Arial" w:cs="Arial"/>
          <w:b/>
          <w:bCs/>
        </w:rPr>
      </w:pPr>
    </w:p>
    <w:p w14:paraId="52CE2FFB" w14:textId="77777777" w:rsidR="00322A42" w:rsidRDefault="00322A42" w:rsidP="00517E96">
      <w:pPr>
        <w:spacing w:after="0"/>
        <w:jc w:val="center"/>
        <w:rPr>
          <w:rFonts w:ascii="Arial" w:hAnsi="Arial" w:cs="Arial"/>
          <w:b/>
          <w:bCs/>
        </w:rPr>
      </w:pPr>
    </w:p>
    <w:p w14:paraId="4985C420" w14:textId="77777777" w:rsidR="00322A42" w:rsidRDefault="00322A42" w:rsidP="00517E96">
      <w:pPr>
        <w:spacing w:after="0"/>
        <w:jc w:val="center"/>
        <w:rPr>
          <w:rFonts w:ascii="Arial" w:hAnsi="Arial" w:cs="Arial"/>
          <w:b/>
          <w:bCs/>
        </w:rPr>
      </w:pPr>
    </w:p>
    <w:p w14:paraId="466A3FC8" w14:textId="77777777" w:rsidR="00322A42" w:rsidRDefault="00322A42" w:rsidP="00517E96">
      <w:pPr>
        <w:spacing w:after="0"/>
        <w:jc w:val="center"/>
        <w:rPr>
          <w:rFonts w:ascii="Arial" w:hAnsi="Arial" w:cs="Arial"/>
          <w:b/>
          <w:bCs/>
        </w:rPr>
      </w:pPr>
    </w:p>
    <w:p w14:paraId="10FF0CD8" w14:textId="77777777" w:rsidR="00322A42" w:rsidRDefault="00322A42" w:rsidP="00517E96">
      <w:pPr>
        <w:spacing w:after="0"/>
        <w:jc w:val="center"/>
        <w:rPr>
          <w:rFonts w:ascii="Arial" w:hAnsi="Arial" w:cs="Arial"/>
          <w:b/>
          <w:bCs/>
        </w:rPr>
      </w:pPr>
    </w:p>
    <w:p w14:paraId="457194B9" w14:textId="77777777" w:rsidR="00322A42" w:rsidRDefault="00322A42" w:rsidP="00517E96">
      <w:pPr>
        <w:spacing w:after="0"/>
        <w:jc w:val="center"/>
        <w:rPr>
          <w:rFonts w:ascii="Arial" w:hAnsi="Arial" w:cs="Arial"/>
          <w:b/>
          <w:bCs/>
        </w:rPr>
      </w:pPr>
    </w:p>
    <w:p w14:paraId="483519E1" w14:textId="77777777" w:rsidR="00322A42" w:rsidRDefault="00322A42" w:rsidP="00517E96">
      <w:pPr>
        <w:spacing w:after="0"/>
        <w:jc w:val="center"/>
        <w:rPr>
          <w:rFonts w:ascii="Arial" w:hAnsi="Arial" w:cs="Arial"/>
          <w:b/>
          <w:bCs/>
        </w:rPr>
      </w:pPr>
    </w:p>
    <w:p w14:paraId="724BBB54" w14:textId="77777777" w:rsidR="00322A42" w:rsidRDefault="00322A42" w:rsidP="00517E96">
      <w:pPr>
        <w:spacing w:after="0"/>
        <w:jc w:val="center"/>
        <w:rPr>
          <w:rFonts w:ascii="Arial" w:hAnsi="Arial" w:cs="Arial"/>
          <w:b/>
          <w:bCs/>
        </w:rPr>
      </w:pPr>
    </w:p>
    <w:p w14:paraId="6AF1F8F3" w14:textId="77777777" w:rsidR="00322A42" w:rsidRDefault="00322A42" w:rsidP="00517E96">
      <w:pPr>
        <w:spacing w:after="0"/>
        <w:jc w:val="center"/>
        <w:rPr>
          <w:rFonts w:ascii="Arial" w:hAnsi="Arial" w:cs="Arial"/>
          <w:b/>
          <w:bCs/>
        </w:rPr>
      </w:pPr>
    </w:p>
    <w:p w14:paraId="75ABDCCF" w14:textId="77777777" w:rsidR="00322A42" w:rsidRDefault="00322A42" w:rsidP="00517E96">
      <w:pPr>
        <w:spacing w:after="0"/>
        <w:jc w:val="center"/>
        <w:rPr>
          <w:rFonts w:ascii="Arial" w:hAnsi="Arial" w:cs="Arial"/>
          <w:b/>
          <w:bCs/>
        </w:rPr>
      </w:pPr>
    </w:p>
    <w:p w14:paraId="6C5EEC4C" w14:textId="77777777" w:rsidR="00322A42" w:rsidRDefault="00322A42" w:rsidP="00517E96">
      <w:pPr>
        <w:spacing w:after="0"/>
        <w:jc w:val="center"/>
        <w:rPr>
          <w:rFonts w:ascii="Arial" w:hAnsi="Arial" w:cs="Arial"/>
          <w:b/>
          <w:bCs/>
        </w:rPr>
      </w:pPr>
    </w:p>
    <w:p w14:paraId="4EFEF195" w14:textId="77777777" w:rsidR="00322A42" w:rsidRDefault="00322A42" w:rsidP="00517E96">
      <w:pPr>
        <w:spacing w:after="0"/>
        <w:jc w:val="center"/>
        <w:rPr>
          <w:rFonts w:ascii="Arial" w:hAnsi="Arial" w:cs="Arial"/>
          <w:b/>
          <w:bCs/>
        </w:rPr>
      </w:pPr>
    </w:p>
    <w:p w14:paraId="406B837A" w14:textId="77777777" w:rsidR="00322A42" w:rsidRDefault="00322A42" w:rsidP="00517E96">
      <w:pPr>
        <w:spacing w:after="0"/>
        <w:jc w:val="center"/>
        <w:rPr>
          <w:rFonts w:ascii="Arial" w:hAnsi="Arial" w:cs="Arial"/>
          <w:b/>
          <w:bCs/>
        </w:rPr>
      </w:pPr>
    </w:p>
    <w:p w14:paraId="44C314C0" w14:textId="77777777" w:rsidR="00322A42" w:rsidRDefault="00322A42" w:rsidP="00517E96">
      <w:pPr>
        <w:spacing w:after="0"/>
        <w:jc w:val="center"/>
        <w:rPr>
          <w:rFonts w:ascii="Arial" w:hAnsi="Arial" w:cs="Arial"/>
          <w:b/>
          <w:bCs/>
        </w:rPr>
      </w:pPr>
    </w:p>
    <w:p w14:paraId="139782E1" w14:textId="77777777" w:rsidR="00322A42" w:rsidRDefault="00322A42" w:rsidP="00517E96">
      <w:pPr>
        <w:spacing w:after="0"/>
        <w:jc w:val="center"/>
        <w:rPr>
          <w:rFonts w:ascii="Arial" w:hAnsi="Arial" w:cs="Arial"/>
          <w:b/>
          <w:bCs/>
        </w:rPr>
      </w:pPr>
    </w:p>
    <w:p w14:paraId="1A023DCF" w14:textId="77777777" w:rsidR="00322A42" w:rsidRDefault="00322A42" w:rsidP="00517E96">
      <w:pPr>
        <w:spacing w:after="0"/>
        <w:jc w:val="center"/>
        <w:rPr>
          <w:rFonts w:ascii="Arial" w:hAnsi="Arial" w:cs="Arial"/>
          <w:b/>
          <w:bCs/>
        </w:rPr>
      </w:pPr>
    </w:p>
    <w:p w14:paraId="10BB5223" w14:textId="77777777" w:rsidR="00322A42" w:rsidRDefault="00322A42" w:rsidP="00517E96">
      <w:pPr>
        <w:spacing w:after="0"/>
        <w:jc w:val="center"/>
        <w:rPr>
          <w:rFonts w:ascii="Arial" w:hAnsi="Arial" w:cs="Arial"/>
          <w:b/>
          <w:bCs/>
        </w:rPr>
      </w:pPr>
    </w:p>
    <w:p w14:paraId="3AA90CDD" w14:textId="77777777" w:rsidR="00322A42" w:rsidRDefault="00322A42" w:rsidP="00517E96">
      <w:pPr>
        <w:spacing w:after="0"/>
        <w:jc w:val="center"/>
        <w:rPr>
          <w:rFonts w:ascii="Arial" w:hAnsi="Arial" w:cs="Arial"/>
          <w:b/>
          <w:bCs/>
        </w:rPr>
      </w:pPr>
    </w:p>
    <w:p w14:paraId="1FA6903A" w14:textId="77777777" w:rsidR="00322A42" w:rsidRDefault="00322A42" w:rsidP="00517E96">
      <w:pPr>
        <w:spacing w:after="0"/>
        <w:jc w:val="center"/>
        <w:rPr>
          <w:rFonts w:ascii="Arial" w:hAnsi="Arial" w:cs="Arial"/>
          <w:b/>
          <w:bCs/>
        </w:rPr>
      </w:pPr>
    </w:p>
    <w:p w14:paraId="657C51FE" w14:textId="77777777" w:rsidR="00322A42" w:rsidRDefault="00322A42" w:rsidP="00517E96">
      <w:pPr>
        <w:spacing w:after="0"/>
        <w:jc w:val="center"/>
        <w:rPr>
          <w:rFonts w:ascii="Arial" w:hAnsi="Arial" w:cs="Arial"/>
          <w:b/>
          <w:bCs/>
        </w:rPr>
      </w:pPr>
    </w:p>
    <w:p w14:paraId="724FD2B6" w14:textId="77777777" w:rsidR="00322A42" w:rsidRDefault="00322A42" w:rsidP="00517E96">
      <w:pPr>
        <w:spacing w:after="0"/>
        <w:jc w:val="center"/>
        <w:rPr>
          <w:rFonts w:ascii="Arial" w:hAnsi="Arial" w:cs="Arial"/>
          <w:b/>
          <w:bCs/>
        </w:rPr>
      </w:pPr>
    </w:p>
    <w:p w14:paraId="4DB2441B" w14:textId="77777777" w:rsidR="00322A42" w:rsidRDefault="00322A42" w:rsidP="00517E96">
      <w:pPr>
        <w:spacing w:after="0"/>
        <w:jc w:val="center"/>
        <w:rPr>
          <w:rFonts w:ascii="Arial" w:hAnsi="Arial" w:cs="Arial"/>
          <w:b/>
          <w:bCs/>
        </w:rPr>
      </w:pPr>
    </w:p>
    <w:p w14:paraId="4ECAE070" w14:textId="77777777" w:rsidR="00322A42" w:rsidRDefault="00322A42" w:rsidP="00517E96">
      <w:pPr>
        <w:spacing w:after="0"/>
        <w:jc w:val="center"/>
        <w:rPr>
          <w:rFonts w:ascii="Arial" w:hAnsi="Arial" w:cs="Arial"/>
          <w:b/>
          <w:bCs/>
        </w:rPr>
      </w:pPr>
    </w:p>
    <w:p w14:paraId="1F784845" w14:textId="77777777" w:rsidR="00322A42" w:rsidRDefault="00322A42" w:rsidP="00517E96">
      <w:pPr>
        <w:spacing w:after="0"/>
        <w:jc w:val="center"/>
        <w:rPr>
          <w:rFonts w:ascii="Arial" w:hAnsi="Arial" w:cs="Arial"/>
          <w:b/>
          <w:bCs/>
        </w:rPr>
      </w:pPr>
    </w:p>
    <w:p w14:paraId="1A2CFDCE" w14:textId="77777777" w:rsidR="00322A42" w:rsidRDefault="00322A42" w:rsidP="00517E96">
      <w:pPr>
        <w:spacing w:after="0"/>
        <w:jc w:val="center"/>
        <w:rPr>
          <w:rFonts w:ascii="Arial" w:hAnsi="Arial" w:cs="Arial"/>
          <w:b/>
          <w:bCs/>
        </w:rPr>
      </w:pPr>
    </w:p>
    <w:p w14:paraId="7CED4D1B" w14:textId="77777777" w:rsidR="00322A42" w:rsidRDefault="00322A42" w:rsidP="00517E96">
      <w:pPr>
        <w:spacing w:after="0"/>
        <w:jc w:val="center"/>
        <w:rPr>
          <w:rFonts w:ascii="Arial" w:hAnsi="Arial" w:cs="Arial"/>
          <w:b/>
          <w:bCs/>
        </w:rPr>
      </w:pPr>
    </w:p>
    <w:p w14:paraId="30E0F07B" w14:textId="77777777" w:rsidR="00322A42" w:rsidRDefault="00322A42" w:rsidP="00517E96">
      <w:pPr>
        <w:spacing w:after="0"/>
        <w:jc w:val="center"/>
        <w:rPr>
          <w:rFonts w:ascii="Arial" w:hAnsi="Arial" w:cs="Arial"/>
          <w:b/>
          <w:bCs/>
        </w:rPr>
      </w:pPr>
    </w:p>
    <w:p w14:paraId="17F28CC8" w14:textId="77777777" w:rsidR="00322A42" w:rsidRDefault="00322A42" w:rsidP="00517E96">
      <w:pPr>
        <w:spacing w:after="0"/>
        <w:jc w:val="center"/>
        <w:rPr>
          <w:rFonts w:ascii="Arial" w:hAnsi="Arial" w:cs="Arial"/>
          <w:b/>
          <w:bCs/>
        </w:rPr>
      </w:pPr>
    </w:p>
    <w:p w14:paraId="2513CD6D" w14:textId="77777777" w:rsidR="00322A42" w:rsidRDefault="00322A42" w:rsidP="00517E96">
      <w:pPr>
        <w:spacing w:after="0"/>
        <w:jc w:val="center"/>
        <w:rPr>
          <w:rFonts w:ascii="Arial" w:hAnsi="Arial" w:cs="Arial"/>
          <w:b/>
          <w:bCs/>
        </w:rPr>
      </w:pPr>
    </w:p>
    <w:p w14:paraId="75381DA5" w14:textId="77777777" w:rsidR="00322A42" w:rsidRDefault="00322A42" w:rsidP="00517E96">
      <w:pPr>
        <w:spacing w:after="0"/>
        <w:jc w:val="center"/>
        <w:rPr>
          <w:rFonts w:ascii="Arial" w:hAnsi="Arial" w:cs="Arial"/>
          <w:b/>
          <w:bCs/>
        </w:rPr>
      </w:pPr>
    </w:p>
    <w:p w14:paraId="28DDEB28" w14:textId="77777777" w:rsidR="00322A42" w:rsidRDefault="00322A42" w:rsidP="00517E96">
      <w:pPr>
        <w:spacing w:after="0"/>
        <w:jc w:val="center"/>
        <w:rPr>
          <w:rFonts w:ascii="Arial" w:hAnsi="Arial" w:cs="Arial"/>
          <w:b/>
          <w:bCs/>
        </w:rPr>
      </w:pPr>
    </w:p>
    <w:p w14:paraId="7B19D336" w14:textId="77777777" w:rsidR="00322A42" w:rsidRDefault="00322A42" w:rsidP="00517E96">
      <w:pPr>
        <w:spacing w:after="0"/>
        <w:jc w:val="center"/>
        <w:rPr>
          <w:rFonts w:ascii="Arial" w:hAnsi="Arial" w:cs="Arial"/>
          <w:b/>
          <w:bCs/>
        </w:rPr>
      </w:pPr>
    </w:p>
    <w:p w14:paraId="37BAB68F" w14:textId="77777777" w:rsidR="00322A42" w:rsidRDefault="00322A42" w:rsidP="00517E96">
      <w:pPr>
        <w:spacing w:after="0"/>
        <w:jc w:val="center"/>
        <w:rPr>
          <w:rFonts w:ascii="Arial" w:hAnsi="Arial" w:cs="Arial"/>
          <w:b/>
          <w:bCs/>
        </w:rPr>
      </w:pPr>
    </w:p>
    <w:p w14:paraId="6E0F0B5C" w14:textId="77777777" w:rsidR="00322A42" w:rsidRDefault="00322A42" w:rsidP="00517E96">
      <w:pPr>
        <w:spacing w:after="0"/>
        <w:jc w:val="center"/>
        <w:rPr>
          <w:rFonts w:ascii="Arial" w:hAnsi="Arial" w:cs="Arial"/>
          <w:b/>
          <w:bCs/>
        </w:rPr>
      </w:pPr>
    </w:p>
    <w:p w14:paraId="23B38131" w14:textId="77777777" w:rsidR="00322A42" w:rsidRDefault="00322A42" w:rsidP="00517E96">
      <w:pPr>
        <w:spacing w:after="0"/>
        <w:jc w:val="center"/>
        <w:rPr>
          <w:rFonts w:ascii="Arial" w:hAnsi="Arial" w:cs="Arial"/>
          <w:b/>
          <w:bCs/>
        </w:rPr>
      </w:pPr>
    </w:p>
    <w:p w14:paraId="3C2B2F8E" w14:textId="77777777" w:rsidR="00322A42" w:rsidRDefault="00322A42" w:rsidP="00517E96">
      <w:pPr>
        <w:spacing w:after="0"/>
        <w:jc w:val="center"/>
        <w:rPr>
          <w:rFonts w:ascii="Arial" w:hAnsi="Arial" w:cs="Arial"/>
          <w:b/>
          <w:bCs/>
        </w:rPr>
      </w:pPr>
    </w:p>
    <w:p w14:paraId="372C74F8" w14:textId="77777777" w:rsidR="00322A42" w:rsidRDefault="00322A42" w:rsidP="00517E96">
      <w:pPr>
        <w:spacing w:after="0"/>
        <w:jc w:val="center"/>
        <w:rPr>
          <w:rFonts w:ascii="Arial" w:hAnsi="Arial" w:cs="Arial"/>
          <w:b/>
          <w:bCs/>
        </w:rPr>
      </w:pPr>
    </w:p>
    <w:p w14:paraId="189AEA86" w14:textId="77777777" w:rsidR="00322A42" w:rsidRDefault="00322A42" w:rsidP="00517E96">
      <w:pPr>
        <w:spacing w:after="0"/>
        <w:jc w:val="center"/>
        <w:rPr>
          <w:rFonts w:ascii="Arial" w:hAnsi="Arial" w:cs="Arial"/>
          <w:b/>
          <w:bCs/>
        </w:rPr>
      </w:pPr>
    </w:p>
    <w:p w14:paraId="1D08EFEF" w14:textId="77777777" w:rsidR="00322A42" w:rsidRDefault="00322A42" w:rsidP="00517E96">
      <w:pPr>
        <w:spacing w:after="0"/>
        <w:jc w:val="center"/>
        <w:rPr>
          <w:rFonts w:ascii="Arial" w:hAnsi="Arial" w:cs="Arial"/>
          <w:b/>
          <w:bCs/>
        </w:rPr>
      </w:pPr>
    </w:p>
    <w:p w14:paraId="67C6741D" w14:textId="77777777" w:rsidR="00322A42" w:rsidRDefault="00322A42" w:rsidP="00517E96">
      <w:pPr>
        <w:spacing w:after="0"/>
        <w:jc w:val="center"/>
        <w:rPr>
          <w:rFonts w:ascii="Arial" w:hAnsi="Arial" w:cs="Arial"/>
          <w:b/>
          <w:bCs/>
        </w:rPr>
      </w:pPr>
    </w:p>
    <w:p w14:paraId="0A019E1E" w14:textId="77777777" w:rsidR="00322A42" w:rsidRDefault="00322A42" w:rsidP="00517E96">
      <w:pPr>
        <w:spacing w:after="0"/>
        <w:jc w:val="center"/>
        <w:rPr>
          <w:rFonts w:ascii="Arial" w:hAnsi="Arial" w:cs="Arial"/>
          <w:b/>
          <w:bCs/>
        </w:rPr>
      </w:pPr>
    </w:p>
    <w:p w14:paraId="6CC86B83" w14:textId="77777777" w:rsidR="00322A42" w:rsidRDefault="00322A42" w:rsidP="00517E96">
      <w:pPr>
        <w:spacing w:after="0"/>
        <w:jc w:val="center"/>
        <w:rPr>
          <w:rFonts w:ascii="Arial" w:hAnsi="Arial" w:cs="Arial"/>
          <w:b/>
          <w:bCs/>
        </w:rPr>
      </w:pPr>
    </w:p>
    <w:p w14:paraId="7E4A76E9" w14:textId="77777777" w:rsidR="00322A42" w:rsidRDefault="00322A42" w:rsidP="00517E96">
      <w:pPr>
        <w:spacing w:after="0"/>
        <w:jc w:val="center"/>
        <w:rPr>
          <w:rFonts w:ascii="Arial" w:hAnsi="Arial" w:cs="Arial"/>
          <w:b/>
          <w:bCs/>
        </w:rPr>
      </w:pPr>
    </w:p>
    <w:p w14:paraId="431FA794" w14:textId="77777777" w:rsidR="00322A42" w:rsidRDefault="00322A42" w:rsidP="00517E96">
      <w:pPr>
        <w:spacing w:after="0"/>
        <w:jc w:val="center"/>
        <w:rPr>
          <w:rFonts w:ascii="Arial" w:hAnsi="Arial" w:cs="Arial"/>
          <w:b/>
          <w:bCs/>
        </w:rPr>
      </w:pPr>
    </w:p>
    <w:p w14:paraId="79503E9E" w14:textId="44662ACE" w:rsidR="00517E96" w:rsidRPr="00DB516E" w:rsidRDefault="00517E96" w:rsidP="00517E96">
      <w:pPr>
        <w:spacing w:after="0"/>
        <w:jc w:val="center"/>
        <w:rPr>
          <w:rFonts w:ascii="Arial" w:hAnsi="Arial" w:cs="Arial"/>
          <w:b/>
          <w:bCs/>
        </w:rPr>
      </w:pPr>
      <w:r w:rsidRPr="00DB516E">
        <w:rPr>
          <w:rFonts w:ascii="Arial" w:hAnsi="Arial" w:cs="Arial"/>
          <w:b/>
          <w:bCs/>
        </w:rPr>
        <w:lastRenderedPageBreak/>
        <w:t xml:space="preserve">CRITERION FOR IDENTIFYING GAPS/PROVISIONS DURING THE REVIEW OF THE </w:t>
      </w:r>
    </w:p>
    <w:p w14:paraId="167F22E5" w14:textId="77777777" w:rsidR="00517E96" w:rsidRPr="00DB516E" w:rsidRDefault="00517E96" w:rsidP="00517E96">
      <w:pPr>
        <w:spacing w:after="0"/>
        <w:jc w:val="center"/>
        <w:rPr>
          <w:rFonts w:ascii="Arial" w:hAnsi="Arial" w:cs="Arial"/>
          <w:b/>
          <w:bCs/>
        </w:rPr>
      </w:pPr>
      <w:r w:rsidRPr="00DB516E">
        <w:rPr>
          <w:rFonts w:ascii="Arial" w:hAnsi="Arial" w:cs="Arial"/>
          <w:b/>
          <w:bCs/>
        </w:rPr>
        <w:t>1978 STCW CONVENTION AND CODE</w:t>
      </w:r>
    </w:p>
    <w:p w14:paraId="266A6975" w14:textId="77777777" w:rsidR="00517E96" w:rsidRDefault="00517E96" w:rsidP="00517E96">
      <w:pPr>
        <w:jc w:val="both"/>
        <w:rPr>
          <w:rFonts w:ascii="Arial" w:hAnsi="Arial" w:cs="Arial"/>
        </w:rPr>
      </w:pPr>
    </w:p>
    <w:p w14:paraId="5B5C852B" w14:textId="77777777" w:rsidR="00517E96" w:rsidRDefault="00517E96" w:rsidP="00517E96">
      <w:pPr>
        <w:jc w:val="both"/>
        <w:rPr>
          <w:rFonts w:ascii="Arial" w:hAnsi="Arial" w:cs="Arial"/>
        </w:rPr>
      </w:pPr>
      <w:r>
        <w:rPr>
          <w:rFonts w:ascii="Arial" w:hAnsi="Arial" w:cs="Arial"/>
        </w:rPr>
        <w:t xml:space="preserve">Criterion 1 – </w:t>
      </w:r>
      <w:r w:rsidRPr="00D241C0">
        <w:rPr>
          <w:rFonts w:ascii="Arial" w:hAnsi="Arial" w:cs="Arial"/>
        </w:rPr>
        <w:t>Issues</w:t>
      </w:r>
      <w:r>
        <w:rPr>
          <w:rFonts w:ascii="Arial" w:hAnsi="Arial" w:cs="Arial"/>
        </w:rPr>
        <w:t xml:space="preserve"> </w:t>
      </w:r>
      <w:r w:rsidRPr="00D241C0">
        <w:rPr>
          <w:rFonts w:ascii="Arial" w:hAnsi="Arial" w:cs="Arial"/>
        </w:rPr>
        <w:t>emanating/resulting from external factors including trends and new developments</w:t>
      </w:r>
      <w:r>
        <w:rPr>
          <w:rFonts w:ascii="Arial" w:hAnsi="Arial" w:cs="Arial"/>
        </w:rPr>
        <w:t>.</w:t>
      </w:r>
    </w:p>
    <w:p w14:paraId="279AD0FD" w14:textId="076DB065" w:rsidR="00517E96" w:rsidRPr="00517E96" w:rsidRDefault="00517E96" w:rsidP="00517E96">
      <w:pPr>
        <w:jc w:val="both"/>
        <w:rPr>
          <w:rFonts w:ascii="Arial" w:hAnsi="Arial" w:cs="Arial"/>
        </w:rPr>
      </w:pPr>
      <w:r>
        <w:rPr>
          <w:rFonts w:ascii="Arial" w:hAnsi="Arial" w:cs="Arial"/>
        </w:rPr>
        <w:t xml:space="preserve">Criterion 2 – </w:t>
      </w:r>
      <w:r w:rsidRPr="00467953">
        <w:rPr>
          <w:rFonts w:ascii="Arial" w:hAnsi="Arial" w:cs="Arial"/>
        </w:rPr>
        <w:t>Issues</w:t>
      </w:r>
      <w:r>
        <w:rPr>
          <w:rFonts w:ascii="Arial" w:hAnsi="Arial" w:cs="Arial"/>
        </w:rPr>
        <w:t xml:space="preserve"> </w:t>
      </w:r>
      <w:r w:rsidRPr="00467953">
        <w:rPr>
          <w:rFonts w:ascii="Arial" w:hAnsi="Arial" w:cs="Arial"/>
        </w:rPr>
        <w:t>emanating/resulting from existing provisions based on implementation experiences</w:t>
      </w:r>
      <w:r>
        <w:rPr>
          <w:rFonts w:ascii="Arial" w:hAnsi="Arial" w:cs="Arial"/>
        </w:rPr>
        <w:t>.</w:t>
      </w:r>
    </w:p>
    <w:p w14:paraId="3CDF4824" w14:textId="1F374FCE" w:rsidR="00FF095E" w:rsidRDefault="00FF095E">
      <w:pPr>
        <w:rPr>
          <w:rFonts w:ascii="Arial" w:hAnsi="Arial" w:cs="Arial"/>
          <w:b/>
          <w:bCs/>
          <w:color w:val="000000"/>
          <w:kern w:val="0"/>
          <w:sz w:val="24"/>
          <w:szCs w:val="24"/>
        </w:rPr>
      </w:pPr>
      <w:r>
        <w:rPr>
          <w:b/>
          <w:bCs/>
        </w:rPr>
        <w:br w:type="page"/>
      </w:r>
    </w:p>
    <w:p w14:paraId="1EAFF0A1" w14:textId="4926CFA0" w:rsidR="00B46EDF" w:rsidRDefault="00B46EDF" w:rsidP="00F00066">
      <w:pPr>
        <w:pStyle w:val="Default"/>
        <w:jc w:val="center"/>
        <w:rPr>
          <w:b/>
          <w:bCs/>
          <w:lang w:eastAsia="ko-KR"/>
        </w:rPr>
      </w:pPr>
      <w:r w:rsidRPr="004E3369">
        <w:rPr>
          <w:b/>
          <w:bCs/>
        </w:rPr>
        <w:lastRenderedPageBreak/>
        <w:t xml:space="preserve">TEMPLATE </w:t>
      </w:r>
      <w:r w:rsidR="00BA17F3" w:rsidRPr="004E3369">
        <w:rPr>
          <w:b/>
          <w:bCs/>
        </w:rPr>
        <w:t xml:space="preserve">FOR SUBMITTING GAPS/PROVISIONS </w:t>
      </w:r>
      <w:r w:rsidR="00766AE0">
        <w:rPr>
          <w:rFonts w:eastAsia="Malgun Gothic" w:hint="eastAsia"/>
          <w:b/>
          <w:bCs/>
          <w:lang w:eastAsia="ko-KR"/>
        </w:rPr>
        <w:t>FOR PHASE 1 (</w:t>
      </w:r>
      <w:r w:rsidR="00233D7D">
        <w:rPr>
          <w:rFonts w:eastAsia="Malgun Gothic" w:hint="eastAsia"/>
          <w:b/>
          <w:bCs/>
          <w:lang w:eastAsia="ko-KR"/>
        </w:rPr>
        <w:t>REVIEW</w:t>
      </w:r>
      <w:r w:rsidR="00F00066">
        <w:rPr>
          <w:rFonts w:eastAsia="Malgun Gothic" w:hint="eastAsia"/>
          <w:b/>
          <w:bCs/>
          <w:lang w:eastAsia="ko-KR"/>
        </w:rPr>
        <w:t>/IDENTIFICATION OF GAPS</w:t>
      </w:r>
      <w:r w:rsidR="00712086">
        <w:rPr>
          <w:rFonts w:hint="eastAsia"/>
          <w:b/>
          <w:bCs/>
          <w:lang w:eastAsia="ko-KR"/>
        </w:rPr>
        <w:t>)</w:t>
      </w:r>
    </w:p>
    <w:p w14:paraId="6D7B12D3" w14:textId="77777777" w:rsidR="00FF545D" w:rsidRDefault="00FF545D" w:rsidP="00B46EDF">
      <w:pPr>
        <w:pStyle w:val="Default"/>
        <w:jc w:val="center"/>
        <w:rPr>
          <w:b/>
          <w:bCs/>
        </w:rPr>
      </w:pPr>
    </w:p>
    <w:p w14:paraId="439D916B" w14:textId="5D31FAF6" w:rsidR="00F2589E" w:rsidRDefault="00F2589E" w:rsidP="00003B51">
      <w:pPr>
        <w:jc w:val="both"/>
        <w:rPr>
          <w:rFonts w:ascii="Arial" w:hAnsi="Arial" w:cs="Arial"/>
        </w:rPr>
      </w:pPr>
      <w:r>
        <w:rPr>
          <w:rFonts w:ascii="Arial" w:hAnsi="Arial" w:cs="Arial"/>
        </w:rPr>
        <w:t xml:space="preserve">The template is to be included as an annex to the </w:t>
      </w:r>
      <w:r w:rsidR="00C701E9">
        <w:rPr>
          <w:rFonts w:ascii="Arial" w:hAnsi="Arial" w:cs="Arial"/>
        </w:rPr>
        <w:t xml:space="preserve">submission document to ISWG STCW. The submission document </w:t>
      </w:r>
      <w:r w:rsidR="00B1651C">
        <w:rPr>
          <w:rFonts w:ascii="Arial" w:hAnsi="Arial" w:cs="Arial"/>
        </w:rPr>
        <w:t xml:space="preserve">may </w:t>
      </w:r>
      <w:r w:rsidR="00C701E9">
        <w:rPr>
          <w:rFonts w:ascii="Arial" w:hAnsi="Arial" w:cs="Arial"/>
        </w:rPr>
        <w:t>include more details about the propos</w:t>
      </w:r>
      <w:r w:rsidR="00B1651C">
        <w:rPr>
          <w:rFonts w:ascii="Arial" w:hAnsi="Arial" w:cs="Arial"/>
        </w:rPr>
        <w:t>al</w:t>
      </w:r>
      <w:r w:rsidR="00BF72F6">
        <w:rPr>
          <w:rFonts w:ascii="Arial" w:hAnsi="Arial" w:cs="Arial"/>
        </w:rPr>
        <w:t xml:space="preserve"> which may not be possible to elaborate within the columns of the template.</w:t>
      </w:r>
      <w:r>
        <w:rPr>
          <w:rFonts w:ascii="Arial" w:hAnsi="Arial" w:cs="Arial"/>
        </w:rPr>
        <w:t xml:space="preserve"> </w:t>
      </w:r>
    </w:p>
    <w:p w14:paraId="1C7CAE0D" w14:textId="781AD15C" w:rsidR="00003B51" w:rsidRDefault="00003B51" w:rsidP="00003B51">
      <w:pPr>
        <w:jc w:val="both"/>
        <w:rPr>
          <w:rFonts w:ascii="Arial" w:hAnsi="Arial" w:cs="Arial"/>
        </w:rPr>
      </w:pPr>
      <w:r w:rsidRPr="00BF72F6">
        <w:rPr>
          <w:rFonts w:ascii="Arial" w:hAnsi="Arial" w:cs="Arial"/>
          <w:u w:val="single"/>
        </w:rPr>
        <w:t>How to use the template</w:t>
      </w:r>
    </w:p>
    <w:p w14:paraId="762DF3A6" w14:textId="77777777" w:rsidR="00003B51" w:rsidRDefault="00003B51" w:rsidP="00003B51">
      <w:pPr>
        <w:pStyle w:val="ListParagraph"/>
        <w:numPr>
          <w:ilvl w:val="0"/>
          <w:numId w:val="3"/>
        </w:numPr>
        <w:jc w:val="both"/>
        <w:rPr>
          <w:rFonts w:ascii="Arial" w:hAnsi="Arial" w:cs="Arial"/>
        </w:rPr>
      </w:pPr>
      <w:r>
        <w:rPr>
          <w:rFonts w:ascii="Arial" w:hAnsi="Arial" w:cs="Arial"/>
        </w:rPr>
        <w:t>Identify a gap/provision within the 1978 STCW Convention or the STCW Code. This could be:</w:t>
      </w:r>
    </w:p>
    <w:p w14:paraId="5BE919B8" w14:textId="77777777" w:rsidR="00003B51" w:rsidRDefault="00003B51" w:rsidP="00003B51">
      <w:pPr>
        <w:pStyle w:val="ListParagraph"/>
        <w:jc w:val="both"/>
        <w:rPr>
          <w:rFonts w:ascii="Arial" w:hAnsi="Arial" w:cs="Arial"/>
        </w:rPr>
      </w:pPr>
    </w:p>
    <w:p w14:paraId="188C8FC6" w14:textId="77777777" w:rsidR="00003B51" w:rsidRDefault="00003B51" w:rsidP="00003B51">
      <w:pPr>
        <w:pStyle w:val="ListParagraph"/>
        <w:numPr>
          <w:ilvl w:val="0"/>
          <w:numId w:val="5"/>
        </w:numPr>
        <w:ind w:left="1134" w:hanging="425"/>
        <w:jc w:val="both"/>
        <w:rPr>
          <w:rFonts w:ascii="Arial" w:hAnsi="Arial" w:cs="Arial"/>
        </w:rPr>
      </w:pPr>
      <w:r>
        <w:rPr>
          <w:rFonts w:ascii="Arial" w:hAnsi="Arial" w:cs="Arial"/>
        </w:rPr>
        <w:t>one or more of the Articles of the Convention; or</w:t>
      </w:r>
    </w:p>
    <w:p w14:paraId="63744FEE" w14:textId="77777777" w:rsidR="00003B51" w:rsidRDefault="00003B51" w:rsidP="00003B51">
      <w:pPr>
        <w:pStyle w:val="ListParagraph"/>
        <w:numPr>
          <w:ilvl w:val="0"/>
          <w:numId w:val="5"/>
        </w:numPr>
        <w:ind w:left="1134" w:hanging="425"/>
        <w:jc w:val="both"/>
        <w:rPr>
          <w:rFonts w:ascii="Arial" w:hAnsi="Arial" w:cs="Arial"/>
        </w:rPr>
      </w:pPr>
      <w:r>
        <w:rPr>
          <w:rFonts w:ascii="Arial" w:hAnsi="Arial" w:cs="Arial"/>
        </w:rPr>
        <w:t>one or more Chapters of the 1978 STCW Convention; or</w:t>
      </w:r>
    </w:p>
    <w:p w14:paraId="002B55BA" w14:textId="77777777" w:rsidR="00003B51" w:rsidRDefault="00003B51" w:rsidP="00003B51">
      <w:pPr>
        <w:pStyle w:val="ListParagraph"/>
        <w:numPr>
          <w:ilvl w:val="0"/>
          <w:numId w:val="5"/>
        </w:numPr>
        <w:ind w:left="1134" w:hanging="425"/>
        <w:jc w:val="both"/>
        <w:rPr>
          <w:rFonts w:ascii="Arial" w:hAnsi="Arial" w:cs="Arial"/>
        </w:rPr>
      </w:pPr>
      <w:r>
        <w:rPr>
          <w:rFonts w:ascii="Arial" w:hAnsi="Arial" w:cs="Arial"/>
        </w:rPr>
        <w:t xml:space="preserve">one or more Regulations of the 1978 STCW Convention; or </w:t>
      </w:r>
    </w:p>
    <w:p w14:paraId="19846224" w14:textId="77777777" w:rsidR="00003B51" w:rsidRDefault="00003B51" w:rsidP="00003B51">
      <w:pPr>
        <w:pStyle w:val="ListParagraph"/>
        <w:numPr>
          <w:ilvl w:val="0"/>
          <w:numId w:val="5"/>
        </w:numPr>
        <w:ind w:left="1134" w:hanging="425"/>
        <w:jc w:val="both"/>
        <w:rPr>
          <w:rFonts w:ascii="Arial" w:hAnsi="Arial" w:cs="Arial"/>
        </w:rPr>
      </w:pPr>
      <w:r>
        <w:rPr>
          <w:rFonts w:ascii="Arial" w:hAnsi="Arial" w:cs="Arial"/>
        </w:rPr>
        <w:t>one or more Sections of the STCW Code; or</w:t>
      </w:r>
    </w:p>
    <w:p w14:paraId="06B5C0F2" w14:textId="397EBCCD" w:rsidR="00003B51" w:rsidRDefault="00003B51" w:rsidP="00003B51">
      <w:pPr>
        <w:pStyle w:val="ListParagraph"/>
        <w:numPr>
          <w:ilvl w:val="0"/>
          <w:numId w:val="5"/>
        </w:numPr>
        <w:ind w:left="1134" w:hanging="425"/>
        <w:jc w:val="both"/>
        <w:rPr>
          <w:rFonts w:ascii="Arial" w:hAnsi="Arial" w:cs="Arial"/>
        </w:rPr>
      </w:pPr>
      <w:r>
        <w:rPr>
          <w:rFonts w:ascii="Arial" w:hAnsi="Arial" w:cs="Arial"/>
        </w:rPr>
        <w:t xml:space="preserve">one or more </w:t>
      </w:r>
      <w:r w:rsidR="005708DE">
        <w:rPr>
          <w:rFonts w:ascii="Arial" w:hAnsi="Arial" w:cs="Arial"/>
        </w:rPr>
        <w:t>standards of competence</w:t>
      </w:r>
      <w:r>
        <w:rPr>
          <w:rFonts w:ascii="Arial" w:hAnsi="Arial" w:cs="Arial"/>
        </w:rPr>
        <w:t xml:space="preserve"> of the STCW Code.</w:t>
      </w:r>
    </w:p>
    <w:p w14:paraId="05B7B8CC" w14:textId="77777777" w:rsidR="00003B51" w:rsidRDefault="00003B51" w:rsidP="00003B51">
      <w:pPr>
        <w:pStyle w:val="ListParagraph"/>
        <w:jc w:val="both"/>
        <w:rPr>
          <w:rFonts w:ascii="Arial" w:hAnsi="Arial" w:cs="Arial"/>
        </w:rPr>
      </w:pPr>
    </w:p>
    <w:p w14:paraId="04354707" w14:textId="7F4B9AB7" w:rsidR="00CB5E75" w:rsidRDefault="00CB5E75" w:rsidP="00003B51">
      <w:pPr>
        <w:pStyle w:val="ListParagraph"/>
        <w:numPr>
          <w:ilvl w:val="0"/>
          <w:numId w:val="3"/>
        </w:numPr>
        <w:jc w:val="both"/>
        <w:rPr>
          <w:rFonts w:ascii="Arial" w:hAnsi="Arial" w:cs="Arial"/>
        </w:rPr>
      </w:pPr>
      <w:r>
        <w:rPr>
          <w:rFonts w:ascii="Arial" w:hAnsi="Arial" w:cs="Arial"/>
        </w:rPr>
        <w:t xml:space="preserve">Provide an explanation </w:t>
      </w:r>
      <w:r w:rsidR="0054049C">
        <w:rPr>
          <w:rFonts w:ascii="Arial" w:hAnsi="Arial" w:cs="Arial"/>
        </w:rPr>
        <w:t>for the gap/provision identified.</w:t>
      </w:r>
    </w:p>
    <w:p w14:paraId="213FB915" w14:textId="77777777" w:rsidR="0054049C" w:rsidRDefault="0054049C" w:rsidP="0054049C">
      <w:pPr>
        <w:pStyle w:val="ListParagraph"/>
        <w:jc w:val="both"/>
        <w:rPr>
          <w:rFonts w:ascii="Arial" w:hAnsi="Arial" w:cs="Arial"/>
        </w:rPr>
      </w:pPr>
    </w:p>
    <w:p w14:paraId="13CE102F" w14:textId="405E66F9" w:rsidR="006138BA" w:rsidRDefault="006138BA" w:rsidP="00003B51">
      <w:pPr>
        <w:pStyle w:val="ListParagraph"/>
        <w:numPr>
          <w:ilvl w:val="0"/>
          <w:numId w:val="3"/>
        </w:numPr>
        <w:jc w:val="both"/>
        <w:rPr>
          <w:rFonts w:ascii="Arial" w:hAnsi="Arial" w:cs="Arial"/>
        </w:rPr>
      </w:pPr>
      <w:r>
        <w:rPr>
          <w:rFonts w:ascii="Arial" w:hAnsi="Arial" w:cs="Arial"/>
        </w:rPr>
        <w:t xml:space="preserve">Indicate the desired action for the chosen gap/provision i.e. </w:t>
      </w:r>
      <w:r w:rsidR="00AA3E26">
        <w:rPr>
          <w:rFonts w:ascii="Arial" w:hAnsi="Arial" w:cs="Arial"/>
        </w:rPr>
        <w:t xml:space="preserve">whether it is to be revised, or </w:t>
      </w:r>
      <w:r w:rsidR="0090228D">
        <w:rPr>
          <w:rFonts w:ascii="Arial" w:hAnsi="Arial" w:cs="Arial"/>
        </w:rPr>
        <w:t xml:space="preserve">additional items added, or items to be deleted or whether you </w:t>
      </w:r>
      <w:r w:rsidR="00F2589E">
        <w:rPr>
          <w:rFonts w:ascii="Arial" w:hAnsi="Arial" w:cs="Arial"/>
        </w:rPr>
        <w:t>intend to initiate a discussion.</w:t>
      </w:r>
    </w:p>
    <w:p w14:paraId="634FA088" w14:textId="77777777" w:rsidR="006138BA" w:rsidRPr="006138BA" w:rsidRDefault="006138BA" w:rsidP="006138BA">
      <w:pPr>
        <w:pStyle w:val="ListParagraph"/>
        <w:rPr>
          <w:rFonts w:ascii="Arial" w:hAnsi="Arial" w:cs="Arial"/>
        </w:rPr>
      </w:pPr>
    </w:p>
    <w:p w14:paraId="74392E92" w14:textId="7E22B030" w:rsidR="00003B51" w:rsidRDefault="00003B51" w:rsidP="00003B51">
      <w:pPr>
        <w:pStyle w:val="ListParagraph"/>
        <w:numPr>
          <w:ilvl w:val="0"/>
          <w:numId w:val="3"/>
        </w:numPr>
        <w:jc w:val="both"/>
        <w:rPr>
          <w:rFonts w:ascii="Arial" w:hAnsi="Arial" w:cs="Arial"/>
        </w:rPr>
      </w:pPr>
      <w:r>
        <w:rPr>
          <w:rFonts w:ascii="Arial" w:hAnsi="Arial" w:cs="Arial"/>
        </w:rPr>
        <w:t>Choose any one of the most appropriate principles from the list of 16 principles approved by MSC 107 from the drop-down menu.</w:t>
      </w:r>
    </w:p>
    <w:p w14:paraId="6C27CE17" w14:textId="77777777" w:rsidR="00E9586F" w:rsidRDefault="00E9586F" w:rsidP="00E9586F">
      <w:pPr>
        <w:pStyle w:val="ListParagraph"/>
        <w:jc w:val="both"/>
        <w:rPr>
          <w:rFonts w:ascii="Arial" w:hAnsi="Arial" w:cs="Arial"/>
        </w:rPr>
      </w:pPr>
    </w:p>
    <w:p w14:paraId="72F19D7D" w14:textId="2E87F311" w:rsidR="00E9586F" w:rsidRDefault="00221FEB" w:rsidP="00003B51">
      <w:pPr>
        <w:pStyle w:val="ListParagraph"/>
        <w:numPr>
          <w:ilvl w:val="0"/>
          <w:numId w:val="3"/>
        </w:numPr>
        <w:jc w:val="both"/>
        <w:rPr>
          <w:rFonts w:ascii="Arial" w:hAnsi="Arial" w:cs="Arial"/>
        </w:rPr>
      </w:pPr>
      <w:r>
        <w:rPr>
          <w:rFonts w:ascii="Arial" w:hAnsi="Arial" w:cs="Arial"/>
        </w:rPr>
        <w:t>If more than one Principle may be applicable</w:t>
      </w:r>
      <w:r w:rsidR="00097A87">
        <w:rPr>
          <w:rFonts w:ascii="Arial" w:hAnsi="Arial" w:cs="Arial"/>
        </w:rPr>
        <w:t>, list all that may apply</w:t>
      </w:r>
      <w:r w:rsidR="003973D1">
        <w:rPr>
          <w:rFonts w:ascii="Arial" w:hAnsi="Arial" w:cs="Arial"/>
        </w:rPr>
        <w:t>.</w:t>
      </w:r>
    </w:p>
    <w:p w14:paraId="0DA8DC9F" w14:textId="77777777" w:rsidR="00097A87" w:rsidRPr="00097A87" w:rsidRDefault="00097A87" w:rsidP="00097A87">
      <w:pPr>
        <w:pStyle w:val="ListParagraph"/>
        <w:rPr>
          <w:rFonts w:ascii="Arial" w:hAnsi="Arial" w:cs="Arial"/>
        </w:rPr>
      </w:pPr>
    </w:p>
    <w:p w14:paraId="5EA2266C" w14:textId="45AF01AC" w:rsidR="00097A87" w:rsidRDefault="0086301B" w:rsidP="00003B51">
      <w:pPr>
        <w:pStyle w:val="ListParagraph"/>
        <w:numPr>
          <w:ilvl w:val="0"/>
          <w:numId w:val="3"/>
        </w:numPr>
        <w:jc w:val="both"/>
        <w:rPr>
          <w:rFonts w:ascii="Arial" w:hAnsi="Arial" w:cs="Arial"/>
        </w:rPr>
      </w:pPr>
      <w:r>
        <w:rPr>
          <w:rFonts w:ascii="Arial" w:hAnsi="Arial" w:cs="Arial"/>
        </w:rPr>
        <w:t xml:space="preserve">Optional </w:t>
      </w:r>
      <w:r w:rsidR="00774BB0">
        <w:rPr>
          <w:rFonts w:ascii="Arial" w:hAnsi="Arial" w:cs="Arial"/>
        </w:rPr>
        <w:t>–</w:t>
      </w:r>
      <w:r>
        <w:rPr>
          <w:rFonts w:ascii="Arial" w:hAnsi="Arial" w:cs="Arial"/>
        </w:rPr>
        <w:t xml:space="preserve"> </w:t>
      </w:r>
      <w:r w:rsidR="00774BB0">
        <w:rPr>
          <w:rFonts w:ascii="Arial" w:hAnsi="Arial" w:cs="Arial"/>
        </w:rPr>
        <w:t>p</w:t>
      </w:r>
      <w:r w:rsidR="00097A87">
        <w:rPr>
          <w:rFonts w:ascii="Arial" w:hAnsi="Arial" w:cs="Arial"/>
        </w:rPr>
        <w:t>rovide</w:t>
      </w:r>
      <w:r w:rsidR="00774BB0">
        <w:rPr>
          <w:rFonts w:ascii="Arial" w:hAnsi="Arial" w:cs="Arial"/>
        </w:rPr>
        <w:t xml:space="preserve"> </w:t>
      </w:r>
      <w:r w:rsidR="00097A87">
        <w:rPr>
          <w:rFonts w:ascii="Arial" w:hAnsi="Arial" w:cs="Arial"/>
        </w:rPr>
        <w:t xml:space="preserve">an explanation for each of the </w:t>
      </w:r>
      <w:r w:rsidR="00BD5697">
        <w:rPr>
          <w:rFonts w:ascii="Arial" w:hAnsi="Arial" w:cs="Arial"/>
        </w:rPr>
        <w:t>list Principles</w:t>
      </w:r>
      <w:r w:rsidR="00A57EB5">
        <w:rPr>
          <w:rFonts w:ascii="Arial" w:hAnsi="Arial" w:cs="Arial"/>
        </w:rPr>
        <w:t>.</w:t>
      </w:r>
    </w:p>
    <w:p w14:paraId="50BC9FD7" w14:textId="77777777" w:rsidR="00003B51" w:rsidRPr="00F401A9" w:rsidRDefault="00003B51" w:rsidP="00003B51">
      <w:pPr>
        <w:pStyle w:val="ListParagraph"/>
        <w:rPr>
          <w:rFonts w:ascii="Arial" w:hAnsi="Arial" w:cs="Arial"/>
        </w:rPr>
      </w:pPr>
    </w:p>
    <w:p w14:paraId="6F4CD072" w14:textId="77777777" w:rsidR="00003B51" w:rsidRDefault="00003B51" w:rsidP="00003B51">
      <w:pPr>
        <w:pStyle w:val="ListParagraph"/>
        <w:numPr>
          <w:ilvl w:val="0"/>
          <w:numId w:val="3"/>
        </w:numPr>
        <w:jc w:val="both"/>
        <w:rPr>
          <w:rFonts w:ascii="Arial" w:hAnsi="Arial" w:cs="Arial"/>
        </w:rPr>
      </w:pPr>
      <w:r>
        <w:rPr>
          <w:rFonts w:ascii="Arial" w:hAnsi="Arial" w:cs="Arial"/>
        </w:rPr>
        <w:t>Choose a criterion i.e. internal or external. If both criteria apply, choose the last option from the drop-down menu.</w:t>
      </w:r>
    </w:p>
    <w:p w14:paraId="70E5A158" w14:textId="77777777" w:rsidR="00003B51" w:rsidRPr="00F401A9" w:rsidRDefault="00003B51" w:rsidP="00003B51">
      <w:pPr>
        <w:pStyle w:val="ListParagraph"/>
        <w:rPr>
          <w:rFonts w:ascii="Arial" w:hAnsi="Arial" w:cs="Arial"/>
        </w:rPr>
      </w:pPr>
    </w:p>
    <w:p w14:paraId="346B9798" w14:textId="41A16785" w:rsidR="00003B51" w:rsidRDefault="00774BB0" w:rsidP="00003B51">
      <w:pPr>
        <w:pStyle w:val="ListParagraph"/>
        <w:numPr>
          <w:ilvl w:val="0"/>
          <w:numId w:val="3"/>
        </w:numPr>
        <w:jc w:val="both"/>
        <w:rPr>
          <w:rFonts w:ascii="Arial" w:hAnsi="Arial" w:cs="Arial"/>
        </w:rPr>
      </w:pPr>
      <w:r>
        <w:rPr>
          <w:rFonts w:ascii="Arial" w:hAnsi="Arial" w:cs="Arial"/>
        </w:rPr>
        <w:t>Optional – p</w:t>
      </w:r>
      <w:r w:rsidR="00003B51">
        <w:rPr>
          <w:rFonts w:ascii="Arial" w:hAnsi="Arial" w:cs="Arial"/>
        </w:rPr>
        <w:t>rovide</w:t>
      </w:r>
      <w:r>
        <w:rPr>
          <w:rFonts w:ascii="Arial" w:hAnsi="Arial" w:cs="Arial"/>
        </w:rPr>
        <w:t xml:space="preserve"> </w:t>
      </w:r>
      <w:r w:rsidR="00003B51">
        <w:rPr>
          <w:rFonts w:ascii="Arial" w:hAnsi="Arial" w:cs="Arial"/>
        </w:rPr>
        <w:t>a</w:t>
      </w:r>
      <w:r w:rsidR="00263511">
        <w:rPr>
          <w:rFonts w:ascii="Arial" w:hAnsi="Arial" w:cs="Arial"/>
        </w:rPr>
        <w:t>n</w:t>
      </w:r>
      <w:r w:rsidR="00003B51">
        <w:rPr>
          <w:rFonts w:ascii="Arial" w:hAnsi="Arial" w:cs="Arial"/>
        </w:rPr>
        <w:t xml:space="preserve"> explanation of the </w:t>
      </w:r>
      <w:r w:rsidR="00263511">
        <w:rPr>
          <w:rFonts w:ascii="Arial" w:hAnsi="Arial" w:cs="Arial"/>
        </w:rPr>
        <w:t>criterion(s) chosen</w:t>
      </w:r>
      <w:r w:rsidR="00003B51">
        <w:rPr>
          <w:rFonts w:ascii="Arial" w:hAnsi="Arial" w:cs="Arial"/>
        </w:rPr>
        <w:t>.</w:t>
      </w:r>
    </w:p>
    <w:p w14:paraId="1EA367FB" w14:textId="77777777" w:rsidR="00003B51" w:rsidRDefault="00003B51" w:rsidP="00003B51">
      <w:pPr>
        <w:pStyle w:val="ListParagraph"/>
        <w:rPr>
          <w:rFonts w:ascii="Arial" w:hAnsi="Arial" w:cs="Arial"/>
        </w:rPr>
      </w:pPr>
    </w:p>
    <w:p w14:paraId="1B36485D" w14:textId="4C6A0B95" w:rsidR="00003B51" w:rsidRDefault="00003B51" w:rsidP="00334A35">
      <w:pPr>
        <w:pStyle w:val="ListParagraph"/>
        <w:numPr>
          <w:ilvl w:val="0"/>
          <w:numId w:val="3"/>
        </w:numPr>
        <w:jc w:val="both"/>
        <w:rPr>
          <w:rFonts w:ascii="Arial" w:hAnsi="Arial" w:cs="Arial"/>
        </w:rPr>
      </w:pPr>
      <w:r>
        <w:rPr>
          <w:rFonts w:ascii="Arial" w:hAnsi="Arial" w:cs="Arial"/>
        </w:rPr>
        <w:t>Choose an area amongst the 2</w:t>
      </w:r>
      <w:r w:rsidR="003E41BB">
        <w:rPr>
          <w:rFonts w:ascii="Arial" w:hAnsi="Arial" w:cs="Arial"/>
        </w:rPr>
        <w:t>4</w:t>
      </w:r>
      <w:r>
        <w:rPr>
          <w:rFonts w:ascii="Arial" w:hAnsi="Arial" w:cs="Arial"/>
        </w:rPr>
        <w:t xml:space="preserve"> areas in the list from the drop-down menu.</w:t>
      </w:r>
    </w:p>
    <w:p w14:paraId="1419C3D7" w14:textId="77777777" w:rsidR="00A57EB5" w:rsidRPr="00A57EB5" w:rsidRDefault="00A57EB5" w:rsidP="00A57EB5">
      <w:pPr>
        <w:pStyle w:val="ListParagraph"/>
        <w:rPr>
          <w:rFonts w:ascii="Arial" w:hAnsi="Arial" w:cs="Arial"/>
        </w:rPr>
      </w:pPr>
    </w:p>
    <w:p w14:paraId="18BE3061" w14:textId="2016451F" w:rsidR="00A57EB5" w:rsidRDefault="00A57EB5" w:rsidP="00334A35">
      <w:pPr>
        <w:pStyle w:val="ListParagraph"/>
        <w:numPr>
          <w:ilvl w:val="0"/>
          <w:numId w:val="3"/>
        </w:numPr>
        <w:jc w:val="both"/>
        <w:rPr>
          <w:rFonts w:ascii="Arial" w:hAnsi="Arial" w:cs="Arial"/>
        </w:rPr>
      </w:pPr>
      <w:r>
        <w:rPr>
          <w:rFonts w:ascii="Arial" w:hAnsi="Arial" w:cs="Arial"/>
        </w:rPr>
        <w:t xml:space="preserve">If more than one area may </w:t>
      </w:r>
      <w:r w:rsidR="003973D1">
        <w:rPr>
          <w:rFonts w:ascii="Arial" w:hAnsi="Arial" w:cs="Arial"/>
        </w:rPr>
        <w:t>be applicable, list all that may apply.</w:t>
      </w:r>
    </w:p>
    <w:p w14:paraId="4A160DF0" w14:textId="77777777" w:rsidR="00774BB0" w:rsidRPr="00774BB0" w:rsidRDefault="00774BB0" w:rsidP="00774BB0">
      <w:pPr>
        <w:pStyle w:val="ListParagraph"/>
        <w:rPr>
          <w:rFonts w:ascii="Arial" w:hAnsi="Arial" w:cs="Arial"/>
        </w:rPr>
      </w:pPr>
    </w:p>
    <w:p w14:paraId="4F74ACCD" w14:textId="13F18D27" w:rsidR="00774BB0" w:rsidRPr="00334A35" w:rsidRDefault="00774BB0" w:rsidP="00334A35">
      <w:pPr>
        <w:pStyle w:val="ListParagraph"/>
        <w:numPr>
          <w:ilvl w:val="0"/>
          <w:numId w:val="3"/>
        </w:numPr>
        <w:jc w:val="both"/>
        <w:rPr>
          <w:rFonts w:ascii="Arial" w:hAnsi="Arial" w:cs="Arial"/>
        </w:rPr>
      </w:pPr>
      <w:r>
        <w:rPr>
          <w:rFonts w:ascii="Arial" w:hAnsi="Arial" w:cs="Arial"/>
        </w:rPr>
        <w:t xml:space="preserve">Optional – provide an explanation of the </w:t>
      </w:r>
      <w:r w:rsidR="00C53361">
        <w:rPr>
          <w:rFonts w:ascii="Arial" w:hAnsi="Arial" w:cs="Arial"/>
        </w:rPr>
        <w:t>area</w:t>
      </w:r>
      <w:r>
        <w:rPr>
          <w:rFonts w:ascii="Arial" w:hAnsi="Arial" w:cs="Arial"/>
        </w:rPr>
        <w:t>(s) chosen.</w:t>
      </w:r>
    </w:p>
    <w:p w14:paraId="12F001AB" w14:textId="77777777" w:rsidR="00003B51" w:rsidRPr="004E3369" w:rsidRDefault="00003B51" w:rsidP="00FF545D">
      <w:pPr>
        <w:pStyle w:val="Default"/>
        <w:jc w:val="center"/>
        <w:rPr>
          <w:b/>
          <w:bCs/>
        </w:rPr>
      </w:pPr>
    </w:p>
    <w:p w14:paraId="6A524E4F" w14:textId="62F049B5" w:rsidR="00D22B4A" w:rsidRDefault="00D22B4A">
      <w:pPr>
        <w:rPr>
          <w:rFonts w:ascii="Arial" w:hAnsi="Arial" w:cs="Arial"/>
          <w:sz w:val="20"/>
          <w:szCs w:val="20"/>
          <w:u w:val="single"/>
        </w:rPr>
      </w:pPr>
      <w:r>
        <w:rPr>
          <w:rFonts w:ascii="Arial" w:hAnsi="Arial" w:cs="Arial"/>
          <w:sz w:val="20"/>
          <w:szCs w:val="20"/>
          <w:u w:val="single"/>
        </w:rPr>
        <w:br w:type="page"/>
      </w:r>
    </w:p>
    <w:p w14:paraId="78EFFA4E" w14:textId="2BF527EE" w:rsidR="00407D19" w:rsidRDefault="00407D19" w:rsidP="006E157D">
      <w:pPr>
        <w:pStyle w:val="Default"/>
        <w:jc w:val="center"/>
        <w:rPr>
          <w:i/>
          <w:iCs/>
          <w:sz w:val="20"/>
          <w:szCs w:val="20"/>
        </w:rPr>
      </w:pPr>
      <w:r>
        <w:rPr>
          <w:b/>
          <w:bCs/>
        </w:rPr>
        <w:lastRenderedPageBreak/>
        <w:t xml:space="preserve">TEMPLATE FOR SUBMITTING GAPS/PROVISIONS </w:t>
      </w:r>
      <w:r>
        <w:rPr>
          <w:rFonts w:eastAsia="Malgun Gothic"/>
          <w:b/>
          <w:bCs/>
          <w:lang w:eastAsia="ko-KR"/>
        </w:rPr>
        <w:t>FOR PHASE 1 (REVIEW/IDENTIFICATION OF GAPS</w:t>
      </w:r>
      <w:r>
        <w:rPr>
          <w:b/>
          <w:bCs/>
          <w:lang w:eastAsia="ko-KR"/>
        </w:rPr>
        <w:t>)</w:t>
      </w:r>
      <w:r>
        <w:rPr>
          <w:rStyle w:val="FootnoteReference"/>
          <w:b/>
          <w:bCs/>
          <w:lang w:eastAsia="ko-KR"/>
        </w:rPr>
        <w:footnoteReference w:id="2"/>
      </w:r>
    </w:p>
    <w:p w14:paraId="400C1E5A" w14:textId="77777777" w:rsidR="00407D19" w:rsidRDefault="00407D19" w:rsidP="006E157D">
      <w:pPr>
        <w:pStyle w:val="Default"/>
        <w:jc w:val="center"/>
        <w:rPr>
          <w:i/>
          <w:iCs/>
          <w:sz w:val="20"/>
          <w:szCs w:val="20"/>
        </w:rPr>
      </w:pPr>
    </w:p>
    <w:p w14:paraId="223277BF" w14:textId="29626D69" w:rsidR="006E157D" w:rsidRDefault="00334A35" w:rsidP="006E157D">
      <w:pPr>
        <w:pStyle w:val="Default"/>
        <w:jc w:val="center"/>
        <w:rPr>
          <w:i/>
          <w:iCs/>
          <w:sz w:val="20"/>
          <w:szCs w:val="20"/>
        </w:rPr>
      </w:pPr>
      <w:r w:rsidRPr="00F80C80">
        <w:rPr>
          <w:i/>
          <w:iCs/>
          <w:sz w:val="20"/>
          <w:szCs w:val="20"/>
        </w:rPr>
        <w:t>This template, to be used on a voluntary basis, contains an indicative list of information</w:t>
      </w:r>
      <w:r w:rsidR="006E157D">
        <w:rPr>
          <w:i/>
          <w:iCs/>
          <w:sz w:val="20"/>
          <w:szCs w:val="20"/>
        </w:rPr>
        <w:t xml:space="preserve"> </w:t>
      </w:r>
    </w:p>
    <w:p w14:paraId="716A9C77" w14:textId="49C57AED" w:rsidR="00334A35" w:rsidRPr="006E157D" w:rsidRDefault="00334A35" w:rsidP="006E157D">
      <w:pPr>
        <w:pStyle w:val="Default"/>
        <w:jc w:val="center"/>
        <w:rPr>
          <w:i/>
          <w:iCs/>
          <w:sz w:val="20"/>
          <w:szCs w:val="20"/>
        </w:rPr>
      </w:pPr>
      <w:r w:rsidRPr="00C237CD">
        <w:rPr>
          <w:i/>
          <w:iCs/>
          <w:sz w:val="20"/>
          <w:szCs w:val="20"/>
        </w:rPr>
        <w:t>to facilitate consideration</w:t>
      </w:r>
      <w:r w:rsidRPr="00F80C80">
        <w:rPr>
          <w:i/>
          <w:iCs/>
          <w:sz w:val="20"/>
          <w:szCs w:val="20"/>
        </w:rPr>
        <w:t xml:space="preserve"> by the ISWG</w:t>
      </w:r>
      <w:r w:rsidR="00485EDA">
        <w:rPr>
          <w:i/>
          <w:iCs/>
          <w:sz w:val="20"/>
          <w:szCs w:val="20"/>
        </w:rPr>
        <w:t>-STCW</w:t>
      </w:r>
    </w:p>
    <w:p w14:paraId="46CD4E3A" w14:textId="77777777" w:rsidR="006E157D" w:rsidRDefault="006E157D" w:rsidP="009033F2">
      <w:pPr>
        <w:tabs>
          <w:tab w:val="left" w:pos="1553"/>
        </w:tabs>
        <w:jc w:val="center"/>
        <w:rPr>
          <w:rFonts w:ascii="Arial" w:hAnsi="Arial" w:cs="Arial"/>
          <w:sz w:val="20"/>
          <w:szCs w:val="20"/>
          <w:u w:val="single"/>
        </w:rPr>
      </w:pPr>
    </w:p>
    <w:p w14:paraId="58F41D17" w14:textId="3EE73447" w:rsidR="000F01B3" w:rsidRPr="00F80C80" w:rsidRDefault="009033F2" w:rsidP="009033F2">
      <w:pPr>
        <w:tabs>
          <w:tab w:val="left" w:pos="1553"/>
        </w:tabs>
        <w:jc w:val="center"/>
        <w:rPr>
          <w:rFonts w:ascii="Arial" w:hAnsi="Arial" w:cs="Arial"/>
          <w:sz w:val="20"/>
          <w:szCs w:val="20"/>
          <w:u w:val="single"/>
        </w:rPr>
      </w:pPr>
      <w:r w:rsidRPr="00F80C80">
        <w:rPr>
          <w:rFonts w:ascii="Arial" w:hAnsi="Arial" w:cs="Arial"/>
          <w:sz w:val="20"/>
          <w:szCs w:val="20"/>
          <w:u w:val="single"/>
        </w:rPr>
        <w:t xml:space="preserve">Title / </w:t>
      </w:r>
      <w:r w:rsidR="00C22436" w:rsidRPr="00F80C80">
        <w:rPr>
          <w:rFonts w:ascii="Arial" w:hAnsi="Arial" w:cs="Arial"/>
          <w:sz w:val="20"/>
          <w:szCs w:val="20"/>
          <w:u w:val="single"/>
        </w:rPr>
        <w:t xml:space="preserve">Topic </w:t>
      </w:r>
    </w:p>
    <w:tbl>
      <w:tblPr>
        <w:tblStyle w:val="TableGrid"/>
        <w:tblW w:w="0" w:type="auto"/>
        <w:tblLook w:val="04A0" w:firstRow="1" w:lastRow="0" w:firstColumn="1" w:lastColumn="0" w:noHBand="0" w:noVBand="1"/>
      </w:tblPr>
      <w:tblGrid>
        <w:gridCol w:w="2122"/>
        <w:gridCol w:w="8072"/>
      </w:tblGrid>
      <w:tr w:rsidR="00721331" w14:paraId="158ABF8A" w14:textId="77777777" w:rsidTr="004A165F">
        <w:trPr>
          <w:trHeight w:val="2285"/>
        </w:trPr>
        <w:tc>
          <w:tcPr>
            <w:tcW w:w="2122" w:type="dxa"/>
            <w:vMerge w:val="restart"/>
            <w:vAlign w:val="center"/>
          </w:tcPr>
          <w:p w14:paraId="627B3BDB" w14:textId="378CDF54" w:rsidR="00721331" w:rsidRPr="00F80C80" w:rsidRDefault="00721331" w:rsidP="0078784D">
            <w:pPr>
              <w:tabs>
                <w:tab w:val="left" w:pos="1553"/>
              </w:tabs>
              <w:jc w:val="both"/>
              <w:rPr>
                <w:rFonts w:ascii="Arial" w:hAnsi="Arial" w:cs="Arial"/>
                <w:sz w:val="20"/>
                <w:szCs w:val="20"/>
              </w:rPr>
            </w:pPr>
            <w:r w:rsidRPr="00F80C80">
              <w:rPr>
                <w:rFonts w:ascii="Arial" w:hAnsi="Arial" w:cs="Arial"/>
                <w:sz w:val="20"/>
                <w:szCs w:val="20"/>
              </w:rPr>
              <w:t>Identified gap</w:t>
            </w:r>
            <w:r w:rsidR="0014775B" w:rsidRPr="00F80C80">
              <w:rPr>
                <w:rFonts w:ascii="Arial" w:hAnsi="Arial" w:cs="Arial"/>
                <w:sz w:val="20"/>
                <w:szCs w:val="20"/>
              </w:rPr>
              <w:t xml:space="preserve">, with </w:t>
            </w:r>
            <w:r w:rsidRPr="00F80C80">
              <w:rPr>
                <w:rFonts w:ascii="Arial" w:hAnsi="Arial" w:cs="Arial"/>
                <w:sz w:val="20"/>
                <w:szCs w:val="20"/>
              </w:rPr>
              <w:t>references to the existing provision</w:t>
            </w:r>
            <w:r w:rsidR="00B1378D" w:rsidRPr="00F80C80">
              <w:rPr>
                <w:rFonts w:ascii="Arial" w:hAnsi="Arial" w:cs="Arial"/>
                <w:sz w:val="20"/>
                <w:szCs w:val="20"/>
              </w:rPr>
              <w:t xml:space="preserve">, </w:t>
            </w:r>
            <w:r w:rsidR="0014775B" w:rsidRPr="00F80C80">
              <w:rPr>
                <w:rFonts w:ascii="Arial" w:hAnsi="Arial" w:cs="Arial"/>
                <w:sz w:val="20"/>
                <w:szCs w:val="20"/>
              </w:rPr>
              <w:t xml:space="preserve">if </w:t>
            </w:r>
            <w:r w:rsidR="00B1378D" w:rsidRPr="00F80C80">
              <w:rPr>
                <w:rFonts w:ascii="Arial" w:hAnsi="Arial" w:cs="Arial"/>
                <w:sz w:val="20"/>
                <w:szCs w:val="20"/>
              </w:rPr>
              <w:t>applicable</w:t>
            </w:r>
          </w:p>
        </w:tc>
        <w:tc>
          <w:tcPr>
            <w:tcW w:w="8072" w:type="dxa"/>
            <w:vAlign w:val="center"/>
          </w:tcPr>
          <w:p w14:paraId="7F645ED6" w14:textId="6DED99A0" w:rsidR="00CB2313" w:rsidRDefault="004536E3" w:rsidP="00CB2313">
            <w:pPr>
              <w:tabs>
                <w:tab w:val="left" w:pos="1553"/>
              </w:tabs>
              <w:jc w:val="both"/>
              <w:rPr>
                <w:rFonts w:ascii="Arial" w:hAnsi="Arial" w:cs="Arial"/>
                <w:sz w:val="20"/>
                <w:szCs w:val="20"/>
              </w:rPr>
            </w:pPr>
            <w:r>
              <w:rPr>
                <w:rFonts w:ascii="Arial" w:hAnsi="Arial" w:cs="Arial"/>
                <w:sz w:val="20"/>
                <w:szCs w:val="20"/>
              </w:rPr>
              <w:t>[</w:t>
            </w:r>
            <w:r w:rsidR="00D376D5" w:rsidRPr="00F80C80">
              <w:rPr>
                <w:rFonts w:ascii="Arial" w:hAnsi="Arial" w:cs="Arial"/>
                <w:sz w:val="20"/>
                <w:szCs w:val="20"/>
              </w:rPr>
              <w:t>Relevant</w:t>
            </w:r>
            <w:r w:rsidR="00C5366F" w:rsidRPr="00F80C80">
              <w:rPr>
                <w:rFonts w:ascii="Arial" w:hAnsi="Arial" w:cs="Arial"/>
                <w:sz w:val="20"/>
                <w:szCs w:val="20"/>
              </w:rPr>
              <w:t xml:space="preserve"> </w:t>
            </w:r>
            <w:r w:rsidR="00D376D5" w:rsidRPr="00F80C80">
              <w:rPr>
                <w:rFonts w:ascii="Arial" w:hAnsi="Arial" w:cs="Arial"/>
                <w:sz w:val="20"/>
                <w:szCs w:val="20"/>
              </w:rPr>
              <w:t>existing provisions</w:t>
            </w:r>
            <w:r w:rsidR="0070105A" w:rsidRPr="00F80C80">
              <w:rPr>
                <w:rFonts w:ascii="Arial" w:hAnsi="Arial" w:cs="Arial"/>
                <w:sz w:val="20"/>
                <w:szCs w:val="20"/>
              </w:rPr>
              <w:t xml:space="preserve"> where </w:t>
            </w:r>
            <w:r w:rsidR="009539C5" w:rsidRPr="00F80C80">
              <w:rPr>
                <w:rFonts w:ascii="Arial" w:hAnsi="Arial" w:cs="Arial"/>
                <w:sz w:val="20"/>
                <w:szCs w:val="20"/>
              </w:rPr>
              <w:t>a</w:t>
            </w:r>
            <w:r w:rsidR="0070105A" w:rsidRPr="00F80C80">
              <w:rPr>
                <w:rFonts w:ascii="Arial" w:hAnsi="Arial" w:cs="Arial"/>
                <w:sz w:val="20"/>
                <w:szCs w:val="20"/>
              </w:rPr>
              <w:t xml:space="preserve"> gap is identified</w:t>
            </w:r>
            <w:r w:rsidR="00CB2313" w:rsidRPr="00F80C80">
              <w:rPr>
                <w:rFonts w:ascii="Arial" w:hAnsi="Arial" w:cs="Arial"/>
                <w:sz w:val="20"/>
                <w:szCs w:val="20"/>
              </w:rPr>
              <w:t>:</w:t>
            </w:r>
          </w:p>
          <w:p w14:paraId="672B2D15" w14:textId="77777777" w:rsidR="004536E3" w:rsidRPr="00F80C80" w:rsidRDefault="004536E3" w:rsidP="00CB2313">
            <w:pPr>
              <w:tabs>
                <w:tab w:val="left" w:pos="1553"/>
              </w:tabs>
              <w:jc w:val="both"/>
              <w:rPr>
                <w:rFonts w:ascii="Arial" w:hAnsi="Arial" w:cs="Arial"/>
                <w:sz w:val="20"/>
                <w:szCs w:val="20"/>
              </w:rPr>
            </w:pPr>
          </w:p>
          <w:p w14:paraId="6C1932EF" w14:textId="2CD7DDA4" w:rsidR="00CB2313" w:rsidRPr="00F80C80" w:rsidRDefault="00CB2313" w:rsidP="00CB2313">
            <w:pPr>
              <w:tabs>
                <w:tab w:val="left" w:pos="1553"/>
              </w:tabs>
              <w:jc w:val="both"/>
              <w:rPr>
                <w:rFonts w:ascii="Arial" w:hAnsi="Arial" w:cs="Arial"/>
                <w:sz w:val="20"/>
                <w:szCs w:val="20"/>
              </w:rPr>
            </w:pPr>
            <w:r w:rsidRPr="00F80C80">
              <w:rPr>
                <w:rFonts w:ascii="Arial" w:hAnsi="Arial" w:cs="Arial"/>
                <w:sz w:val="20"/>
                <w:szCs w:val="20"/>
              </w:rPr>
              <w:t>.1 one or more of the Articles of the Convention; or</w:t>
            </w:r>
          </w:p>
          <w:p w14:paraId="1DC3DB7C" w14:textId="5DD7384B" w:rsidR="00CB2313" w:rsidRPr="00F80C80" w:rsidRDefault="00CB2313" w:rsidP="00CB2313">
            <w:pPr>
              <w:tabs>
                <w:tab w:val="left" w:pos="1553"/>
              </w:tabs>
              <w:jc w:val="both"/>
              <w:rPr>
                <w:rFonts w:ascii="Arial" w:hAnsi="Arial" w:cs="Arial"/>
                <w:sz w:val="20"/>
                <w:szCs w:val="20"/>
              </w:rPr>
            </w:pPr>
            <w:r w:rsidRPr="00F80C80">
              <w:rPr>
                <w:rFonts w:ascii="Arial" w:hAnsi="Arial" w:cs="Arial"/>
                <w:sz w:val="20"/>
                <w:szCs w:val="20"/>
              </w:rPr>
              <w:t>.2 one or more chapters of the 1978 STCW Convention; or</w:t>
            </w:r>
          </w:p>
          <w:p w14:paraId="7DC7E3CF" w14:textId="0400274B" w:rsidR="00CB2313" w:rsidRPr="00F80C80" w:rsidRDefault="00CB2313" w:rsidP="00CB2313">
            <w:pPr>
              <w:tabs>
                <w:tab w:val="left" w:pos="1553"/>
              </w:tabs>
              <w:jc w:val="both"/>
              <w:rPr>
                <w:rFonts w:ascii="Arial" w:hAnsi="Arial" w:cs="Arial"/>
                <w:sz w:val="20"/>
                <w:szCs w:val="20"/>
              </w:rPr>
            </w:pPr>
            <w:r w:rsidRPr="00F80C80">
              <w:rPr>
                <w:rFonts w:ascii="Arial" w:hAnsi="Arial" w:cs="Arial"/>
                <w:sz w:val="20"/>
                <w:szCs w:val="20"/>
              </w:rPr>
              <w:t xml:space="preserve">.3 one or more regulations of the 1978 STCW Convention; or </w:t>
            </w:r>
          </w:p>
          <w:p w14:paraId="787B6C24" w14:textId="2605D54C" w:rsidR="00CB2313" w:rsidRPr="00F80C80" w:rsidRDefault="00CB2313" w:rsidP="00CB2313">
            <w:pPr>
              <w:tabs>
                <w:tab w:val="left" w:pos="1553"/>
              </w:tabs>
              <w:jc w:val="both"/>
              <w:rPr>
                <w:rFonts w:ascii="Arial" w:hAnsi="Arial" w:cs="Arial"/>
                <w:sz w:val="20"/>
                <w:szCs w:val="20"/>
              </w:rPr>
            </w:pPr>
            <w:r w:rsidRPr="00F80C80">
              <w:rPr>
                <w:rFonts w:ascii="Arial" w:hAnsi="Arial" w:cs="Arial"/>
                <w:sz w:val="20"/>
                <w:szCs w:val="20"/>
              </w:rPr>
              <w:t>.4 one or more sections of the STCW Code; or</w:t>
            </w:r>
          </w:p>
          <w:p w14:paraId="2CB4220B" w14:textId="4F2B8669" w:rsidR="00721331" w:rsidRPr="00F80C80" w:rsidRDefault="00CB2313" w:rsidP="00CB2313">
            <w:pPr>
              <w:tabs>
                <w:tab w:val="left" w:pos="1553"/>
              </w:tabs>
              <w:jc w:val="both"/>
              <w:rPr>
                <w:rFonts w:ascii="Arial" w:hAnsi="Arial" w:cs="Arial"/>
                <w:sz w:val="20"/>
                <w:szCs w:val="20"/>
              </w:rPr>
            </w:pPr>
            <w:r w:rsidRPr="00F80C80">
              <w:rPr>
                <w:rFonts w:ascii="Arial" w:hAnsi="Arial" w:cs="Arial"/>
                <w:sz w:val="20"/>
                <w:szCs w:val="20"/>
              </w:rPr>
              <w:t xml:space="preserve">.5 one or more </w:t>
            </w:r>
            <w:r w:rsidR="0070105A" w:rsidRPr="00F80C80">
              <w:rPr>
                <w:rFonts w:ascii="Arial" w:hAnsi="Arial" w:cs="Arial"/>
                <w:sz w:val="20"/>
                <w:szCs w:val="20"/>
              </w:rPr>
              <w:t>standards of competence</w:t>
            </w:r>
            <w:r w:rsidRPr="00F80C80">
              <w:rPr>
                <w:rFonts w:ascii="Arial" w:hAnsi="Arial" w:cs="Arial"/>
                <w:sz w:val="20"/>
                <w:szCs w:val="20"/>
              </w:rPr>
              <w:t xml:space="preserve"> of the STCW Code.</w:t>
            </w:r>
            <w:r w:rsidR="004536E3">
              <w:rPr>
                <w:rFonts w:ascii="Arial" w:hAnsi="Arial" w:cs="Arial"/>
                <w:sz w:val="20"/>
                <w:szCs w:val="20"/>
              </w:rPr>
              <w:t>]</w:t>
            </w:r>
          </w:p>
        </w:tc>
      </w:tr>
      <w:tr w:rsidR="00721331" w14:paraId="49D2B59C" w14:textId="77777777" w:rsidTr="005B0344">
        <w:trPr>
          <w:trHeight w:val="1527"/>
        </w:trPr>
        <w:tc>
          <w:tcPr>
            <w:tcW w:w="2122" w:type="dxa"/>
            <w:vMerge/>
            <w:vAlign w:val="center"/>
          </w:tcPr>
          <w:p w14:paraId="06E2C5D0" w14:textId="77777777" w:rsidR="00721331" w:rsidRPr="00F80C80" w:rsidRDefault="00721331" w:rsidP="0078784D">
            <w:pPr>
              <w:tabs>
                <w:tab w:val="left" w:pos="1553"/>
              </w:tabs>
              <w:jc w:val="both"/>
              <w:rPr>
                <w:rFonts w:ascii="Arial" w:hAnsi="Arial" w:cs="Arial"/>
                <w:sz w:val="20"/>
                <w:szCs w:val="20"/>
              </w:rPr>
            </w:pPr>
          </w:p>
        </w:tc>
        <w:tc>
          <w:tcPr>
            <w:tcW w:w="8072" w:type="dxa"/>
            <w:vAlign w:val="center"/>
          </w:tcPr>
          <w:p w14:paraId="44CB6446" w14:textId="53D04A94" w:rsidR="00721331" w:rsidRPr="00F80C80" w:rsidRDefault="00721331" w:rsidP="0078784D">
            <w:pPr>
              <w:tabs>
                <w:tab w:val="left" w:pos="1553"/>
              </w:tabs>
              <w:jc w:val="both"/>
              <w:rPr>
                <w:rFonts w:ascii="Arial" w:hAnsi="Arial" w:cs="Arial"/>
                <w:sz w:val="20"/>
                <w:szCs w:val="20"/>
              </w:rPr>
            </w:pPr>
            <w:r w:rsidRPr="00F80C80">
              <w:rPr>
                <w:rFonts w:ascii="Arial" w:hAnsi="Arial" w:cs="Arial"/>
                <w:sz w:val="20"/>
                <w:szCs w:val="20"/>
              </w:rPr>
              <w:t>[Free text explanation</w:t>
            </w:r>
            <w:r w:rsidR="003F6649" w:rsidRPr="00F80C80">
              <w:rPr>
                <w:rFonts w:ascii="Arial" w:hAnsi="Arial" w:cs="Arial"/>
                <w:sz w:val="20"/>
                <w:szCs w:val="20"/>
              </w:rPr>
              <w:t xml:space="preserve">, </w:t>
            </w:r>
            <w:r w:rsidR="00CB2313" w:rsidRPr="00F80C80">
              <w:rPr>
                <w:rFonts w:ascii="Arial" w:hAnsi="Arial" w:cs="Arial"/>
                <w:sz w:val="20"/>
                <w:szCs w:val="20"/>
              </w:rPr>
              <w:t>for the gap/provision identified</w:t>
            </w:r>
            <w:r w:rsidR="004536E3">
              <w:rPr>
                <w:rFonts w:ascii="Arial" w:hAnsi="Arial" w:cs="Arial"/>
                <w:sz w:val="20"/>
                <w:szCs w:val="20"/>
              </w:rPr>
              <w:t>]</w:t>
            </w:r>
          </w:p>
        </w:tc>
      </w:tr>
      <w:tr w:rsidR="00721331" w14:paraId="66F78187" w14:textId="77777777" w:rsidTr="00F80C80">
        <w:trPr>
          <w:trHeight w:val="1134"/>
        </w:trPr>
        <w:tc>
          <w:tcPr>
            <w:tcW w:w="2122" w:type="dxa"/>
            <w:vMerge/>
            <w:vAlign w:val="center"/>
          </w:tcPr>
          <w:p w14:paraId="63E520A0" w14:textId="77777777" w:rsidR="00721331" w:rsidRPr="00F80C80" w:rsidRDefault="00721331" w:rsidP="0078784D">
            <w:pPr>
              <w:tabs>
                <w:tab w:val="left" w:pos="1553"/>
              </w:tabs>
              <w:jc w:val="both"/>
              <w:rPr>
                <w:rFonts w:ascii="Arial" w:hAnsi="Arial" w:cs="Arial"/>
                <w:sz w:val="20"/>
                <w:szCs w:val="20"/>
              </w:rPr>
            </w:pPr>
          </w:p>
        </w:tc>
        <w:tc>
          <w:tcPr>
            <w:tcW w:w="8072" w:type="dxa"/>
            <w:tcBorders>
              <w:bottom w:val="single" w:sz="4" w:space="0" w:color="auto"/>
            </w:tcBorders>
            <w:vAlign w:val="center"/>
          </w:tcPr>
          <w:p w14:paraId="682177A2" w14:textId="78C9E0D6" w:rsidR="00721331" w:rsidRPr="00F80C80" w:rsidRDefault="00721331" w:rsidP="0078784D">
            <w:pPr>
              <w:tabs>
                <w:tab w:val="left" w:pos="1553"/>
              </w:tabs>
              <w:jc w:val="both"/>
              <w:rPr>
                <w:rFonts w:ascii="Arial" w:hAnsi="Arial" w:cs="Arial"/>
                <w:sz w:val="20"/>
                <w:szCs w:val="20"/>
              </w:rPr>
            </w:pPr>
            <w:r w:rsidRPr="00F80C80">
              <w:rPr>
                <w:rFonts w:ascii="Arial" w:hAnsi="Arial" w:cs="Arial"/>
                <w:sz w:val="20"/>
                <w:szCs w:val="20"/>
              </w:rPr>
              <w:t>[</w:t>
            </w:r>
            <w:r w:rsidR="00173334" w:rsidRPr="00F80C80">
              <w:rPr>
                <w:rFonts w:ascii="Arial" w:hAnsi="Arial" w:cs="Arial"/>
                <w:sz w:val="20"/>
                <w:szCs w:val="20"/>
              </w:rPr>
              <w:t>Indication of p</w:t>
            </w:r>
            <w:r w:rsidR="00970A0C" w:rsidRPr="00F80C80">
              <w:rPr>
                <w:rFonts w:ascii="Arial" w:hAnsi="Arial" w:cs="Arial"/>
                <w:sz w:val="20"/>
                <w:szCs w:val="20"/>
              </w:rPr>
              <w:t>ossible</w:t>
            </w:r>
            <w:r w:rsidR="00116932" w:rsidRPr="00F80C80">
              <w:rPr>
                <w:rFonts w:ascii="Arial" w:hAnsi="Arial" w:cs="Arial"/>
                <w:sz w:val="20"/>
                <w:szCs w:val="20"/>
              </w:rPr>
              <w:t xml:space="preserve"> actions </w:t>
            </w:r>
            <w:r w:rsidR="00815BD0" w:rsidRPr="00F80C80">
              <w:rPr>
                <w:rFonts w:ascii="Arial" w:hAnsi="Arial" w:cs="Arial"/>
                <w:sz w:val="20"/>
                <w:szCs w:val="20"/>
              </w:rPr>
              <w:t xml:space="preserve">in the next phase </w:t>
            </w:r>
            <w:r w:rsidR="00116932" w:rsidRPr="00F80C80">
              <w:rPr>
                <w:rFonts w:ascii="Arial" w:hAnsi="Arial" w:cs="Arial"/>
                <w:sz w:val="20"/>
                <w:szCs w:val="20"/>
              </w:rPr>
              <w:t>(</w:t>
            </w:r>
            <w:r w:rsidR="009C2CDD" w:rsidRPr="00F80C80">
              <w:rPr>
                <w:rFonts w:ascii="Arial" w:hAnsi="Arial" w:cs="Arial"/>
                <w:sz w:val="20"/>
                <w:szCs w:val="20"/>
              </w:rPr>
              <w:t>r</w:t>
            </w:r>
            <w:r w:rsidR="00B543EB" w:rsidRPr="00F80C80">
              <w:rPr>
                <w:rFonts w:ascii="Arial" w:hAnsi="Arial" w:cs="Arial"/>
                <w:sz w:val="20"/>
                <w:szCs w:val="20"/>
              </w:rPr>
              <w:t xml:space="preserve">evision, </w:t>
            </w:r>
            <w:r w:rsidR="009C2CDD" w:rsidRPr="00F80C80">
              <w:rPr>
                <w:rFonts w:ascii="Arial" w:hAnsi="Arial" w:cs="Arial"/>
                <w:sz w:val="20"/>
                <w:szCs w:val="20"/>
              </w:rPr>
              <w:t>a</w:t>
            </w:r>
            <w:r w:rsidR="00B543EB" w:rsidRPr="00F80C80">
              <w:rPr>
                <w:rFonts w:ascii="Arial" w:hAnsi="Arial" w:cs="Arial"/>
                <w:sz w:val="20"/>
                <w:szCs w:val="20"/>
              </w:rPr>
              <w:t xml:space="preserve">ddition, </w:t>
            </w:r>
            <w:r w:rsidR="0029030E" w:rsidRPr="00F80C80">
              <w:rPr>
                <w:rFonts w:ascii="Arial" w:hAnsi="Arial" w:cs="Arial"/>
                <w:sz w:val="20"/>
                <w:szCs w:val="20"/>
              </w:rPr>
              <w:t xml:space="preserve">deletion, </w:t>
            </w:r>
            <w:r w:rsidR="00CA7C24" w:rsidRPr="00F80C80">
              <w:rPr>
                <w:rFonts w:ascii="Arial" w:hAnsi="Arial" w:cs="Arial"/>
                <w:sz w:val="20"/>
                <w:szCs w:val="20"/>
              </w:rPr>
              <w:t>further considerations</w:t>
            </w:r>
            <w:r w:rsidR="00CB2313" w:rsidRPr="00F80C80">
              <w:rPr>
                <w:rFonts w:ascii="Arial" w:hAnsi="Arial" w:cs="Arial"/>
                <w:sz w:val="20"/>
                <w:szCs w:val="20"/>
              </w:rPr>
              <w:t>,</w:t>
            </w:r>
            <w:r w:rsidR="00CA7C24" w:rsidRPr="00F80C80">
              <w:rPr>
                <w:rFonts w:ascii="Arial" w:hAnsi="Arial" w:cs="Arial"/>
                <w:sz w:val="20"/>
                <w:szCs w:val="20"/>
              </w:rPr>
              <w:t xml:space="preserve"> </w:t>
            </w:r>
            <w:r w:rsidR="00B543EB" w:rsidRPr="00F80C80">
              <w:rPr>
                <w:rFonts w:ascii="Arial" w:hAnsi="Arial" w:cs="Arial"/>
                <w:sz w:val="20"/>
                <w:szCs w:val="20"/>
              </w:rPr>
              <w:t>etc.</w:t>
            </w:r>
            <w:r w:rsidR="00116932" w:rsidRPr="00F80C80">
              <w:rPr>
                <w:rFonts w:ascii="Arial" w:hAnsi="Arial" w:cs="Arial"/>
                <w:sz w:val="20"/>
                <w:szCs w:val="20"/>
              </w:rPr>
              <w:t>)</w:t>
            </w:r>
            <w:r w:rsidRPr="00F80C80">
              <w:rPr>
                <w:rFonts w:ascii="Arial" w:hAnsi="Arial" w:cs="Arial"/>
                <w:sz w:val="20"/>
                <w:szCs w:val="20"/>
              </w:rPr>
              <w:t>]</w:t>
            </w:r>
          </w:p>
        </w:tc>
      </w:tr>
      <w:tr w:rsidR="00B1378D" w14:paraId="0A1AB7EF" w14:textId="77777777" w:rsidTr="00F80C80">
        <w:trPr>
          <w:trHeight w:val="570"/>
        </w:trPr>
        <w:tc>
          <w:tcPr>
            <w:tcW w:w="2122" w:type="dxa"/>
            <w:vMerge w:val="restart"/>
            <w:vAlign w:val="center"/>
          </w:tcPr>
          <w:p w14:paraId="338DF5E4" w14:textId="0F2AB8D0" w:rsidR="00B1378D" w:rsidRPr="00F80C80" w:rsidRDefault="00B1378D" w:rsidP="0078784D">
            <w:pPr>
              <w:tabs>
                <w:tab w:val="left" w:pos="1553"/>
              </w:tabs>
              <w:jc w:val="both"/>
              <w:rPr>
                <w:rFonts w:ascii="Arial" w:hAnsi="Arial" w:cs="Arial"/>
                <w:sz w:val="20"/>
                <w:szCs w:val="20"/>
              </w:rPr>
            </w:pPr>
            <w:r w:rsidRPr="00F80C80">
              <w:rPr>
                <w:rFonts w:ascii="Arial" w:hAnsi="Arial" w:cs="Arial"/>
                <w:sz w:val="20"/>
                <w:szCs w:val="20"/>
              </w:rPr>
              <w:t>Principle(s)</w:t>
            </w:r>
            <w:r w:rsidR="002E3801" w:rsidRPr="00F80C80">
              <w:rPr>
                <w:rStyle w:val="FootnoteReference"/>
                <w:rFonts w:ascii="Arial" w:hAnsi="Arial" w:cs="Arial"/>
                <w:sz w:val="20"/>
                <w:szCs w:val="20"/>
              </w:rPr>
              <w:footnoteReference w:id="3"/>
            </w:r>
          </w:p>
        </w:tc>
        <w:sdt>
          <w:sdtPr>
            <w:rPr>
              <w:rFonts w:ascii="Arial" w:hAnsi="Arial" w:cs="Arial"/>
              <w:sz w:val="20"/>
              <w:szCs w:val="20"/>
            </w:rPr>
            <w:id w:val="-634175067"/>
            <w:lock w:val="sdtLocked"/>
            <w:placeholder>
              <w:docPart w:val="636D5753A3A84BDF99055923D5FE0465"/>
            </w:placeholder>
            <w:dropDownList>
              <w:listItem w:displayText="Choose the most appropriate Principle from the drop-down menu" w:value="Choose the most appropriate Principle from the drop-down menu"/>
              <w:listItem w:displayText="1. Consider all provisions of the Convention and Code in order to be comprehensive" w:value="1. Consider all provisions of the Convention and Code in order to be comprehensive"/>
              <w:listItem w:displayText="2. Not to downscale existing minimum standards of training, certification and watchkeeping" w:value="2. Not to downscale existing minimum standards of training, certification and watchkeeping"/>
              <w:listItem w:displayText="3. Address new and obsolete competencies and proficiencies, outdated requirements and unnecessary duplications" w:value="3. Address new and obsolete competencies and proficiencies, outdated requirements and unnecessary duplications"/>
              <w:listItem w:displayText="4. Address the possibilities of digitalization and emerging technologies and their impact on ships and ship operations" w:value="4. Address the possibilities of digitalization and emerging technologies and their impact on ships and ship operations"/>
              <w:listItem w:displayText="5. Address the impact and possibilities from the implementation and use of digitalization and emerging technologies in seafarers' education, training and certification" w:value="5. Address the impact and possibilities from the implementation and use of digitalization and emerging technologies in seafarers' education, training and certification"/>
              <w:listItem w:displayText="6. Seek the reduction of unnecessary administrative burdens" w:value="6. Seek the reduction of unnecessary administrative burdens"/>
              <w:listItem w:displayText="7. Address inconsistencies and different interpretations within the Convention and Code, including clarifications already issued by relevant IMO bodies" w:value="7. Address inconsistencies and different interpretations within the Convention and Code, including clarifications already issued by relevant IMO bodies"/>
              <w:listItem w:displayText="8. Seek to use a consistent terminology and taxonomy throughout the Convention and Code" w:value="8. Seek to use a consistent terminology and taxonomy throughout the Convention and Code"/>
              <w:listItem w:displayText="9. Not address minimum safe manning levels which are regulated by the SOLAS Convention (regulation V/14)" w:value="9. Not address minimum safe manning levels which are regulated by the SOLAS Convention (regulation V/14)"/>
              <w:listItem w:displayText="10. Address training, in principle, related to safety of life and property at sea, security and the protection of the marine environment" w:value="10. Address training, in principle, related to safety of life and property at sea, security and the protection of the marine environment"/>
              <w:listItem w:displayText="11. Ensure that the Convention and Code are fully aligned with the IMO standards on ship's operation, construction and equipment" w:value="11. Ensure that the Convention and Code are fully aligned with the IMO standards on ship's operation, construction and equipment"/>
              <w:listItem w:displayText="12. Ensure that the Convention and Code remain the sole IMO instruments addressing standards for training and certification of seafarers" w:value="12. Ensure that the Convention and Code remain the sole IMO instruments addressing standards for training and certification of seafarers"/>
              <w:listItem w:displayText="13. Take into account different approaches to organizing and structuring education, training and certification, including formats of delivery of training" w:value="13. Take into account different approaches to organizing and structuring education, training and certification, including formats of delivery of training"/>
              <w:listItem w:displayText="14. Ensure that reporting and monitoring of implementation under the Convention and Code are appropriately transparent, robust and dynamic" w:value="14. Ensure that reporting and monitoring of implementation under the Convention and Code are appropriately transparent, robust and dynamic"/>
              <w:listItem w:displayText="15. Ensure that the standards within the Convention and Code for the training and certification of seafarers facilitate, to the extent possible, the mobility of seafarers across different ship types and trades" w:value="15. Ensure that the standards within the Convention and Code for the training and certification of seafarers facilitate, to the extent possible, the mobility of seafarers across different ship types and trades"/>
              <w:listItem w:displayText="16. Consider the cumulative impact of requirements for seafarer education, training and certification" w:value="16. Consider the cumulative impact of requirements for seafarer education, training and certification"/>
            </w:dropDownList>
          </w:sdtPr>
          <w:sdtEndPr/>
          <w:sdtContent>
            <w:tc>
              <w:tcPr>
                <w:tcW w:w="8072" w:type="dxa"/>
                <w:tcBorders>
                  <w:bottom w:val="single" w:sz="4" w:space="0" w:color="auto"/>
                </w:tcBorders>
                <w:vAlign w:val="center"/>
              </w:tcPr>
              <w:p w14:paraId="681F0BF6" w14:textId="53EF217E" w:rsidR="00B1378D" w:rsidRPr="00F80C80" w:rsidRDefault="00647FD5" w:rsidP="0078784D">
                <w:pPr>
                  <w:tabs>
                    <w:tab w:val="left" w:pos="1553"/>
                  </w:tabs>
                  <w:jc w:val="both"/>
                  <w:rPr>
                    <w:rFonts w:ascii="Arial" w:hAnsi="Arial" w:cs="Arial"/>
                    <w:sz w:val="20"/>
                    <w:szCs w:val="20"/>
                  </w:rPr>
                </w:pPr>
                <w:r>
                  <w:rPr>
                    <w:rFonts w:ascii="Arial" w:hAnsi="Arial" w:cs="Arial"/>
                    <w:sz w:val="20"/>
                    <w:szCs w:val="20"/>
                  </w:rPr>
                  <w:t>Choose the most appropriate Principle from the drop-down menu</w:t>
                </w:r>
              </w:p>
            </w:tc>
          </w:sdtContent>
        </w:sdt>
      </w:tr>
      <w:tr w:rsidR="00B1378D" w14:paraId="24A10144" w14:textId="77777777" w:rsidTr="00F80C80">
        <w:trPr>
          <w:trHeight w:val="570"/>
        </w:trPr>
        <w:tc>
          <w:tcPr>
            <w:tcW w:w="2122" w:type="dxa"/>
            <w:vMerge/>
            <w:vAlign w:val="center"/>
          </w:tcPr>
          <w:p w14:paraId="216D5156" w14:textId="77777777" w:rsidR="00B1378D" w:rsidRPr="00F80C80" w:rsidRDefault="00B1378D" w:rsidP="0078784D">
            <w:pPr>
              <w:tabs>
                <w:tab w:val="left" w:pos="1553"/>
              </w:tabs>
              <w:jc w:val="both"/>
              <w:rPr>
                <w:rFonts w:ascii="Arial" w:hAnsi="Arial" w:cs="Arial"/>
                <w:sz w:val="20"/>
                <w:szCs w:val="20"/>
              </w:rPr>
            </w:pPr>
          </w:p>
        </w:tc>
        <w:tc>
          <w:tcPr>
            <w:tcW w:w="8072" w:type="dxa"/>
            <w:tcBorders>
              <w:top w:val="single" w:sz="4" w:space="0" w:color="auto"/>
            </w:tcBorders>
            <w:vAlign w:val="center"/>
          </w:tcPr>
          <w:p w14:paraId="79D612ED" w14:textId="68098B4E" w:rsidR="00B1378D" w:rsidRPr="00F80C80" w:rsidRDefault="00942FCE" w:rsidP="0078784D">
            <w:pPr>
              <w:tabs>
                <w:tab w:val="left" w:pos="1553"/>
              </w:tabs>
              <w:jc w:val="both"/>
              <w:rPr>
                <w:rFonts w:ascii="Arial" w:hAnsi="Arial" w:cs="Arial"/>
                <w:sz w:val="20"/>
                <w:szCs w:val="20"/>
              </w:rPr>
            </w:pPr>
            <w:r w:rsidRPr="00F80C80">
              <w:rPr>
                <w:rFonts w:ascii="Arial" w:hAnsi="Arial" w:cs="Arial"/>
                <w:sz w:val="20"/>
                <w:szCs w:val="20"/>
              </w:rPr>
              <w:t>[</w:t>
            </w:r>
            <w:r w:rsidR="009A4F3C" w:rsidRPr="00F80C80">
              <w:rPr>
                <w:rFonts w:ascii="Arial" w:hAnsi="Arial" w:cs="Arial"/>
                <w:sz w:val="20"/>
                <w:szCs w:val="20"/>
              </w:rPr>
              <w:t>Add more Principles, if applicable</w:t>
            </w:r>
            <w:r w:rsidRPr="00F80C80">
              <w:rPr>
                <w:rFonts w:ascii="Arial" w:hAnsi="Arial" w:cs="Arial"/>
                <w:sz w:val="20"/>
                <w:szCs w:val="20"/>
              </w:rPr>
              <w:t>]</w:t>
            </w:r>
          </w:p>
        </w:tc>
      </w:tr>
      <w:tr w:rsidR="00B1378D" w14:paraId="5C96674C" w14:textId="77777777" w:rsidTr="002E4779">
        <w:trPr>
          <w:trHeight w:val="1134"/>
        </w:trPr>
        <w:tc>
          <w:tcPr>
            <w:tcW w:w="2122" w:type="dxa"/>
            <w:vMerge/>
            <w:vAlign w:val="center"/>
          </w:tcPr>
          <w:p w14:paraId="3E0EFDF4" w14:textId="77777777" w:rsidR="00B1378D" w:rsidRPr="00F80C80" w:rsidRDefault="00B1378D" w:rsidP="0078784D">
            <w:pPr>
              <w:tabs>
                <w:tab w:val="left" w:pos="1553"/>
              </w:tabs>
              <w:jc w:val="both"/>
              <w:rPr>
                <w:rFonts w:ascii="Arial" w:hAnsi="Arial" w:cs="Arial"/>
                <w:sz w:val="20"/>
                <w:szCs w:val="20"/>
              </w:rPr>
            </w:pPr>
          </w:p>
        </w:tc>
        <w:tc>
          <w:tcPr>
            <w:tcW w:w="8072" w:type="dxa"/>
            <w:vAlign w:val="center"/>
          </w:tcPr>
          <w:p w14:paraId="603140F9" w14:textId="25A402AF" w:rsidR="00B1378D" w:rsidRPr="00F80C80" w:rsidRDefault="00B1378D" w:rsidP="0078784D">
            <w:pPr>
              <w:tabs>
                <w:tab w:val="left" w:pos="1553"/>
              </w:tabs>
              <w:jc w:val="both"/>
              <w:rPr>
                <w:rFonts w:ascii="Arial" w:hAnsi="Arial" w:cs="Arial"/>
                <w:sz w:val="20"/>
                <w:szCs w:val="20"/>
              </w:rPr>
            </w:pPr>
            <w:r w:rsidRPr="00F80C80">
              <w:rPr>
                <w:rFonts w:ascii="Arial" w:hAnsi="Arial" w:cs="Arial"/>
                <w:sz w:val="20"/>
                <w:szCs w:val="20"/>
              </w:rPr>
              <w:t>[</w:t>
            </w:r>
            <w:r w:rsidR="00D841F9" w:rsidRPr="00F80C80">
              <w:rPr>
                <w:rFonts w:ascii="Arial" w:hAnsi="Arial" w:cs="Arial"/>
                <w:sz w:val="20"/>
                <w:szCs w:val="20"/>
              </w:rPr>
              <w:t xml:space="preserve">Optional - </w:t>
            </w:r>
            <w:r w:rsidRPr="00F80C80">
              <w:rPr>
                <w:rFonts w:ascii="Arial" w:hAnsi="Arial" w:cs="Arial"/>
                <w:sz w:val="20"/>
                <w:szCs w:val="20"/>
              </w:rPr>
              <w:t>Free text explanation</w:t>
            </w:r>
            <w:r w:rsidR="00FD62B7" w:rsidRPr="00F80C80">
              <w:rPr>
                <w:sz w:val="20"/>
                <w:szCs w:val="20"/>
              </w:rPr>
              <w:t xml:space="preserve"> </w:t>
            </w:r>
            <w:r w:rsidR="00FD62B7" w:rsidRPr="00F80C80">
              <w:rPr>
                <w:rFonts w:ascii="Arial" w:hAnsi="Arial" w:cs="Arial"/>
                <w:sz w:val="20"/>
                <w:szCs w:val="20"/>
              </w:rPr>
              <w:t>for the choice of principle. If more than one principle is applicable, provide an explanation for each of the principles</w:t>
            </w:r>
            <w:r w:rsidRPr="00F80C80">
              <w:rPr>
                <w:rFonts w:ascii="Arial" w:hAnsi="Arial" w:cs="Arial"/>
                <w:sz w:val="20"/>
                <w:szCs w:val="20"/>
              </w:rPr>
              <w:t>]</w:t>
            </w:r>
          </w:p>
        </w:tc>
      </w:tr>
      <w:tr w:rsidR="00DD0705" w14:paraId="50E026F9" w14:textId="77777777" w:rsidTr="002E4779">
        <w:trPr>
          <w:trHeight w:val="1134"/>
        </w:trPr>
        <w:tc>
          <w:tcPr>
            <w:tcW w:w="2122" w:type="dxa"/>
            <w:vMerge w:val="restart"/>
            <w:vAlign w:val="center"/>
          </w:tcPr>
          <w:p w14:paraId="1105BC75" w14:textId="6817B3A3" w:rsidR="00DD0705" w:rsidRPr="00F80C80" w:rsidRDefault="00DD0705" w:rsidP="0078784D">
            <w:pPr>
              <w:tabs>
                <w:tab w:val="left" w:pos="1553"/>
              </w:tabs>
              <w:jc w:val="both"/>
              <w:rPr>
                <w:rFonts w:ascii="Arial" w:hAnsi="Arial" w:cs="Arial"/>
                <w:sz w:val="20"/>
                <w:szCs w:val="20"/>
              </w:rPr>
            </w:pPr>
            <w:r w:rsidRPr="00F80C80">
              <w:rPr>
                <w:rFonts w:ascii="Arial" w:hAnsi="Arial" w:cs="Arial"/>
                <w:sz w:val="20"/>
                <w:szCs w:val="20"/>
              </w:rPr>
              <w:t>Criterion</w:t>
            </w:r>
            <w:r w:rsidR="00FD62B7" w:rsidRPr="00F80C80">
              <w:rPr>
                <w:rStyle w:val="FootnoteReference"/>
                <w:rFonts w:ascii="Arial" w:hAnsi="Arial" w:cs="Arial"/>
                <w:sz w:val="20"/>
                <w:szCs w:val="20"/>
              </w:rPr>
              <w:footnoteReference w:id="4"/>
            </w:r>
          </w:p>
        </w:tc>
        <w:sdt>
          <w:sdtPr>
            <w:rPr>
              <w:rFonts w:ascii="Arial" w:hAnsi="Arial" w:cs="Arial"/>
              <w:sz w:val="20"/>
              <w:szCs w:val="20"/>
            </w:rPr>
            <w:id w:val="-142116980"/>
            <w:lock w:val="sdtLocked"/>
            <w:placeholder>
              <w:docPart w:val="5B4C920749E24607BA0E2D194F2D194E"/>
            </w:placeholder>
            <w:comboBox>
              <w:listItem w:displayText="Choose any one or both criteria if applicable from the drop-down menu" w:value="Choose any one or both criteria if applicable from the drop-down menu"/>
              <w:listItem w:displayText="Issues emanating/resulting from external factors including trends and new developments" w:value="Issues emanating/resulting from external factors including trends and new developments"/>
              <w:listItem w:displayText="Issues emanating/resulting from existing provisions based on implementation experiences" w:value="Issues emanating/resulting from existing provisions based on implementation experiences"/>
              <w:listItem w:displayText="Issues emanating/resulting from both external factors and existing provisions" w:value="Issues emanating/resulting from both external factors and existing provisions"/>
            </w:comboBox>
          </w:sdtPr>
          <w:sdtEndPr/>
          <w:sdtContent>
            <w:tc>
              <w:tcPr>
                <w:tcW w:w="8072" w:type="dxa"/>
                <w:vAlign w:val="center"/>
              </w:tcPr>
              <w:p w14:paraId="241B92EC" w14:textId="697B57D1" w:rsidR="00DD0705" w:rsidRPr="00F80C80" w:rsidRDefault="00BC4855" w:rsidP="0078784D">
                <w:pPr>
                  <w:tabs>
                    <w:tab w:val="left" w:pos="1553"/>
                  </w:tabs>
                  <w:jc w:val="both"/>
                  <w:rPr>
                    <w:rFonts w:ascii="Arial" w:hAnsi="Arial" w:cs="Arial"/>
                    <w:sz w:val="20"/>
                    <w:szCs w:val="20"/>
                  </w:rPr>
                </w:pPr>
                <w:r>
                  <w:rPr>
                    <w:rFonts w:ascii="Arial" w:hAnsi="Arial" w:cs="Arial"/>
                    <w:sz w:val="20"/>
                    <w:szCs w:val="20"/>
                  </w:rPr>
                  <w:t>Choose any one or both criteria if applicable from the drop-down menu</w:t>
                </w:r>
              </w:p>
            </w:tc>
          </w:sdtContent>
        </w:sdt>
      </w:tr>
      <w:tr w:rsidR="00DD0705" w14:paraId="7B1F237C" w14:textId="77777777" w:rsidTr="00840452">
        <w:trPr>
          <w:trHeight w:val="1134"/>
        </w:trPr>
        <w:tc>
          <w:tcPr>
            <w:tcW w:w="2122" w:type="dxa"/>
            <w:vMerge/>
            <w:vAlign w:val="center"/>
          </w:tcPr>
          <w:p w14:paraId="424403FC" w14:textId="77777777" w:rsidR="00DD0705" w:rsidRPr="00F80C80" w:rsidRDefault="00DD0705" w:rsidP="0078784D">
            <w:pPr>
              <w:tabs>
                <w:tab w:val="left" w:pos="1553"/>
              </w:tabs>
              <w:jc w:val="both"/>
              <w:rPr>
                <w:rFonts w:ascii="Arial" w:hAnsi="Arial" w:cs="Arial"/>
                <w:sz w:val="20"/>
                <w:szCs w:val="20"/>
              </w:rPr>
            </w:pPr>
          </w:p>
        </w:tc>
        <w:tc>
          <w:tcPr>
            <w:tcW w:w="8072" w:type="dxa"/>
            <w:tcBorders>
              <w:bottom w:val="single" w:sz="4" w:space="0" w:color="auto"/>
            </w:tcBorders>
            <w:vAlign w:val="center"/>
          </w:tcPr>
          <w:p w14:paraId="4659B91B" w14:textId="765CDA7F" w:rsidR="00DD0705" w:rsidRPr="00F80C80" w:rsidRDefault="00DD0705" w:rsidP="0078784D">
            <w:pPr>
              <w:tabs>
                <w:tab w:val="left" w:pos="1553"/>
              </w:tabs>
              <w:jc w:val="both"/>
              <w:rPr>
                <w:rFonts w:ascii="Arial" w:hAnsi="Arial" w:cs="Arial"/>
                <w:sz w:val="20"/>
                <w:szCs w:val="20"/>
              </w:rPr>
            </w:pPr>
            <w:r w:rsidRPr="00F80C80">
              <w:rPr>
                <w:rFonts w:ascii="Arial" w:hAnsi="Arial" w:cs="Arial"/>
                <w:sz w:val="20"/>
                <w:szCs w:val="20"/>
              </w:rPr>
              <w:t>[</w:t>
            </w:r>
            <w:r w:rsidR="005663F0" w:rsidRPr="00F80C80">
              <w:rPr>
                <w:rFonts w:ascii="Arial" w:hAnsi="Arial" w:cs="Arial"/>
                <w:sz w:val="20"/>
                <w:szCs w:val="20"/>
              </w:rPr>
              <w:t xml:space="preserve">Optional - </w:t>
            </w:r>
            <w:r w:rsidRPr="00F80C80">
              <w:rPr>
                <w:rFonts w:ascii="Arial" w:hAnsi="Arial" w:cs="Arial"/>
                <w:sz w:val="20"/>
                <w:szCs w:val="20"/>
              </w:rPr>
              <w:t>Free text explanation</w:t>
            </w:r>
            <w:r w:rsidR="00540014" w:rsidRPr="00F80C80">
              <w:rPr>
                <w:sz w:val="20"/>
                <w:szCs w:val="20"/>
              </w:rPr>
              <w:t xml:space="preserve"> </w:t>
            </w:r>
            <w:r w:rsidR="00540014" w:rsidRPr="00F80C80">
              <w:rPr>
                <w:rFonts w:ascii="Arial" w:hAnsi="Arial" w:cs="Arial"/>
                <w:sz w:val="20"/>
                <w:szCs w:val="20"/>
              </w:rPr>
              <w:t>for the choice of criterion</w:t>
            </w:r>
            <w:r w:rsidRPr="00F80C80">
              <w:rPr>
                <w:rFonts w:ascii="Arial" w:hAnsi="Arial" w:cs="Arial"/>
                <w:sz w:val="20"/>
                <w:szCs w:val="20"/>
              </w:rPr>
              <w:t>]</w:t>
            </w:r>
          </w:p>
        </w:tc>
      </w:tr>
      <w:tr w:rsidR="006C61E2" w14:paraId="4E9968D8" w14:textId="77777777" w:rsidTr="00840452">
        <w:trPr>
          <w:trHeight w:val="570"/>
        </w:trPr>
        <w:tc>
          <w:tcPr>
            <w:tcW w:w="2122" w:type="dxa"/>
            <w:vMerge w:val="restart"/>
            <w:vAlign w:val="center"/>
          </w:tcPr>
          <w:p w14:paraId="74A154B7" w14:textId="30445059" w:rsidR="006C61E2" w:rsidRPr="00F80C80" w:rsidRDefault="006C61E2" w:rsidP="0078784D">
            <w:pPr>
              <w:tabs>
                <w:tab w:val="left" w:pos="1553"/>
              </w:tabs>
              <w:jc w:val="both"/>
              <w:rPr>
                <w:rFonts w:ascii="Arial" w:hAnsi="Arial" w:cs="Arial"/>
                <w:sz w:val="20"/>
                <w:szCs w:val="20"/>
              </w:rPr>
            </w:pPr>
            <w:r w:rsidRPr="00F80C80">
              <w:rPr>
                <w:rFonts w:ascii="Arial" w:hAnsi="Arial" w:cs="Arial"/>
                <w:sz w:val="20"/>
                <w:szCs w:val="20"/>
              </w:rPr>
              <w:t>Specific area(s)</w:t>
            </w:r>
            <w:r w:rsidR="0035019C" w:rsidRPr="00F80C80">
              <w:rPr>
                <w:rStyle w:val="FootnoteReference"/>
                <w:rFonts w:ascii="Arial" w:hAnsi="Arial" w:cs="Arial"/>
                <w:sz w:val="20"/>
                <w:szCs w:val="20"/>
              </w:rPr>
              <w:footnoteReference w:id="5"/>
            </w:r>
          </w:p>
        </w:tc>
        <w:sdt>
          <w:sdtPr>
            <w:rPr>
              <w:rFonts w:ascii="Arial" w:hAnsi="Arial" w:cs="Arial"/>
              <w:sz w:val="20"/>
              <w:szCs w:val="20"/>
            </w:rPr>
            <w:id w:val="713928833"/>
            <w:lock w:val="sdtLocked"/>
            <w:placeholder>
              <w:docPart w:val="E101E6FFD7CC416D948C43438B729E56"/>
            </w:placeholder>
            <w:dropDownList>
              <w:listItem w:displayText="Choose the most appropriate area" w:value="Choose the most appropriate area"/>
              <w:listItem w:displayText="1. Emerging technologies on ships and ship operations" w:value="1. Emerging technologies on ships and ship operations"/>
              <w:listItem w:displayText="2. Digitalization of documentation, including certificates issued under STCW " w:value="2. Digitalization of documentation, including certificates issued under STCW "/>
              <w:listItem w:displayText="3. Emerging technologies in education and training" w:value="3. Emerging technologies in education and training"/>
              <w:listItem w:displayText="4. Facilitation, flexibility and quality of onboard, shore-based and workshop skills training, including use of simulators" w:value="4. Facilitation, flexibility and quality of onboard, shore-based and workshop skills training, including use of simulators"/>
              <w:listItem w:displayText="5. Flexibility and efficiency in implementation of new training requirements and reduction of administrative burdens " w:value="5. Flexibility and efficiency in implementation of new training requirements and reduction of administrative burdens "/>
              <w:listItem w:displayText="6. Requirements for sea time or practical experience in relation to new and emerging technologies including the use of simulation " w:value="6. Requirements for sea time or practical experience in relation to new and emerging technologies including the use of simulation "/>
              <w:listItem w:displayText="7. Psychological safety, bullying and harassment, including SASH, gender diversity and gender sensitization" w:value="7. Psychological safety, bullying and harassment, including SASH, gender diversity and gender sensitization"/>
              <w:listItem w:displayText="8. Mental health" w:value="8. Mental health"/>
              <w:listItem w:displayText="9. Twenty-first century and interpersonal skills" w:value="9. Twenty-first century and interpersonal skills"/>
              <w:listItem w:displayText="10. Addressing inconsistencies" w:value="10. Addressing inconsistencies"/>
              <w:listItem w:displayText="11. Addressing different interpretations" w:value="11. Addressing different interpretations"/>
              <w:listItem w:displayText="12. Addressing taxonomy and terminologies" w:value="12. Addressing taxonomy and terminologies"/>
              <w:listItem w:displayText="13. Flexibility in revalidation of certificates and endorsements" w:value="13. Flexibility in revalidation of certificates and endorsements"/>
              <w:listItem w:displayText="14. Overview of the implementation of the Convention, in particular the need to update the STCW &quot;White List&quot;" w:value="14. Overview of the implementation of the Convention, in particular the need to update the STCW &quot;White List&quot;"/>
              <w:listItem w:displayText="15. Lessons learned" w:value="15. Lessons learned"/>
              <w:listItem w:displayText="16. Flexibility" w:value="16. Flexibility"/>
              <w:listItem w:displayText="17. Alternative certification under chapter VII" w:value="17. Alternative certification under chapter VII"/>
              <w:listItem w:displayText="18. Watchkeeping arrangements and principles to be observed (chapter VIII)" w:value="18. Watchkeeping arrangements and principles to be observed (chapter VIII)"/>
              <w:listItem w:displayText="19. Alignment of STCW with requirements placed on ships, seafarers, and shipowners by other IMO and relevant international instruments" w:value="19. Alignment of STCW with requirements placed on ships, seafarers, and shipowners by other IMO and relevant international instruments"/>
              <w:listItem w:displayText="20. Cybersecurity" w:value="20. Cybersecurity"/>
              <w:listItem w:displayText="21. Implementation and transitional provisions" w:value="21. Implementation and transitional provisions"/>
              <w:listItem w:displayText="22. Addressing outdated training requirements" w:value="22. Addressing outdated training requirements"/>
              <w:listItem w:displayText="23. Measures to increase awareness, detection, information sharing and prosecution of fraudulent activities concerning certificates" w:value="23. Measures to increase awareness, detection, information sharing and prosecution of fraudulent activities concerning certificates"/>
              <w:listItem w:displayText="24. Inclusion of a requirement in STCW regulation I/5 (National provisions) to take action in case of sexual assault" w:value="24. Inclusion of a requirement in STCW regulation I/5 (National provisions) to take action in case of sexual assault"/>
            </w:dropDownList>
          </w:sdtPr>
          <w:sdtEndPr/>
          <w:sdtContent>
            <w:tc>
              <w:tcPr>
                <w:tcW w:w="8072" w:type="dxa"/>
                <w:tcBorders>
                  <w:bottom w:val="nil"/>
                </w:tcBorders>
                <w:vAlign w:val="center"/>
              </w:tcPr>
              <w:p w14:paraId="6C3BD64E" w14:textId="4CD344FF" w:rsidR="006C61E2" w:rsidRPr="00F80C80" w:rsidRDefault="006C61E2" w:rsidP="0078784D">
                <w:pPr>
                  <w:tabs>
                    <w:tab w:val="left" w:pos="1553"/>
                  </w:tabs>
                  <w:jc w:val="both"/>
                  <w:rPr>
                    <w:rFonts w:ascii="Arial" w:hAnsi="Arial" w:cs="Arial"/>
                    <w:sz w:val="20"/>
                    <w:szCs w:val="20"/>
                  </w:rPr>
                </w:pPr>
                <w:r w:rsidRPr="00F80C80">
                  <w:rPr>
                    <w:rFonts w:ascii="Arial" w:hAnsi="Arial" w:cs="Arial"/>
                    <w:sz w:val="20"/>
                    <w:szCs w:val="20"/>
                  </w:rPr>
                  <w:t>Choose the most appropriate area</w:t>
                </w:r>
              </w:p>
            </w:tc>
          </w:sdtContent>
        </w:sdt>
      </w:tr>
      <w:tr w:rsidR="006C61E2" w14:paraId="464F7B7E" w14:textId="77777777" w:rsidTr="00840452">
        <w:trPr>
          <w:trHeight w:val="570"/>
        </w:trPr>
        <w:tc>
          <w:tcPr>
            <w:tcW w:w="2122" w:type="dxa"/>
            <w:vMerge/>
            <w:vAlign w:val="center"/>
          </w:tcPr>
          <w:p w14:paraId="24596372" w14:textId="77777777" w:rsidR="006C61E2" w:rsidRPr="00F80C80" w:rsidRDefault="006C61E2" w:rsidP="0078784D">
            <w:pPr>
              <w:tabs>
                <w:tab w:val="left" w:pos="1553"/>
              </w:tabs>
              <w:jc w:val="both"/>
              <w:rPr>
                <w:rFonts w:ascii="Arial" w:hAnsi="Arial" w:cs="Arial"/>
                <w:sz w:val="20"/>
                <w:szCs w:val="20"/>
              </w:rPr>
            </w:pPr>
          </w:p>
        </w:tc>
        <w:tc>
          <w:tcPr>
            <w:tcW w:w="8072" w:type="dxa"/>
            <w:tcBorders>
              <w:top w:val="nil"/>
            </w:tcBorders>
            <w:vAlign w:val="center"/>
          </w:tcPr>
          <w:p w14:paraId="1448C237" w14:textId="647B0622" w:rsidR="006C61E2" w:rsidRPr="00F80C80" w:rsidRDefault="00840452" w:rsidP="0078784D">
            <w:pPr>
              <w:tabs>
                <w:tab w:val="left" w:pos="1553"/>
              </w:tabs>
              <w:jc w:val="both"/>
              <w:rPr>
                <w:rFonts w:ascii="Arial" w:hAnsi="Arial" w:cs="Arial"/>
                <w:sz w:val="20"/>
                <w:szCs w:val="20"/>
              </w:rPr>
            </w:pPr>
            <w:r w:rsidRPr="00F80C80">
              <w:rPr>
                <w:rFonts w:ascii="Arial" w:hAnsi="Arial" w:cs="Arial"/>
                <w:sz w:val="20"/>
                <w:szCs w:val="20"/>
              </w:rPr>
              <w:t xml:space="preserve">[Add more </w:t>
            </w:r>
            <w:r w:rsidR="00D376D5" w:rsidRPr="00F80C80">
              <w:rPr>
                <w:rFonts w:ascii="Arial" w:hAnsi="Arial" w:cs="Arial"/>
                <w:sz w:val="20"/>
                <w:szCs w:val="20"/>
              </w:rPr>
              <w:t>Area</w:t>
            </w:r>
            <w:r w:rsidRPr="00F80C80">
              <w:rPr>
                <w:rFonts w:ascii="Arial" w:hAnsi="Arial" w:cs="Arial"/>
                <w:sz w:val="20"/>
                <w:szCs w:val="20"/>
              </w:rPr>
              <w:t>s</w:t>
            </w:r>
            <w:r w:rsidR="005659C0" w:rsidRPr="00F80C80">
              <w:rPr>
                <w:rFonts w:ascii="Arial" w:hAnsi="Arial" w:cs="Arial"/>
                <w:sz w:val="20"/>
                <w:szCs w:val="20"/>
              </w:rPr>
              <w:t xml:space="preserve">, depending </w:t>
            </w:r>
            <w:r w:rsidR="00C53361" w:rsidRPr="00F80C80">
              <w:rPr>
                <w:rFonts w:ascii="Arial" w:hAnsi="Arial" w:cs="Arial"/>
                <w:sz w:val="20"/>
                <w:szCs w:val="20"/>
              </w:rPr>
              <w:t>on</w:t>
            </w:r>
            <w:r w:rsidR="005659C0" w:rsidRPr="00F80C80">
              <w:rPr>
                <w:rFonts w:ascii="Arial" w:hAnsi="Arial" w:cs="Arial"/>
                <w:sz w:val="20"/>
                <w:szCs w:val="20"/>
              </w:rPr>
              <w:t xml:space="preserve"> the decision of MSC 108</w:t>
            </w:r>
            <w:r w:rsidRPr="00F80C80">
              <w:rPr>
                <w:rFonts w:ascii="Arial" w:hAnsi="Arial" w:cs="Arial"/>
                <w:sz w:val="20"/>
                <w:szCs w:val="20"/>
              </w:rPr>
              <w:t>, if applicable]</w:t>
            </w:r>
            <w:r w:rsidR="005659C0" w:rsidRPr="00F80C80">
              <w:rPr>
                <w:rFonts w:ascii="Arial" w:hAnsi="Arial" w:cs="Arial"/>
                <w:sz w:val="20"/>
                <w:szCs w:val="20"/>
              </w:rPr>
              <w:t xml:space="preserve"> </w:t>
            </w:r>
          </w:p>
        </w:tc>
      </w:tr>
      <w:tr w:rsidR="006C61E2" w14:paraId="44E4CEED" w14:textId="77777777" w:rsidTr="002E4779">
        <w:trPr>
          <w:trHeight w:val="1134"/>
        </w:trPr>
        <w:tc>
          <w:tcPr>
            <w:tcW w:w="2122" w:type="dxa"/>
            <w:vMerge/>
            <w:vAlign w:val="center"/>
          </w:tcPr>
          <w:p w14:paraId="6E57FFB5" w14:textId="77777777" w:rsidR="006C61E2" w:rsidRPr="00F80C80" w:rsidRDefault="006C61E2" w:rsidP="0078784D">
            <w:pPr>
              <w:tabs>
                <w:tab w:val="left" w:pos="1553"/>
              </w:tabs>
              <w:jc w:val="both"/>
              <w:rPr>
                <w:rFonts w:ascii="Arial" w:hAnsi="Arial" w:cs="Arial"/>
                <w:sz w:val="20"/>
                <w:szCs w:val="20"/>
              </w:rPr>
            </w:pPr>
          </w:p>
        </w:tc>
        <w:tc>
          <w:tcPr>
            <w:tcW w:w="8072" w:type="dxa"/>
            <w:vAlign w:val="center"/>
          </w:tcPr>
          <w:p w14:paraId="40F9A968" w14:textId="5019F3A7" w:rsidR="006C61E2" w:rsidRPr="00F80C80" w:rsidRDefault="006C61E2" w:rsidP="0078784D">
            <w:pPr>
              <w:tabs>
                <w:tab w:val="left" w:pos="1553"/>
              </w:tabs>
              <w:jc w:val="both"/>
              <w:rPr>
                <w:rFonts w:ascii="Arial" w:hAnsi="Arial" w:cs="Arial"/>
                <w:sz w:val="20"/>
                <w:szCs w:val="20"/>
              </w:rPr>
            </w:pPr>
            <w:r w:rsidRPr="00F80C80">
              <w:rPr>
                <w:rFonts w:ascii="Arial" w:hAnsi="Arial" w:cs="Arial"/>
                <w:sz w:val="20"/>
                <w:szCs w:val="20"/>
              </w:rPr>
              <w:t>[</w:t>
            </w:r>
            <w:r w:rsidR="005663F0" w:rsidRPr="00F80C80">
              <w:rPr>
                <w:rFonts w:ascii="Arial" w:hAnsi="Arial" w:cs="Arial"/>
                <w:sz w:val="20"/>
                <w:szCs w:val="20"/>
              </w:rPr>
              <w:t xml:space="preserve">Optional - </w:t>
            </w:r>
            <w:r w:rsidRPr="00F80C80">
              <w:rPr>
                <w:rFonts w:ascii="Arial" w:hAnsi="Arial" w:cs="Arial"/>
                <w:sz w:val="20"/>
                <w:szCs w:val="20"/>
              </w:rPr>
              <w:t>Free text explanation</w:t>
            </w:r>
            <w:r w:rsidR="00767AA2" w:rsidRPr="00F80C80">
              <w:rPr>
                <w:sz w:val="20"/>
                <w:szCs w:val="20"/>
              </w:rPr>
              <w:t xml:space="preserve"> </w:t>
            </w:r>
            <w:r w:rsidR="00767AA2" w:rsidRPr="00F80C80">
              <w:rPr>
                <w:rFonts w:ascii="Arial" w:hAnsi="Arial" w:cs="Arial"/>
                <w:sz w:val="20"/>
                <w:szCs w:val="20"/>
              </w:rPr>
              <w:t>for the choice of area. If more than one area is applicable, provide an explanation for each of the areas.</w:t>
            </w:r>
            <w:r w:rsidRPr="00F80C80">
              <w:rPr>
                <w:rFonts w:ascii="Arial" w:hAnsi="Arial" w:cs="Arial"/>
                <w:sz w:val="20"/>
                <w:szCs w:val="20"/>
              </w:rPr>
              <w:t>]</w:t>
            </w:r>
          </w:p>
        </w:tc>
      </w:tr>
    </w:tbl>
    <w:p w14:paraId="69B7D3A0" w14:textId="0FCD65C7" w:rsidR="00320154" w:rsidRDefault="00320154" w:rsidP="004536E3">
      <w:pPr>
        <w:tabs>
          <w:tab w:val="left" w:pos="1553"/>
        </w:tabs>
        <w:jc w:val="both"/>
        <w:rPr>
          <w:rFonts w:ascii="Arial" w:hAnsi="Arial" w:cs="Arial"/>
        </w:rPr>
      </w:pPr>
    </w:p>
    <w:sectPr w:rsidR="00320154" w:rsidSect="0075459C">
      <w:pgSz w:w="11906" w:h="16838"/>
      <w:pgMar w:top="567" w:right="720" w:bottom="56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50DB6" w14:textId="77777777" w:rsidR="00D97099" w:rsidRDefault="00D97099" w:rsidP="00D8188E">
      <w:pPr>
        <w:spacing w:after="0" w:line="240" w:lineRule="auto"/>
      </w:pPr>
      <w:r>
        <w:separator/>
      </w:r>
    </w:p>
  </w:endnote>
  <w:endnote w:type="continuationSeparator" w:id="0">
    <w:p w14:paraId="17C0D2FC" w14:textId="77777777" w:rsidR="00D97099" w:rsidRDefault="00D97099" w:rsidP="00D8188E">
      <w:pPr>
        <w:spacing w:after="0" w:line="240" w:lineRule="auto"/>
      </w:pPr>
      <w:r>
        <w:continuationSeparator/>
      </w:r>
    </w:p>
  </w:endnote>
  <w:endnote w:type="continuationNotice" w:id="1">
    <w:p w14:paraId="2DF10183" w14:textId="77777777" w:rsidR="00D97099" w:rsidRDefault="00D970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29012" w14:textId="77777777" w:rsidR="00D97099" w:rsidRDefault="00D97099" w:rsidP="00D8188E">
      <w:pPr>
        <w:spacing w:after="0" w:line="240" w:lineRule="auto"/>
      </w:pPr>
      <w:r>
        <w:separator/>
      </w:r>
    </w:p>
  </w:footnote>
  <w:footnote w:type="continuationSeparator" w:id="0">
    <w:p w14:paraId="1396303A" w14:textId="77777777" w:rsidR="00D97099" w:rsidRDefault="00D97099" w:rsidP="00D8188E">
      <w:pPr>
        <w:spacing w:after="0" w:line="240" w:lineRule="auto"/>
      </w:pPr>
      <w:r>
        <w:continuationSeparator/>
      </w:r>
    </w:p>
  </w:footnote>
  <w:footnote w:type="continuationNotice" w:id="1">
    <w:p w14:paraId="329EDF13" w14:textId="77777777" w:rsidR="00D97099" w:rsidRDefault="00D97099">
      <w:pPr>
        <w:spacing w:after="0" w:line="240" w:lineRule="auto"/>
      </w:pPr>
    </w:p>
  </w:footnote>
  <w:footnote w:id="2">
    <w:p w14:paraId="7709A901" w14:textId="5360BD1E" w:rsidR="00407D19" w:rsidRPr="0045347C" w:rsidRDefault="00407D19" w:rsidP="003425F6">
      <w:pPr>
        <w:pStyle w:val="FootnoteText"/>
        <w:ind w:left="284" w:hanging="284"/>
        <w:jc w:val="both"/>
        <w:rPr>
          <w:rFonts w:ascii="Arial" w:hAnsi="Arial" w:cs="Arial"/>
          <w:sz w:val="16"/>
          <w:szCs w:val="16"/>
          <w:lang w:val="en-US"/>
        </w:rPr>
      </w:pPr>
      <w:r>
        <w:rPr>
          <w:rStyle w:val="FootnoteReference"/>
        </w:rPr>
        <w:footnoteRef/>
      </w:r>
      <w:r>
        <w:t xml:space="preserve"> </w:t>
      </w:r>
      <w:r w:rsidR="00E811DE">
        <w:t xml:space="preserve">    </w:t>
      </w:r>
      <w:r w:rsidRPr="0045347C">
        <w:rPr>
          <w:rFonts w:ascii="Arial" w:hAnsi="Arial" w:cs="Arial"/>
          <w:sz w:val="16"/>
          <w:szCs w:val="16"/>
        </w:rPr>
        <w:t>Template</w:t>
      </w:r>
      <w:r w:rsidRPr="0045347C">
        <w:rPr>
          <w:rFonts w:ascii="Arial" w:hAnsi="Arial" w:cs="Arial"/>
          <w:sz w:val="16"/>
          <w:szCs w:val="16"/>
          <w:lang w:val="en-US"/>
        </w:rPr>
        <w:t xml:space="preserve"> in Word format can be downloaded at</w:t>
      </w:r>
      <w:r w:rsidRPr="0045347C">
        <w:rPr>
          <w:rFonts w:ascii="Arial" w:hAnsi="Arial" w:cs="Arial"/>
          <w:sz w:val="16"/>
          <w:szCs w:val="16"/>
          <w:lang w:val="en-US" w:eastAsia="ko-KR"/>
        </w:rPr>
        <w:t xml:space="preserve"> </w:t>
      </w:r>
      <w:hyperlink r:id="rId1" w:history="1">
        <w:r w:rsidRPr="0045347C">
          <w:rPr>
            <w:rStyle w:val="Hyperlink"/>
            <w:rFonts w:ascii="Arial" w:hAnsi="Arial" w:cs="Arial"/>
            <w:sz w:val="16"/>
            <w:szCs w:val="16"/>
            <w:lang w:val="en-US" w:eastAsia="ko-KR"/>
          </w:rPr>
          <w:t>https://rb.gy/ijrauo</w:t>
        </w:r>
      </w:hyperlink>
      <w:r w:rsidRPr="0045347C">
        <w:rPr>
          <w:rFonts w:ascii="Arial" w:hAnsi="Arial" w:cs="Arial"/>
          <w:sz w:val="16"/>
          <w:szCs w:val="16"/>
          <w:lang w:val="en-US" w:eastAsia="ko-KR"/>
        </w:rPr>
        <w:t xml:space="preserve"> </w:t>
      </w:r>
    </w:p>
  </w:footnote>
  <w:footnote w:id="3">
    <w:p w14:paraId="7500C75F" w14:textId="449C3175" w:rsidR="002E3801" w:rsidRPr="0045347C" w:rsidRDefault="002E3801" w:rsidP="003425F6">
      <w:pPr>
        <w:pStyle w:val="FootnoteText"/>
        <w:ind w:left="284" w:hanging="284"/>
        <w:jc w:val="both"/>
        <w:rPr>
          <w:rFonts w:ascii="Arial" w:hAnsi="Arial" w:cs="Arial"/>
          <w:sz w:val="16"/>
          <w:szCs w:val="16"/>
        </w:rPr>
      </w:pPr>
      <w:r w:rsidRPr="0045347C">
        <w:rPr>
          <w:rStyle w:val="FootnoteReference"/>
          <w:rFonts w:ascii="Arial" w:hAnsi="Arial" w:cs="Arial"/>
          <w:sz w:val="16"/>
          <w:szCs w:val="16"/>
        </w:rPr>
        <w:footnoteRef/>
      </w:r>
      <w:r w:rsidRPr="0045347C">
        <w:rPr>
          <w:rFonts w:ascii="Arial" w:hAnsi="Arial" w:cs="Arial"/>
          <w:sz w:val="16"/>
          <w:szCs w:val="16"/>
        </w:rPr>
        <w:tab/>
        <w:t xml:space="preserve">Choose any one of the most appropriate principles from the list of 16 principles approved by MSC 107 from the drop-down menu, </w:t>
      </w:r>
      <w:r w:rsidR="00546777" w:rsidRPr="0045347C">
        <w:rPr>
          <w:rFonts w:ascii="Arial" w:hAnsi="Arial" w:cs="Arial"/>
          <w:sz w:val="16"/>
          <w:szCs w:val="16"/>
        </w:rPr>
        <w:t xml:space="preserve">and add more </w:t>
      </w:r>
      <w:r w:rsidR="00707B69" w:rsidRPr="0045347C">
        <w:rPr>
          <w:rFonts w:ascii="Arial" w:hAnsi="Arial" w:cs="Arial"/>
          <w:sz w:val="16"/>
          <w:szCs w:val="16"/>
          <w:lang w:eastAsia="ko-KR"/>
        </w:rPr>
        <w:t>p</w:t>
      </w:r>
      <w:r w:rsidR="00546777" w:rsidRPr="0045347C">
        <w:rPr>
          <w:rFonts w:ascii="Arial" w:hAnsi="Arial" w:cs="Arial"/>
          <w:sz w:val="16"/>
          <w:szCs w:val="16"/>
        </w:rPr>
        <w:t xml:space="preserve">rinciples </w:t>
      </w:r>
      <w:r w:rsidR="00B378AE" w:rsidRPr="0045347C">
        <w:rPr>
          <w:rFonts w:ascii="Arial" w:hAnsi="Arial" w:cs="Arial"/>
          <w:sz w:val="16"/>
          <w:szCs w:val="16"/>
        </w:rPr>
        <w:t>in the free text field</w:t>
      </w:r>
      <w:r w:rsidR="00546777" w:rsidRPr="0045347C">
        <w:rPr>
          <w:rFonts w:ascii="Arial" w:hAnsi="Arial" w:cs="Arial"/>
          <w:sz w:val="16"/>
          <w:szCs w:val="16"/>
        </w:rPr>
        <w:t>, if applicable</w:t>
      </w:r>
      <w:r w:rsidR="00FD62B7" w:rsidRPr="0045347C">
        <w:rPr>
          <w:rFonts w:ascii="Arial" w:hAnsi="Arial" w:cs="Arial"/>
          <w:sz w:val="16"/>
          <w:szCs w:val="16"/>
        </w:rPr>
        <w:t>.</w:t>
      </w:r>
    </w:p>
  </w:footnote>
  <w:footnote w:id="4">
    <w:p w14:paraId="70535266" w14:textId="29178CE9" w:rsidR="00FD62B7" w:rsidRPr="0045347C" w:rsidRDefault="00FD62B7" w:rsidP="003425F6">
      <w:pPr>
        <w:pStyle w:val="FootnoteText"/>
        <w:ind w:left="284" w:hanging="284"/>
        <w:jc w:val="both"/>
        <w:rPr>
          <w:rFonts w:ascii="Arial" w:hAnsi="Arial" w:cs="Arial"/>
          <w:sz w:val="16"/>
          <w:szCs w:val="16"/>
        </w:rPr>
      </w:pPr>
      <w:r w:rsidRPr="0045347C">
        <w:rPr>
          <w:rStyle w:val="FootnoteReference"/>
          <w:rFonts w:ascii="Arial" w:hAnsi="Arial" w:cs="Arial"/>
          <w:sz w:val="16"/>
          <w:szCs w:val="16"/>
        </w:rPr>
        <w:footnoteRef/>
      </w:r>
      <w:r w:rsidRPr="0045347C">
        <w:rPr>
          <w:rFonts w:ascii="Arial" w:hAnsi="Arial" w:cs="Arial"/>
          <w:sz w:val="16"/>
          <w:szCs w:val="16"/>
        </w:rPr>
        <w:tab/>
        <w:t>Choose a criterion i.e. internal or external. If both criteria apply, choose the last option from the drop-down menu.</w:t>
      </w:r>
    </w:p>
  </w:footnote>
  <w:footnote w:id="5">
    <w:p w14:paraId="47CB2725" w14:textId="1446A827" w:rsidR="0035019C" w:rsidRPr="00F80C80" w:rsidRDefault="0035019C" w:rsidP="003425F6">
      <w:pPr>
        <w:pStyle w:val="FootnoteText"/>
        <w:ind w:left="284" w:hanging="284"/>
        <w:jc w:val="both"/>
        <w:rPr>
          <w:sz w:val="16"/>
          <w:szCs w:val="16"/>
        </w:rPr>
      </w:pPr>
      <w:r w:rsidRPr="00E811DE">
        <w:rPr>
          <w:rFonts w:ascii="Arial" w:hAnsi="Arial" w:cs="Arial"/>
          <w:sz w:val="16"/>
          <w:szCs w:val="16"/>
        </w:rPr>
        <w:footnoteRef/>
      </w:r>
      <w:r w:rsidRPr="0045347C">
        <w:rPr>
          <w:rFonts w:ascii="Arial" w:hAnsi="Arial" w:cs="Arial"/>
          <w:sz w:val="16"/>
          <w:szCs w:val="16"/>
        </w:rPr>
        <w:t xml:space="preserve"> </w:t>
      </w:r>
      <w:r w:rsidRPr="0045347C">
        <w:rPr>
          <w:rFonts w:ascii="Arial" w:hAnsi="Arial" w:cs="Arial"/>
          <w:sz w:val="16"/>
          <w:szCs w:val="16"/>
        </w:rPr>
        <w:tab/>
        <w:t>Choose an area amongst the 2</w:t>
      </w:r>
      <w:r w:rsidR="00343BF5">
        <w:rPr>
          <w:rFonts w:ascii="Arial" w:hAnsi="Arial" w:cs="Arial"/>
          <w:sz w:val="16"/>
          <w:szCs w:val="16"/>
        </w:rPr>
        <w:t>4</w:t>
      </w:r>
      <w:r w:rsidRPr="0045347C">
        <w:rPr>
          <w:rFonts w:ascii="Arial" w:hAnsi="Arial" w:cs="Arial"/>
          <w:sz w:val="16"/>
          <w:szCs w:val="16"/>
        </w:rPr>
        <w:t xml:space="preserve"> areas in the list from the drop-down menu. </w:t>
      </w:r>
      <w:r w:rsidR="00FF75E9" w:rsidRPr="0045347C">
        <w:rPr>
          <w:rFonts w:ascii="Arial" w:hAnsi="Arial" w:cs="Arial"/>
          <w:sz w:val="16"/>
          <w:szCs w:val="16"/>
        </w:rPr>
        <w:t>If applicable, add more areas</w:t>
      </w:r>
      <w:r w:rsidR="007652C0" w:rsidRPr="0045347C">
        <w:rPr>
          <w:rFonts w:ascii="Arial" w:hAnsi="Arial" w:cs="Arial"/>
          <w:sz w:val="16"/>
          <w:szCs w:val="16"/>
        </w:rPr>
        <w:t>, including those</w:t>
      </w:r>
      <w:r w:rsidR="00767AA2" w:rsidRPr="0045347C">
        <w:rPr>
          <w:rFonts w:ascii="Arial" w:hAnsi="Arial" w:cs="Arial"/>
          <w:sz w:val="16"/>
          <w:szCs w:val="16"/>
        </w:rPr>
        <w:t xml:space="preserve"> approved by MSC 108.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82D39"/>
    <w:multiLevelType w:val="hybridMultilevel"/>
    <w:tmpl w:val="7C509B82"/>
    <w:lvl w:ilvl="0" w:tplc="5FEEC904">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9A14DC"/>
    <w:multiLevelType w:val="hybridMultilevel"/>
    <w:tmpl w:val="19809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AA4432"/>
    <w:multiLevelType w:val="hybridMultilevel"/>
    <w:tmpl w:val="F46685C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8335718"/>
    <w:multiLevelType w:val="hybridMultilevel"/>
    <w:tmpl w:val="19809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5236A9"/>
    <w:multiLevelType w:val="hybridMultilevel"/>
    <w:tmpl w:val="66E4C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344CBE"/>
    <w:multiLevelType w:val="hybridMultilevel"/>
    <w:tmpl w:val="91642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3754884">
    <w:abstractNumId w:val="3"/>
  </w:num>
  <w:num w:numId="2" w16cid:durableId="1590388581">
    <w:abstractNumId w:val="1"/>
  </w:num>
  <w:num w:numId="3" w16cid:durableId="1481270053">
    <w:abstractNumId w:val="4"/>
  </w:num>
  <w:num w:numId="4" w16cid:durableId="1381906044">
    <w:abstractNumId w:val="5"/>
  </w:num>
  <w:num w:numId="5" w16cid:durableId="900018385">
    <w:abstractNumId w:val="2"/>
  </w:num>
  <w:num w:numId="6" w16cid:durableId="47934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0B"/>
    <w:rsid w:val="00001C29"/>
    <w:rsid w:val="00003B51"/>
    <w:rsid w:val="000046D8"/>
    <w:rsid w:val="00007315"/>
    <w:rsid w:val="00007474"/>
    <w:rsid w:val="00007AC1"/>
    <w:rsid w:val="00014C41"/>
    <w:rsid w:val="00015E49"/>
    <w:rsid w:val="000226EC"/>
    <w:rsid w:val="000315F4"/>
    <w:rsid w:val="000406BF"/>
    <w:rsid w:val="00042569"/>
    <w:rsid w:val="000458D3"/>
    <w:rsid w:val="00050B67"/>
    <w:rsid w:val="00056ECA"/>
    <w:rsid w:val="000576D9"/>
    <w:rsid w:val="00060913"/>
    <w:rsid w:val="00063FA9"/>
    <w:rsid w:val="000676C4"/>
    <w:rsid w:val="000776B3"/>
    <w:rsid w:val="0008001D"/>
    <w:rsid w:val="0008154E"/>
    <w:rsid w:val="00083A96"/>
    <w:rsid w:val="0008685D"/>
    <w:rsid w:val="0009204B"/>
    <w:rsid w:val="00097252"/>
    <w:rsid w:val="00097A87"/>
    <w:rsid w:val="000A738C"/>
    <w:rsid w:val="000B1521"/>
    <w:rsid w:val="000B5522"/>
    <w:rsid w:val="000B776A"/>
    <w:rsid w:val="000D1B2D"/>
    <w:rsid w:val="000D25C4"/>
    <w:rsid w:val="000D31BD"/>
    <w:rsid w:val="000E5F18"/>
    <w:rsid w:val="000F01B3"/>
    <w:rsid w:val="00116932"/>
    <w:rsid w:val="001319A3"/>
    <w:rsid w:val="00133E71"/>
    <w:rsid w:val="001461AC"/>
    <w:rsid w:val="0014775B"/>
    <w:rsid w:val="001502FA"/>
    <w:rsid w:val="00161B7C"/>
    <w:rsid w:val="00166DB4"/>
    <w:rsid w:val="00173334"/>
    <w:rsid w:val="00185E8D"/>
    <w:rsid w:val="001B666B"/>
    <w:rsid w:val="001C06DC"/>
    <w:rsid w:val="001C0803"/>
    <w:rsid w:val="001C148F"/>
    <w:rsid w:val="001C422C"/>
    <w:rsid w:val="001D5AB8"/>
    <w:rsid w:val="001F4BE9"/>
    <w:rsid w:val="0020566C"/>
    <w:rsid w:val="00207055"/>
    <w:rsid w:val="002104DD"/>
    <w:rsid w:val="00221FEB"/>
    <w:rsid w:val="0022546E"/>
    <w:rsid w:val="0022687A"/>
    <w:rsid w:val="00232EC6"/>
    <w:rsid w:val="00233D7D"/>
    <w:rsid w:val="0024275F"/>
    <w:rsid w:val="002500EF"/>
    <w:rsid w:val="002559F3"/>
    <w:rsid w:val="00255D14"/>
    <w:rsid w:val="00263511"/>
    <w:rsid w:val="0026356E"/>
    <w:rsid w:val="00275ABE"/>
    <w:rsid w:val="00275C09"/>
    <w:rsid w:val="00285E90"/>
    <w:rsid w:val="0029030E"/>
    <w:rsid w:val="002B051E"/>
    <w:rsid w:val="002B4813"/>
    <w:rsid w:val="002B4930"/>
    <w:rsid w:val="002C194F"/>
    <w:rsid w:val="002C251B"/>
    <w:rsid w:val="002C5132"/>
    <w:rsid w:val="002D224D"/>
    <w:rsid w:val="002D4E58"/>
    <w:rsid w:val="002E0001"/>
    <w:rsid w:val="002E05BB"/>
    <w:rsid w:val="002E1255"/>
    <w:rsid w:val="002E3801"/>
    <w:rsid w:val="002E4779"/>
    <w:rsid w:val="003022F7"/>
    <w:rsid w:val="00306507"/>
    <w:rsid w:val="00314431"/>
    <w:rsid w:val="00320154"/>
    <w:rsid w:val="00322A42"/>
    <w:rsid w:val="003239F5"/>
    <w:rsid w:val="00327EC8"/>
    <w:rsid w:val="003321BF"/>
    <w:rsid w:val="00334A35"/>
    <w:rsid w:val="00335A53"/>
    <w:rsid w:val="003425F6"/>
    <w:rsid w:val="00343BF5"/>
    <w:rsid w:val="00344317"/>
    <w:rsid w:val="00346D0B"/>
    <w:rsid w:val="0035019C"/>
    <w:rsid w:val="00353DB3"/>
    <w:rsid w:val="00354509"/>
    <w:rsid w:val="00354D85"/>
    <w:rsid w:val="00355FFA"/>
    <w:rsid w:val="0037084D"/>
    <w:rsid w:val="00377A33"/>
    <w:rsid w:val="00380537"/>
    <w:rsid w:val="0038086B"/>
    <w:rsid w:val="00382358"/>
    <w:rsid w:val="00382522"/>
    <w:rsid w:val="0038364F"/>
    <w:rsid w:val="00394B81"/>
    <w:rsid w:val="00394F1B"/>
    <w:rsid w:val="003973D1"/>
    <w:rsid w:val="00397955"/>
    <w:rsid w:val="003A1E0F"/>
    <w:rsid w:val="003A36E6"/>
    <w:rsid w:val="003A4FD6"/>
    <w:rsid w:val="003B0B64"/>
    <w:rsid w:val="003C4563"/>
    <w:rsid w:val="003D061D"/>
    <w:rsid w:val="003E32B9"/>
    <w:rsid w:val="003E41BB"/>
    <w:rsid w:val="003F4203"/>
    <w:rsid w:val="003F6649"/>
    <w:rsid w:val="00401461"/>
    <w:rsid w:val="004035C0"/>
    <w:rsid w:val="00407D19"/>
    <w:rsid w:val="00414BDA"/>
    <w:rsid w:val="00421284"/>
    <w:rsid w:val="00423EDE"/>
    <w:rsid w:val="004378A8"/>
    <w:rsid w:val="00445945"/>
    <w:rsid w:val="0045347C"/>
    <w:rsid w:val="004536E3"/>
    <w:rsid w:val="00461318"/>
    <w:rsid w:val="004624BB"/>
    <w:rsid w:val="004665EE"/>
    <w:rsid w:val="00467953"/>
    <w:rsid w:val="00467F16"/>
    <w:rsid w:val="00485EDA"/>
    <w:rsid w:val="004929E7"/>
    <w:rsid w:val="004A165F"/>
    <w:rsid w:val="004A3A00"/>
    <w:rsid w:val="004A418B"/>
    <w:rsid w:val="004C6A0F"/>
    <w:rsid w:val="004D1EC6"/>
    <w:rsid w:val="004E25CA"/>
    <w:rsid w:val="004E3369"/>
    <w:rsid w:val="004E6CC0"/>
    <w:rsid w:val="004E73FA"/>
    <w:rsid w:val="00501E70"/>
    <w:rsid w:val="00503977"/>
    <w:rsid w:val="00506F03"/>
    <w:rsid w:val="00507A33"/>
    <w:rsid w:val="00517156"/>
    <w:rsid w:val="00517B34"/>
    <w:rsid w:val="00517E96"/>
    <w:rsid w:val="005360F9"/>
    <w:rsid w:val="00540014"/>
    <w:rsid w:val="0054049C"/>
    <w:rsid w:val="00541C3E"/>
    <w:rsid w:val="00546777"/>
    <w:rsid w:val="00556705"/>
    <w:rsid w:val="00556E62"/>
    <w:rsid w:val="00561FEC"/>
    <w:rsid w:val="005659C0"/>
    <w:rsid w:val="005663F0"/>
    <w:rsid w:val="005708DE"/>
    <w:rsid w:val="00570C71"/>
    <w:rsid w:val="00580262"/>
    <w:rsid w:val="00580D04"/>
    <w:rsid w:val="005818DE"/>
    <w:rsid w:val="00592A34"/>
    <w:rsid w:val="005B0344"/>
    <w:rsid w:val="005C2233"/>
    <w:rsid w:val="005C25E4"/>
    <w:rsid w:val="005C32AE"/>
    <w:rsid w:val="005C4010"/>
    <w:rsid w:val="005C5948"/>
    <w:rsid w:val="005C7414"/>
    <w:rsid w:val="005D0CE0"/>
    <w:rsid w:val="005D31FA"/>
    <w:rsid w:val="005F402A"/>
    <w:rsid w:val="006013E0"/>
    <w:rsid w:val="006037FD"/>
    <w:rsid w:val="006138BA"/>
    <w:rsid w:val="00615368"/>
    <w:rsid w:val="00621E4A"/>
    <w:rsid w:val="00623B12"/>
    <w:rsid w:val="006355B2"/>
    <w:rsid w:val="006425EE"/>
    <w:rsid w:val="00642C4B"/>
    <w:rsid w:val="00643860"/>
    <w:rsid w:val="00647FD5"/>
    <w:rsid w:val="0065108C"/>
    <w:rsid w:val="00656E0F"/>
    <w:rsid w:val="00660B9A"/>
    <w:rsid w:val="00665935"/>
    <w:rsid w:val="0067138A"/>
    <w:rsid w:val="0069188A"/>
    <w:rsid w:val="006A0428"/>
    <w:rsid w:val="006A37D1"/>
    <w:rsid w:val="006A3E8B"/>
    <w:rsid w:val="006A5A43"/>
    <w:rsid w:val="006A5DA2"/>
    <w:rsid w:val="006B21EF"/>
    <w:rsid w:val="006B2B33"/>
    <w:rsid w:val="006B4C92"/>
    <w:rsid w:val="006B55F7"/>
    <w:rsid w:val="006B699E"/>
    <w:rsid w:val="006C573A"/>
    <w:rsid w:val="006C61E2"/>
    <w:rsid w:val="006D11D9"/>
    <w:rsid w:val="006D17E8"/>
    <w:rsid w:val="006D371F"/>
    <w:rsid w:val="006D6388"/>
    <w:rsid w:val="006E157D"/>
    <w:rsid w:val="006E28C5"/>
    <w:rsid w:val="006E3E1F"/>
    <w:rsid w:val="006E4285"/>
    <w:rsid w:val="006F071A"/>
    <w:rsid w:val="006F139A"/>
    <w:rsid w:val="006F2ADA"/>
    <w:rsid w:val="006F50B6"/>
    <w:rsid w:val="006F5511"/>
    <w:rsid w:val="006F5798"/>
    <w:rsid w:val="006F6BE0"/>
    <w:rsid w:val="00700F88"/>
    <w:rsid w:val="0070105A"/>
    <w:rsid w:val="00706AC3"/>
    <w:rsid w:val="00707B69"/>
    <w:rsid w:val="00712086"/>
    <w:rsid w:val="007163CB"/>
    <w:rsid w:val="00721331"/>
    <w:rsid w:val="0073008B"/>
    <w:rsid w:val="007301A8"/>
    <w:rsid w:val="00735655"/>
    <w:rsid w:val="0075459C"/>
    <w:rsid w:val="0076196B"/>
    <w:rsid w:val="007652C0"/>
    <w:rsid w:val="00766AE0"/>
    <w:rsid w:val="00767AA2"/>
    <w:rsid w:val="007713C2"/>
    <w:rsid w:val="00772CEA"/>
    <w:rsid w:val="00774BB0"/>
    <w:rsid w:val="00780059"/>
    <w:rsid w:val="0078784D"/>
    <w:rsid w:val="0079181A"/>
    <w:rsid w:val="007978B1"/>
    <w:rsid w:val="007A45B6"/>
    <w:rsid w:val="007A6006"/>
    <w:rsid w:val="007B1034"/>
    <w:rsid w:val="007D5AA5"/>
    <w:rsid w:val="007D762F"/>
    <w:rsid w:val="007E0EF7"/>
    <w:rsid w:val="007E2086"/>
    <w:rsid w:val="007F02BA"/>
    <w:rsid w:val="007F0803"/>
    <w:rsid w:val="007F2062"/>
    <w:rsid w:val="007F7272"/>
    <w:rsid w:val="00815BD0"/>
    <w:rsid w:val="00835875"/>
    <w:rsid w:val="00840452"/>
    <w:rsid w:val="00850310"/>
    <w:rsid w:val="00854C08"/>
    <w:rsid w:val="00861EC2"/>
    <w:rsid w:val="0086301B"/>
    <w:rsid w:val="00866E53"/>
    <w:rsid w:val="00866FCB"/>
    <w:rsid w:val="008739ED"/>
    <w:rsid w:val="00876588"/>
    <w:rsid w:val="008767B5"/>
    <w:rsid w:val="0087776A"/>
    <w:rsid w:val="00880BDB"/>
    <w:rsid w:val="008859B7"/>
    <w:rsid w:val="00894148"/>
    <w:rsid w:val="008A2A6D"/>
    <w:rsid w:val="008A5B0A"/>
    <w:rsid w:val="008A64EA"/>
    <w:rsid w:val="008B1F24"/>
    <w:rsid w:val="008B3207"/>
    <w:rsid w:val="008B693A"/>
    <w:rsid w:val="008C1B4E"/>
    <w:rsid w:val="008C24AF"/>
    <w:rsid w:val="008E3A22"/>
    <w:rsid w:val="008F5F75"/>
    <w:rsid w:val="0090228D"/>
    <w:rsid w:val="009033F2"/>
    <w:rsid w:val="0091189E"/>
    <w:rsid w:val="009124B0"/>
    <w:rsid w:val="00914DB6"/>
    <w:rsid w:val="009165B2"/>
    <w:rsid w:val="009221CE"/>
    <w:rsid w:val="0093328B"/>
    <w:rsid w:val="00936EF4"/>
    <w:rsid w:val="009403C9"/>
    <w:rsid w:val="00940FC0"/>
    <w:rsid w:val="00942FCE"/>
    <w:rsid w:val="00945838"/>
    <w:rsid w:val="00946576"/>
    <w:rsid w:val="0095305C"/>
    <w:rsid w:val="009539C5"/>
    <w:rsid w:val="00953AB1"/>
    <w:rsid w:val="00957EDF"/>
    <w:rsid w:val="009628C8"/>
    <w:rsid w:val="00964658"/>
    <w:rsid w:val="00970A0C"/>
    <w:rsid w:val="00973D54"/>
    <w:rsid w:val="00983D6A"/>
    <w:rsid w:val="009967EC"/>
    <w:rsid w:val="009A03E2"/>
    <w:rsid w:val="009A4F3C"/>
    <w:rsid w:val="009B4BDB"/>
    <w:rsid w:val="009B7AB5"/>
    <w:rsid w:val="009C2CDD"/>
    <w:rsid w:val="009C5A3E"/>
    <w:rsid w:val="009C6620"/>
    <w:rsid w:val="009C6824"/>
    <w:rsid w:val="009E01E8"/>
    <w:rsid w:val="009E1C82"/>
    <w:rsid w:val="009E26DF"/>
    <w:rsid w:val="009E5586"/>
    <w:rsid w:val="009E652C"/>
    <w:rsid w:val="009E7BCE"/>
    <w:rsid w:val="009F19CE"/>
    <w:rsid w:val="00A136C9"/>
    <w:rsid w:val="00A145F0"/>
    <w:rsid w:val="00A14F1F"/>
    <w:rsid w:val="00A168EE"/>
    <w:rsid w:val="00A174CA"/>
    <w:rsid w:val="00A17807"/>
    <w:rsid w:val="00A245CF"/>
    <w:rsid w:val="00A251F8"/>
    <w:rsid w:val="00A43594"/>
    <w:rsid w:val="00A4759F"/>
    <w:rsid w:val="00A57EB5"/>
    <w:rsid w:val="00A60C8D"/>
    <w:rsid w:val="00A72155"/>
    <w:rsid w:val="00A75DAB"/>
    <w:rsid w:val="00A86DE7"/>
    <w:rsid w:val="00A90AF5"/>
    <w:rsid w:val="00A9450C"/>
    <w:rsid w:val="00AA3E26"/>
    <w:rsid w:val="00AB309B"/>
    <w:rsid w:val="00AB55EB"/>
    <w:rsid w:val="00AC2485"/>
    <w:rsid w:val="00AD1274"/>
    <w:rsid w:val="00AD40BC"/>
    <w:rsid w:val="00AD461C"/>
    <w:rsid w:val="00AD6C30"/>
    <w:rsid w:val="00AD7A85"/>
    <w:rsid w:val="00AE1038"/>
    <w:rsid w:val="00AF5C95"/>
    <w:rsid w:val="00B0302F"/>
    <w:rsid w:val="00B10FCA"/>
    <w:rsid w:val="00B11A19"/>
    <w:rsid w:val="00B1378D"/>
    <w:rsid w:val="00B1651C"/>
    <w:rsid w:val="00B171B6"/>
    <w:rsid w:val="00B233D6"/>
    <w:rsid w:val="00B30181"/>
    <w:rsid w:val="00B3166F"/>
    <w:rsid w:val="00B33CF5"/>
    <w:rsid w:val="00B36869"/>
    <w:rsid w:val="00B378AE"/>
    <w:rsid w:val="00B451BC"/>
    <w:rsid w:val="00B45A4B"/>
    <w:rsid w:val="00B46EDF"/>
    <w:rsid w:val="00B477A4"/>
    <w:rsid w:val="00B543EB"/>
    <w:rsid w:val="00B65976"/>
    <w:rsid w:val="00B67391"/>
    <w:rsid w:val="00B801FD"/>
    <w:rsid w:val="00B82B0E"/>
    <w:rsid w:val="00B84C25"/>
    <w:rsid w:val="00B950AB"/>
    <w:rsid w:val="00B95490"/>
    <w:rsid w:val="00BA17F3"/>
    <w:rsid w:val="00BA28DE"/>
    <w:rsid w:val="00BA45D5"/>
    <w:rsid w:val="00BA604D"/>
    <w:rsid w:val="00BC0849"/>
    <w:rsid w:val="00BC1C34"/>
    <w:rsid w:val="00BC4855"/>
    <w:rsid w:val="00BC6C68"/>
    <w:rsid w:val="00BC6D9A"/>
    <w:rsid w:val="00BC77BC"/>
    <w:rsid w:val="00BD5697"/>
    <w:rsid w:val="00BD612F"/>
    <w:rsid w:val="00BE0D30"/>
    <w:rsid w:val="00BE17A8"/>
    <w:rsid w:val="00BE2A22"/>
    <w:rsid w:val="00BE5850"/>
    <w:rsid w:val="00BF0BE4"/>
    <w:rsid w:val="00BF72F6"/>
    <w:rsid w:val="00C01AC5"/>
    <w:rsid w:val="00C06E88"/>
    <w:rsid w:val="00C222DF"/>
    <w:rsid w:val="00C22436"/>
    <w:rsid w:val="00C237CD"/>
    <w:rsid w:val="00C24E28"/>
    <w:rsid w:val="00C257E9"/>
    <w:rsid w:val="00C3168E"/>
    <w:rsid w:val="00C3554E"/>
    <w:rsid w:val="00C42235"/>
    <w:rsid w:val="00C428D6"/>
    <w:rsid w:val="00C43CE9"/>
    <w:rsid w:val="00C4585C"/>
    <w:rsid w:val="00C4678A"/>
    <w:rsid w:val="00C53361"/>
    <w:rsid w:val="00C5366F"/>
    <w:rsid w:val="00C539C2"/>
    <w:rsid w:val="00C65951"/>
    <w:rsid w:val="00C701E9"/>
    <w:rsid w:val="00C72FCF"/>
    <w:rsid w:val="00C770E8"/>
    <w:rsid w:val="00C7785D"/>
    <w:rsid w:val="00C814F6"/>
    <w:rsid w:val="00C835CD"/>
    <w:rsid w:val="00C866AB"/>
    <w:rsid w:val="00C93B28"/>
    <w:rsid w:val="00CA09C9"/>
    <w:rsid w:val="00CA3CA4"/>
    <w:rsid w:val="00CA4FF0"/>
    <w:rsid w:val="00CA7C24"/>
    <w:rsid w:val="00CB2313"/>
    <w:rsid w:val="00CB5E75"/>
    <w:rsid w:val="00CC4066"/>
    <w:rsid w:val="00CC4EB5"/>
    <w:rsid w:val="00CC5741"/>
    <w:rsid w:val="00CD27C1"/>
    <w:rsid w:val="00CD3708"/>
    <w:rsid w:val="00CD6427"/>
    <w:rsid w:val="00CE71AB"/>
    <w:rsid w:val="00CE7CA9"/>
    <w:rsid w:val="00CF0893"/>
    <w:rsid w:val="00CF3195"/>
    <w:rsid w:val="00CF3EC0"/>
    <w:rsid w:val="00CF5696"/>
    <w:rsid w:val="00CF6977"/>
    <w:rsid w:val="00D001B9"/>
    <w:rsid w:val="00D135B9"/>
    <w:rsid w:val="00D1419B"/>
    <w:rsid w:val="00D1462F"/>
    <w:rsid w:val="00D177E5"/>
    <w:rsid w:val="00D22B4A"/>
    <w:rsid w:val="00D241C0"/>
    <w:rsid w:val="00D24FDE"/>
    <w:rsid w:val="00D2788C"/>
    <w:rsid w:val="00D376D5"/>
    <w:rsid w:val="00D400B6"/>
    <w:rsid w:val="00D441FB"/>
    <w:rsid w:val="00D50EBB"/>
    <w:rsid w:val="00D52445"/>
    <w:rsid w:val="00D57DAD"/>
    <w:rsid w:val="00D70BAF"/>
    <w:rsid w:val="00D7526D"/>
    <w:rsid w:val="00D75863"/>
    <w:rsid w:val="00D8184A"/>
    <w:rsid w:val="00D8188E"/>
    <w:rsid w:val="00D841F9"/>
    <w:rsid w:val="00D84E10"/>
    <w:rsid w:val="00D877FF"/>
    <w:rsid w:val="00D9515E"/>
    <w:rsid w:val="00D97099"/>
    <w:rsid w:val="00D9748D"/>
    <w:rsid w:val="00DB0306"/>
    <w:rsid w:val="00DB516E"/>
    <w:rsid w:val="00DB5A7B"/>
    <w:rsid w:val="00DC3EA2"/>
    <w:rsid w:val="00DC47B2"/>
    <w:rsid w:val="00DC76D9"/>
    <w:rsid w:val="00DD0705"/>
    <w:rsid w:val="00DD54C5"/>
    <w:rsid w:val="00DF1F26"/>
    <w:rsid w:val="00DF527F"/>
    <w:rsid w:val="00E014F2"/>
    <w:rsid w:val="00E11A99"/>
    <w:rsid w:val="00E12868"/>
    <w:rsid w:val="00E2182C"/>
    <w:rsid w:val="00E245F2"/>
    <w:rsid w:val="00E24BEC"/>
    <w:rsid w:val="00E25214"/>
    <w:rsid w:val="00E26469"/>
    <w:rsid w:val="00E31452"/>
    <w:rsid w:val="00E52F94"/>
    <w:rsid w:val="00E57134"/>
    <w:rsid w:val="00E617F7"/>
    <w:rsid w:val="00E61AF7"/>
    <w:rsid w:val="00E7032E"/>
    <w:rsid w:val="00E75FE7"/>
    <w:rsid w:val="00E811DE"/>
    <w:rsid w:val="00E84E0B"/>
    <w:rsid w:val="00E86616"/>
    <w:rsid w:val="00E951D4"/>
    <w:rsid w:val="00E9586F"/>
    <w:rsid w:val="00EB14DA"/>
    <w:rsid w:val="00EB3382"/>
    <w:rsid w:val="00EB65A5"/>
    <w:rsid w:val="00ED0AE0"/>
    <w:rsid w:val="00ED3271"/>
    <w:rsid w:val="00ED73CD"/>
    <w:rsid w:val="00EF062E"/>
    <w:rsid w:val="00EF180B"/>
    <w:rsid w:val="00EF1BA6"/>
    <w:rsid w:val="00EF1F52"/>
    <w:rsid w:val="00F00066"/>
    <w:rsid w:val="00F01FB1"/>
    <w:rsid w:val="00F049C5"/>
    <w:rsid w:val="00F11E75"/>
    <w:rsid w:val="00F138A4"/>
    <w:rsid w:val="00F23381"/>
    <w:rsid w:val="00F2589E"/>
    <w:rsid w:val="00F401A9"/>
    <w:rsid w:val="00F40CFF"/>
    <w:rsid w:val="00F51049"/>
    <w:rsid w:val="00F526AA"/>
    <w:rsid w:val="00F64C46"/>
    <w:rsid w:val="00F67042"/>
    <w:rsid w:val="00F70FB0"/>
    <w:rsid w:val="00F71359"/>
    <w:rsid w:val="00F7231B"/>
    <w:rsid w:val="00F73B36"/>
    <w:rsid w:val="00F760F8"/>
    <w:rsid w:val="00F80C80"/>
    <w:rsid w:val="00F85DC4"/>
    <w:rsid w:val="00F876A5"/>
    <w:rsid w:val="00FA0ADB"/>
    <w:rsid w:val="00FA3CF7"/>
    <w:rsid w:val="00FB3D4B"/>
    <w:rsid w:val="00FC0EE1"/>
    <w:rsid w:val="00FC265F"/>
    <w:rsid w:val="00FC2D61"/>
    <w:rsid w:val="00FC5805"/>
    <w:rsid w:val="00FD106F"/>
    <w:rsid w:val="00FD4C84"/>
    <w:rsid w:val="00FD5DBC"/>
    <w:rsid w:val="00FD62B7"/>
    <w:rsid w:val="00FE736B"/>
    <w:rsid w:val="00FF095E"/>
    <w:rsid w:val="00FF37E8"/>
    <w:rsid w:val="00FF545D"/>
    <w:rsid w:val="00FF75E9"/>
    <w:rsid w:val="2DCA13F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0C121"/>
  <w15:chartTrackingRefBased/>
  <w15:docId w15:val="{FC5E2776-92C0-4739-BA27-49E6F8CB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D0B"/>
    <w:rPr>
      <w:rFonts w:eastAsiaTheme="majorEastAsia" w:cstheme="majorBidi"/>
      <w:color w:val="272727" w:themeColor="text1" w:themeTint="D8"/>
    </w:rPr>
  </w:style>
  <w:style w:type="paragraph" w:styleId="Title">
    <w:name w:val="Title"/>
    <w:basedOn w:val="Normal"/>
    <w:next w:val="Normal"/>
    <w:link w:val="TitleChar"/>
    <w:uiPriority w:val="10"/>
    <w:qFormat/>
    <w:rsid w:val="00346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D0B"/>
    <w:pPr>
      <w:spacing w:before="160"/>
      <w:jc w:val="center"/>
    </w:pPr>
    <w:rPr>
      <w:i/>
      <w:iCs/>
      <w:color w:val="404040" w:themeColor="text1" w:themeTint="BF"/>
    </w:rPr>
  </w:style>
  <w:style w:type="character" w:customStyle="1" w:styleId="QuoteChar">
    <w:name w:val="Quote Char"/>
    <w:basedOn w:val="DefaultParagraphFont"/>
    <w:link w:val="Quote"/>
    <w:uiPriority w:val="29"/>
    <w:rsid w:val="00346D0B"/>
    <w:rPr>
      <w:i/>
      <w:iCs/>
      <w:color w:val="404040" w:themeColor="text1" w:themeTint="BF"/>
    </w:rPr>
  </w:style>
  <w:style w:type="paragraph" w:styleId="ListParagraph">
    <w:name w:val="List Paragraph"/>
    <w:basedOn w:val="Normal"/>
    <w:uiPriority w:val="34"/>
    <w:qFormat/>
    <w:rsid w:val="00346D0B"/>
    <w:pPr>
      <w:ind w:left="720"/>
      <w:contextualSpacing/>
    </w:pPr>
  </w:style>
  <w:style w:type="character" w:styleId="IntenseEmphasis">
    <w:name w:val="Intense Emphasis"/>
    <w:basedOn w:val="DefaultParagraphFont"/>
    <w:uiPriority w:val="21"/>
    <w:qFormat/>
    <w:rsid w:val="00346D0B"/>
    <w:rPr>
      <w:i/>
      <w:iCs/>
      <w:color w:val="0F4761" w:themeColor="accent1" w:themeShade="BF"/>
    </w:rPr>
  </w:style>
  <w:style w:type="paragraph" w:styleId="IntenseQuote">
    <w:name w:val="Intense Quote"/>
    <w:basedOn w:val="Normal"/>
    <w:next w:val="Normal"/>
    <w:link w:val="IntenseQuoteChar"/>
    <w:uiPriority w:val="30"/>
    <w:qFormat/>
    <w:rsid w:val="00346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D0B"/>
    <w:rPr>
      <w:i/>
      <w:iCs/>
      <w:color w:val="0F4761" w:themeColor="accent1" w:themeShade="BF"/>
    </w:rPr>
  </w:style>
  <w:style w:type="character" w:styleId="IntenseReference">
    <w:name w:val="Intense Reference"/>
    <w:basedOn w:val="DefaultParagraphFont"/>
    <w:uiPriority w:val="32"/>
    <w:qFormat/>
    <w:rsid w:val="00346D0B"/>
    <w:rPr>
      <w:b/>
      <w:bCs/>
      <w:smallCaps/>
      <w:color w:val="0F4761" w:themeColor="accent1" w:themeShade="BF"/>
      <w:spacing w:val="5"/>
    </w:rPr>
  </w:style>
  <w:style w:type="paragraph" w:customStyle="1" w:styleId="Default">
    <w:name w:val="Default"/>
    <w:rsid w:val="00C65951"/>
    <w:pPr>
      <w:autoSpaceDE w:val="0"/>
      <w:autoSpaceDN w:val="0"/>
      <w:adjustRightInd w:val="0"/>
      <w:spacing w:after="0" w:line="240" w:lineRule="auto"/>
    </w:pPr>
    <w:rPr>
      <w:rFonts w:ascii="Arial" w:hAnsi="Arial" w:cs="Arial"/>
      <w:color w:val="000000"/>
      <w:kern w:val="0"/>
      <w:sz w:val="24"/>
      <w:szCs w:val="24"/>
    </w:rPr>
  </w:style>
  <w:style w:type="character" w:styleId="PlaceholderText">
    <w:name w:val="Placeholder Text"/>
    <w:basedOn w:val="DefaultParagraphFont"/>
    <w:uiPriority w:val="99"/>
    <w:semiHidden/>
    <w:rsid w:val="00F64C46"/>
    <w:rPr>
      <w:color w:val="666666"/>
    </w:rPr>
  </w:style>
  <w:style w:type="table" w:styleId="TableGrid">
    <w:name w:val="Table Grid"/>
    <w:basedOn w:val="TableNormal"/>
    <w:uiPriority w:val="59"/>
    <w:rsid w:val="00344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7F2062"/>
    <w:rPr>
      <w:i/>
      <w:iCs/>
    </w:rPr>
  </w:style>
  <w:style w:type="paragraph" w:styleId="Header">
    <w:name w:val="header"/>
    <w:basedOn w:val="Normal"/>
    <w:link w:val="HeaderChar"/>
    <w:uiPriority w:val="99"/>
    <w:unhideWhenUsed/>
    <w:rsid w:val="00D81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88E"/>
  </w:style>
  <w:style w:type="paragraph" w:styleId="Footer">
    <w:name w:val="footer"/>
    <w:basedOn w:val="Normal"/>
    <w:link w:val="FooterChar"/>
    <w:uiPriority w:val="99"/>
    <w:unhideWhenUsed/>
    <w:rsid w:val="00D81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88E"/>
  </w:style>
  <w:style w:type="paragraph" w:styleId="EndnoteText">
    <w:name w:val="endnote text"/>
    <w:basedOn w:val="Normal"/>
    <w:link w:val="EndnoteTextChar"/>
    <w:uiPriority w:val="99"/>
    <w:semiHidden/>
    <w:unhideWhenUsed/>
    <w:rsid w:val="008B1F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1F24"/>
    <w:rPr>
      <w:sz w:val="20"/>
      <w:szCs w:val="20"/>
    </w:rPr>
  </w:style>
  <w:style w:type="character" w:styleId="EndnoteReference">
    <w:name w:val="endnote reference"/>
    <w:basedOn w:val="DefaultParagraphFont"/>
    <w:uiPriority w:val="99"/>
    <w:semiHidden/>
    <w:unhideWhenUsed/>
    <w:rsid w:val="008B1F24"/>
    <w:rPr>
      <w:vertAlign w:val="superscript"/>
    </w:rPr>
  </w:style>
  <w:style w:type="paragraph" w:styleId="FootnoteText">
    <w:name w:val="footnote text"/>
    <w:aliases w:val="DNV-FT Char Char,DNV-FT,footnote text,Char1,fn,ft,ALTS FOOTNOTE,Footnote Text Char Char1,Footnote Text Char4 Char Char,Footnote Text Char1 Char1 Char1 Char,Footnote Text Char Char1 Char1 Char Char,Schriftart: 9 pt,5_G,f,Footnote Text Char1"/>
    <w:basedOn w:val="Normal"/>
    <w:link w:val="FootnoteTextChar"/>
    <w:unhideWhenUsed/>
    <w:qFormat/>
    <w:rsid w:val="008B1F24"/>
    <w:pPr>
      <w:spacing w:after="0" w:line="240" w:lineRule="auto"/>
    </w:pPr>
    <w:rPr>
      <w:sz w:val="20"/>
      <w:szCs w:val="20"/>
    </w:rPr>
  </w:style>
  <w:style w:type="character" w:customStyle="1" w:styleId="FootnoteTextChar">
    <w:name w:val="Footnote Text Char"/>
    <w:aliases w:val="DNV-FT Char Char Char,DNV-FT Char,footnote text Char,Char1 Char,fn Char,ft Char,ALTS FOOTNOTE Char,Footnote Text Char Char1 Char,Footnote Text Char4 Char Char Char,Footnote Text Char1 Char1 Char1 Char Char,Schriftart: 9 pt Char,f Char"/>
    <w:basedOn w:val="DefaultParagraphFont"/>
    <w:link w:val="FootnoteText"/>
    <w:rsid w:val="008B1F24"/>
    <w:rPr>
      <w:sz w:val="20"/>
      <w:szCs w:val="20"/>
    </w:rPr>
  </w:style>
  <w:style w:type="character" w:styleId="FootnoteReference">
    <w:name w:val="footnote reference"/>
    <w:aliases w:val="Footnote Reference/,Appel note de bas de p,4_G,Footnote symbol,Footnote reference number,note TESI,BVI fnr,Nota,SUPERS,Footnote number,Footnote Reference Superscript,EN Footnote Reference,-E Fußnotenzeichen,number Char Char,number"/>
    <w:basedOn w:val="DefaultParagraphFont"/>
    <w:unhideWhenUsed/>
    <w:qFormat/>
    <w:rsid w:val="008B1F24"/>
    <w:rPr>
      <w:vertAlign w:val="superscript"/>
    </w:rPr>
  </w:style>
  <w:style w:type="paragraph" w:styleId="Revision">
    <w:name w:val="Revision"/>
    <w:hidden/>
    <w:uiPriority w:val="99"/>
    <w:semiHidden/>
    <w:rsid w:val="002559F3"/>
    <w:pPr>
      <w:spacing w:after="0" w:line="240" w:lineRule="auto"/>
    </w:pPr>
  </w:style>
  <w:style w:type="character" w:styleId="CommentReference">
    <w:name w:val="annotation reference"/>
    <w:basedOn w:val="DefaultParagraphFont"/>
    <w:uiPriority w:val="99"/>
    <w:semiHidden/>
    <w:unhideWhenUsed/>
    <w:rsid w:val="007652C0"/>
    <w:rPr>
      <w:sz w:val="16"/>
      <w:szCs w:val="16"/>
    </w:rPr>
  </w:style>
  <w:style w:type="paragraph" w:styleId="CommentText">
    <w:name w:val="annotation text"/>
    <w:basedOn w:val="Normal"/>
    <w:link w:val="CommentTextChar"/>
    <w:uiPriority w:val="99"/>
    <w:unhideWhenUsed/>
    <w:rsid w:val="007652C0"/>
    <w:pPr>
      <w:spacing w:line="240" w:lineRule="auto"/>
    </w:pPr>
    <w:rPr>
      <w:sz w:val="20"/>
      <w:szCs w:val="20"/>
    </w:rPr>
  </w:style>
  <w:style w:type="character" w:customStyle="1" w:styleId="CommentTextChar">
    <w:name w:val="Comment Text Char"/>
    <w:basedOn w:val="DefaultParagraphFont"/>
    <w:link w:val="CommentText"/>
    <w:uiPriority w:val="99"/>
    <w:rsid w:val="007652C0"/>
    <w:rPr>
      <w:sz w:val="20"/>
      <w:szCs w:val="20"/>
    </w:rPr>
  </w:style>
  <w:style w:type="paragraph" w:styleId="CommentSubject">
    <w:name w:val="annotation subject"/>
    <w:basedOn w:val="CommentText"/>
    <w:next w:val="CommentText"/>
    <w:link w:val="CommentSubjectChar"/>
    <w:uiPriority w:val="99"/>
    <w:semiHidden/>
    <w:unhideWhenUsed/>
    <w:rsid w:val="007652C0"/>
    <w:rPr>
      <w:b/>
      <w:bCs/>
    </w:rPr>
  </w:style>
  <w:style w:type="character" w:customStyle="1" w:styleId="CommentSubjectChar">
    <w:name w:val="Comment Subject Char"/>
    <w:basedOn w:val="CommentTextChar"/>
    <w:link w:val="CommentSubject"/>
    <w:uiPriority w:val="99"/>
    <w:semiHidden/>
    <w:rsid w:val="007652C0"/>
    <w:rPr>
      <w:b/>
      <w:bCs/>
      <w:sz w:val="20"/>
      <w:szCs w:val="20"/>
    </w:rPr>
  </w:style>
  <w:style w:type="character" w:styleId="Hyperlink">
    <w:name w:val="Hyperlink"/>
    <w:rsid w:val="00407D1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b.gy/ijrau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4C920749E24607BA0E2D194F2D194E"/>
        <w:category>
          <w:name w:val="General"/>
          <w:gallery w:val="placeholder"/>
        </w:category>
        <w:types>
          <w:type w:val="bbPlcHdr"/>
        </w:types>
        <w:behaviors>
          <w:behavior w:val="content"/>
        </w:behaviors>
        <w:guid w:val="{29D34B96-6A76-4FD6-A5E8-A81AF2BE14B3}"/>
      </w:docPartPr>
      <w:docPartBody>
        <w:p w:rsidR="00FD3320" w:rsidRDefault="00BC6C68" w:rsidP="00BC6C68">
          <w:pPr>
            <w:pStyle w:val="5B4C920749E24607BA0E2D194F2D194E"/>
          </w:pPr>
          <w:r w:rsidRPr="00387CEE">
            <w:rPr>
              <w:rStyle w:val="PlaceholderText"/>
            </w:rPr>
            <w:t>Choose an item.</w:t>
          </w:r>
        </w:p>
      </w:docPartBody>
    </w:docPart>
    <w:docPart>
      <w:docPartPr>
        <w:name w:val="636D5753A3A84BDF99055923D5FE0465"/>
        <w:category>
          <w:name w:val="General"/>
          <w:gallery w:val="placeholder"/>
        </w:category>
        <w:types>
          <w:type w:val="bbPlcHdr"/>
        </w:types>
        <w:behaviors>
          <w:behavior w:val="content"/>
        </w:behaviors>
        <w:guid w:val="{1747459C-882A-4968-8A19-DFA0729FD48C}"/>
      </w:docPartPr>
      <w:docPartBody>
        <w:p w:rsidR="006B5CC7" w:rsidRDefault="00973D54" w:rsidP="00973D54">
          <w:pPr>
            <w:pStyle w:val="636D5753A3A84BDF99055923D5FE0465"/>
          </w:pPr>
          <w:r w:rsidRPr="00387CEE">
            <w:rPr>
              <w:rStyle w:val="PlaceholderText"/>
            </w:rPr>
            <w:t>Choose an item.</w:t>
          </w:r>
        </w:p>
      </w:docPartBody>
    </w:docPart>
    <w:docPart>
      <w:docPartPr>
        <w:name w:val="E101E6FFD7CC416D948C43438B729E56"/>
        <w:category>
          <w:name w:val="General"/>
          <w:gallery w:val="placeholder"/>
        </w:category>
        <w:types>
          <w:type w:val="bbPlcHdr"/>
        </w:types>
        <w:behaviors>
          <w:behavior w:val="content"/>
        </w:behaviors>
        <w:guid w:val="{3355C464-D2C0-4AB6-8B32-34826BB26648}"/>
      </w:docPartPr>
      <w:docPartBody>
        <w:p w:rsidR="006B5CC7" w:rsidRDefault="00973D54" w:rsidP="00973D54">
          <w:pPr>
            <w:pStyle w:val="E101E6FFD7CC416D948C43438B729E56"/>
          </w:pPr>
          <w:r w:rsidRPr="00387CE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C0"/>
    <w:rsid w:val="000503C7"/>
    <w:rsid w:val="0008001D"/>
    <w:rsid w:val="000C706C"/>
    <w:rsid w:val="00112D71"/>
    <w:rsid w:val="001430C8"/>
    <w:rsid w:val="0035731C"/>
    <w:rsid w:val="003A08E2"/>
    <w:rsid w:val="003A1E72"/>
    <w:rsid w:val="003A412D"/>
    <w:rsid w:val="0050060D"/>
    <w:rsid w:val="0052639A"/>
    <w:rsid w:val="005323C0"/>
    <w:rsid w:val="005410AA"/>
    <w:rsid w:val="0061793F"/>
    <w:rsid w:val="00652447"/>
    <w:rsid w:val="00655CA6"/>
    <w:rsid w:val="006B5CC7"/>
    <w:rsid w:val="00970D20"/>
    <w:rsid w:val="00973D54"/>
    <w:rsid w:val="00A34F4A"/>
    <w:rsid w:val="00A45B62"/>
    <w:rsid w:val="00AE272E"/>
    <w:rsid w:val="00B14CC8"/>
    <w:rsid w:val="00BC6C68"/>
    <w:rsid w:val="00C31EB8"/>
    <w:rsid w:val="00D11B47"/>
    <w:rsid w:val="00DB7B84"/>
    <w:rsid w:val="00DD52C0"/>
    <w:rsid w:val="00E31452"/>
    <w:rsid w:val="00E82516"/>
    <w:rsid w:val="00F87864"/>
    <w:rsid w:val="00FA3D10"/>
    <w:rsid w:val="00FD3320"/>
    <w:rsid w:val="00FF589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D20"/>
    <w:rPr>
      <w:color w:val="666666"/>
    </w:rPr>
  </w:style>
  <w:style w:type="paragraph" w:customStyle="1" w:styleId="5B4C920749E24607BA0E2D194F2D194E">
    <w:name w:val="5B4C920749E24607BA0E2D194F2D194E"/>
    <w:rsid w:val="00BC6C68"/>
  </w:style>
  <w:style w:type="paragraph" w:customStyle="1" w:styleId="636D5753A3A84BDF99055923D5FE0465">
    <w:name w:val="636D5753A3A84BDF99055923D5FE0465"/>
    <w:rsid w:val="00973D54"/>
    <w:pPr>
      <w:spacing w:line="259" w:lineRule="auto"/>
    </w:pPr>
    <w:rPr>
      <w:kern w:val="0"/>
      <w:sz w:val="22"/>
      <w:szCs w:val="22"/>
      <w:lang w:eastAsia="zh-CN"/>
      <w14:ligatures w14:val="none"/>
    </w:rPr>
  </w:style>
  <w:style w:type="paragraph" w:customStyle="1" w:styleId="E101E6FFD7CC416D948C43438B729E56">
    <w:name w:val="E101E6FFD7CC416D948C43438B729E56"/>
    <w:rsid w:val="00973D54"/>
    <w:pPr>
      <w:spacing w:line="259" w:lineRule="auto"/>
    </w:pPr>
    <w:rPr>
      <w:kern w:val="0"/>
      <w:sz w:val="22"/>
      <w:szCs w:val="22"/>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marks xmlns="9fe3bad1-0720-407c-ab45-84ffe83212a5" xsi:nil="true"/>
    <Session xmlns="a537dc4b-a62c-4ff4-b1c4-f4263c46cb3d">0</Session>
    <Sorting_x0020_Code xmlns="a537dc4b-a62c-4ff4-b1c4-f4263c46cb3d" xsi:nil="true"/>
    <Meeting_x0020_Document_x0020_Approval xmlns="9fe3bad1-0720-407c-ab45-84ffe83212a5">
      <Url xsi:nil="true"/>
      <Description xsi:nil="true"/>
    </Meeting_x0020_Document_x0020_Approval>
    <SubAgenda xmlns="a537dc4b-a62c-4ff4-b1c4-f4263c46cb3d" xsi:nil="true"/>
    <Document_x0020_Date xmlns="a537dc4b-a62c-4ff4-b1c4-f4263c46cb3d" xsi:nil="true"/>
    <Source_x0020_Site xmlns="a537dc4b-a62c-4ff4-b1c4-f4263c46cb3d" xsi:nil="true"/>
    <IMO_x0020_Body xmlns="a537dc4b-a62c-4ff4-b1c4-f4263c46cb3d">Others</IMO_x0020_Body>
    <Originator xmlns="a537dc4b-a62c-4ff4-b1c4-f4263c46cb3d" xsi:nil="true"/>
    <Document_x0020_Language xmlns="a537dc4b-a62c-4ff4-b1c4-f4263c46cb3d">English</Document_x0020_Language>
    <Approval_x0020_Status xmlns="9fe3bad1-0720-407c-ab45-84ffe83212a5" xsi:nil="true"/>
    <Agenda xmlns="a537dc4b-a62c-4ff4-b1c4-f4263c46cb3d" xsi:nil="true"/>
    <Meeting_x0020_Document_x0020_Approval_x0028_1_x0029_ xmlns="9fe3bad1-0720-407c-ab45-84ffe83212a5">
      <Url xsi:nil="true"/>
      <Description xsi:nil="true"/>
    </Meeting_x0020_Document_x0020_Approval_x0028_1_x0029_>
    <Document_x0020_Symbol xmlns="a537dc4b-a62c-4ff4-b1c4-f4263c46cb3d" xsi:nil="true"/>
    <eDocsSubmissionStatus xmlns="a537dc4b-a62c-4ff4-b1c4-f4263c46cb3d" xsi:nil="true"/>
    <Instruction_x0020_Comments xmlns="a537dc4b-a62c-4ff4-b1c4-f4263c46cb3d" xsi:nil="true"/>
    <Subtitle xmlns="a537dc4b-a62c-4ff4-b1c4-f4263c46cb3d" xsi:nil="true"/>
    <Officers xmlns="a537dc4b-a62c-4ff4-b1c4-f4263c46cb3d">
      <UserInfo>
        <DisplayName/>
        <AccountId xsi:nil="true"/>
        <AccountType/>
      </UserInfo>
    </Officers>
    <_dlc_DocId xmlns="a537dc4b-a62c-4ff4-b1c4-f4263c46cb3d">JEPJ376WV3AP-1049624781-650573</_dlc_DocId>
    <_dlc_DocIdUrl xmlns="a537dc4b-a62c-4ff4-b1c4-f4263c46cb3d">
      <Url>https://imocloud.sharepoint.com/MS/_layouts/15/DocIdRedir.aspx?ID=JEPJ376WV3AP-1049624781-650573</Url>
      <Description>JEPJ376WV3AP-1049624781-650573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Meeting Document (English)" ma:contentTypeID="0x010100B0A7BAB07E1B674A9483E2E00B47EAE4010400EBEC55326A4871409330A5E1AAA970E2" ma:contentTypeVersion="2956" ma:contentTypeDescription="Meeting Document (English)" ma:contentTypeScope="" ma:versionID="3b5e89d975e1185cfd043cf491860751">
  <xsd:schema xmlns:xsd="http://www.w3.org/2001/XMLSchema" xmlns:xs="http://www.w3.org/2001/XMLSchema" xmlns:p="http://schemas.microsoft.com/office/2006/metadata/properties" xmlns:ns2="a537dc4b-a62c-4ff4-b1c4-f4263c46cb3d" xmlns:ns3="9fe3bad1-0720-407c-ab45-84ffe83212a5" targetNamespace="http://schemas.microsoft.com/office/2006/metadata/properties" ma:root="true" ma:fieldsID="674eb4a32821a04f3c94cab32d9eba50" ns2:_="" ns3:_="">
    <xsd:import namespace="a537dc4b-a62c-4ff4-b1c4-f4263c46cb3d"/>
    <xsd:import namespace="9fe3bad1-0720-407c-ab45-84ffe83212a5"/>
    <xsd:element name="properties">
      <xsd:complexType>
        <xsd:sequence>
          <xsd:element name="documentManagement">
            <xsd:complexType>
              <xsd:all>
                <xsd:element ref="ns2:Document_x0020_Language" minOccurs="0"/>
                <xsd:element ref="ns2:Document_x0020_Date" minOccurs="0"/>
                <xsd:element ref="ns2:Document_x0020_Symbol" minOccurs="0"/>
                <xsd:element ref="ns2:Sorting_x0020_Code" minOccurs="0"/>
                <xsd:element ref="ns2:Source_x0020_Site" minOccurs="0"/>
                <xsd:element ref="ns2:Agenda" minOccurs="0"/>
                <xsd:element ref="ns2:Originator" minOccurs="0"/>
                <xsd:element ref="ns2:Session"/>
                <xsd:element ref="ns2:IMO_x0020_Body" minOccurs="0"/>
                <xsd:element ref="ns2:Subtitle" minOccurs="0"/>
                <xsd:element ref="ns2:SubAgenda" minOccurs="0"/>
                <xsd:element ref="ns2:Instruction_x0020_Comments" minOccurs="0"/>
                <xsd:element ref="ns2:eDocsSubmissionStatus" minOccurs="0"/>
                <xsd:element ref="ns2:Officers" minOccurs="0"/>
                <xsd:element ref="ns2:_dlc_DocId" minOccurs="0"/>
                <xsd:element ref="ns2:_dlc_DocIdUrl" minOccurs="0"/>
                <xsd:element ref="ns2:_dlc_DocIdPersistId" minOccurs="0"/>
                <xsd:element ref="ns3:Remark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eting_x0020_Document_x0020_Approval" minOccurs="0"/>
                <xsd:element ref="ns3:Approval_x0020_Status" minOccurs="0"/>
                <xsd:element ref="ns3:Meeting_x0020_Document_x0020_Approval_x0028_1_x0029_"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7dc4b-a62c-4ff4-b1c4-f4263c46cb3d" elementFormDefault="qualified">
    <xsd:import namespace="http://schemas.microsoft.com/office/2006/documentManagement/types"/>
    <xsd:import namespace="http://schemas.microsoft.com/office/infopath/2007/PartnerControls"/>
    <xsd:element name="Document_x0020_Language" ma:index="2" nillable="true" ma:displayName="Document Language" ma:default="English" ma:format="Dropdown" ma:internalName="Document_x0020_Language" ma:readOnly="false">
      <xsd:simpleType>
        <xsd:restriction base="dms:Choice">
          <xsd:enumeration value="English"/>
          <xsd:enumeration value="French"/>
          <xsd:enumeration value="Spanish"/>
          <xsd:enumeration value="Arabic"/>
          <xsd:enumeration value="Chinese"/>
          <xsd:enumeration value="Russian"/>
        </xsd:restriction>
      </xsd:simpleType>
    </xsd:element>
    <xsd:element name="Document_x0020_Date" ma:index="3" nillable="true" ma:displayName="Document Date" ma:format="DateOnly" ma:internalName="Document_x0020_Date" ma:readOnly="false">
      <xsd:simpleType>
        <xsd:restriction base="dms:DateTime"/>
      </xsd:simpleType>
    </xsd:element>
    <xsd:element name="Document_x0020_Symbol" ma:index="4" nillable="true" ma:displayName="Document Symbol" ma:internalName="Document_x0020_Symbol" ma:readOnly="false">
      <xsd:simpleType>
        <xsd:restriction base="dms:Text">
          <xsd:maxLength value="255"/>
        </xsd:restriction>
      </xsd:simpleType>
    </xsd:element>
    <xsd:element name="Sorting_x0020_Code" ma:index="5" nillable="true" ma:displayName="Sorting Code" ma:internalName="Sorting_x0020_Code" ma:readOnly="false">
      <xsd:simpleType>
        <xsd:restriction base="dms:Text">
          <xsd:maxLength value="255"/>
        </xsd:restriction>
      </xsd:simpleType>
    </xsd:element>
    <xsd:element name="Source_x0020_Site" ma:index="6" nillable="true" ma:displayName="Source Site" ma:internalName="Source_x0020_Site" ma:readOnly="false">
      <xsd:simpleType>
        <xsd:restriction base="dms:Text">
          <xsd:maxLength value="255"/>
        </xsd:restriction>
      </xsd:simpleType>
    </xsd:element>
    <xsd:element name="Agenda" ma:index="7" nillable="true" ma:displayName="Agenda Item" ma:internalName="Agenda" ma:readOnly="false">
      <xsd:simpleType>
        <xsd:restriction base="dms:Text">
          <xsd:maxLength value="255"/>
        </xsd:restriction>
      </xsd:simpleType>
    </xsd:element>
    <xsd:element name="Originator" ma:index="8" nillable="true" ma:displayName="Originator" ma:internalName="Originator" ma:readOnly="false">
      <xsd:simpleType>
        <xsd:restriction base="dms:Text">
          <xsd:maxLength value="255"/>
        </xsd:restriction>
      </xsd:simpleType>
    </xsd:element>
    <xsd:element name="Session" ma:index="9" ma:displayName="Session" ma:decimals="0" ma:default="0" ma:internalName="Session" ma:readOnly="false" ma:percentage="FALSE">
      <xsd:simpleType>
        <xsd:restriction base="dms:Number">
          <xsd:minInclusive value="0"/>
        </xsd:restriction>
      </xsd:simpleType>
    </xsd:element>
    <xsd:element name="IMO_x0020_Body" ma:index="10" nillable="true" ma:displayName="IMO Body" ma:default="Others" ma:format="Dropdown" ma:internalName="IMO_x0020_Body" ma:readOnly="false">
      <xsd:simpleType>
        <xsd:restriction base="dms:Choice">
          <xsd:enumeration value="A"/>
          <xsd:enumeration value="C"/>
          <xsd:enumeration value="C/ES"/>
          <xsd:enumeration value="C/L"/>
          <xsd:enumeration value="CCC"/>
          <xsd:enumeration value="Circ"/>
          <xsd:enumeration value="FAL"/>
          <xsd:enumeration value="HTW"/>
          <xsd:enumeration value="III"/>
          <xsd:enumeration value="J"/>
          <xsd:enumeration value="LC"/>
          <xsd:enumeration value="LEG"/>
          <xsd:enumeration value="LP-CG"/>
          <xsd:enumeration value="MEPC"/>
          <xsd:enumeration value="MSC"/>
          <xsd:enumeration value="NCSR"/>
          <xsd:enumeration value="NV"/>
          <xsd:enumeration value="PPR"/>
          <xsd:enumeration value="SDC"/>
          <xsd:enumeration value="SSE"/>
          <xsd:enumeration value="TC"/>
          <xsd:enumeration value="Others"/>
        </xsd:restriction>
      </xsd:simpleType>
    </xsd:element>
    <xsd:element name="Subtitle" ma:index="11" nillable="true" ma:displayName="Subtitle" ma:internalName="Subtitle" ma:readOnly="false">
      <xsd:simpleType>
        <xsd:restriction base="dms:Text">
          <xsd:maxLength value="255"/>
        </xsd:restriction>
      </xsd:simpleType>
    </xsd:element>
    <xsd:element name="SubAgenda" ma:index="12" nillable="true" ma:displayName="SubAgenda" ma:internalName="SubAgenda" ma:readOnly="false">
      <xsd:simpleType>
        <xsd:restriction base="dms:Text">
          <xsd:maxLength value="255"/>
        </xsd:restriction>
      </xsd:simpleType>
    </xsd:element>
    <xsd:element name="Instruction_x0020_Comments" ma:index="13" nillable="true" ma:displayName="Instruction Comments" ma:internalName="Instruction_x0020_Comments" ma:readOnly="false">
      <xsd:simpleType>
        <xsd:restriction base="dms:Text">
          <xsd:maxLength value="255"/>
        </xsd:restriction>
      </xsd:simpleType>
    </xsd:element>
    <xsd:element name="eDocsSubmissionStatus" ma:index="14" nillable="true" ma:displayName="Submission Status" ma:format="Dropdown" ma:internalName="eDocsSubmissionStatus">
      <xsd:simpleType>
        <xsd:restriction base="dms:Choice">
          <xsd:enumeration value="Pending L1"/>
          <xsd:enumeration value="Pending L2"/>
          <xsd:enumeration value="Approved"/>
          <xsd:enumeration value="Rejected"/>
        </xsd:restriction>
      </xsd:simpleType>
    </xsd:element>
    <xsd:element name="Officers" ma:index="15" nillable="true" ma:displayName="Officers" ma:description="Responsible secretaries" ma:list="UserInfo" ma:SharePointGroup="0" ma:internalName="Officers"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6" nillable="true" ma:displayName="Document ID Value" ma:description="The value of the document ID assigned to this item." ma:indexed="true"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fe3bad1-0720-407c-ab45-84ffe83212a5" elementFormDefault="qualified">
    <xsd:import namespace="http://schemas.microsoft.com/office/2006/documentManagement/types"/>
    <xsd:import namespace="http://schemas.microsoft.com/office/infopath/2007/PartnerControls"/>
    <xsd:element name="Remarks" ma:index="25" nillable="true" ma:displayName="Remarks" ma:format="Dropdown" ma:internalName="Remarks">
      <xsd:simpleType>
        <xsd:restriction base="dms:Note">
          <xsd:maxLength value="255"/>
        </xsd:restriction>
      </xsd:simpleType>
    </xsd:element>
    <xsd:element name="MediaServiceAutoTags" ma:index="26" nillable="true" ma:displayName="Tags" ma:internalName="MediaServiceAutoTags"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DateTaken" ma:index="29" nillable="true" ma:displayName="MediaServiceDateTaken" ma:hidden="true" ma:internalName="MediaServiceDateTaken" ma:readOnly="true">
      <xsd:simpleType>
        <xsd:restriction base="dms:Text"/>
      </xsd:simpleType>
    </xsd:element>
    <xsd:element name="MediaServiceLocation" ma:index="30" nillable="true" ma:displayName="Location" ma:internalName="MediaServiceLocation"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eting_x0020_Document_x0020_Approval" ma:index="32" nillable="true" ma:displayName="Meeting Document Approval" ma:internalName="Meeting_x0020_Document_x0020_Approval">
      <xsd:complexType>
        <xsd:complexContent>
          <xsd:extension base="dms:URL">
            <xsd:sequence>
              <xsd:element name="Url" type="dms:ValidUrl" minOccurs="0" nillable="true"/>
              <xsd:element name="Description" type="xsd:string" nillable="true"/>
            </xsd:sequence>
          </xsd:extension>
        </xsd:complexContent>
      </xsd:complexType>
    </xsd:element>
    <xsd:element name="Approval_x0020_Status" ma:index="33" nillable="true" ma:displayName="Approval Status" ma:format="Dropdown" ma:indexed="true" ma:internalName="Approval_x0020_Status">
      <xsd:simpleType>
        <xsd:restriction base="dms:Choice">
          <xsd:enumeration value="Pending Level 1 Approvers"/>
          <xsd:enumeration value="Pending Level 2 Approvers"/>
          <xsd:enumeration value="Pending Level 3 Approvers"/>
          <xsd:enumeration value="Approved"/>
          <xsd:enumeration value="Returned"/>
        </xsd:restriction>
      </xsd:simpleType>
    </xsd:element>
    <xsd:element name="Meeting_x0020_Document_x0020_Approval_x0028_1_x0029_" ma:index="34" nillable="true" ma:displayName="Meeting Document Approval" ma:internalName="Meeting_x0020_Document_x0020_Approval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3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36F446-74E6-419D-8B85-A84E2DBDD53D}">
  <ds:schemaRefs>
    <ds:schemaRef ds:uri="http://schemas.microsoft.com/office/2006/metadata/properties"/>
    <ds:schemaRef ds:uri="http://schemas.microsoft.com/office/infopath/2007/PartnerControls"/>
    <ds:schemaRef ds:uri="9fe3bad1-0720-407c-ab45-84ffe83212a5"/>
    <ds:schemaRef ds:uri="a537dc4b-a62c-4ff4-b1c4-f4263c46cb3d"/>
  </ds:schemaRefs>
</ds:datastoreItem>
</file>

<file path=customXml/itemProps2.xml><?xml version="1.0" encoding="utf-8"?>
<ds:datastoreItem xmlns:ds="http://schemas.openxmlformats.org/officeDocument/2006/customXml" ds:itemID="{CF77E9BA-F1AC-43F8-A445-3DDD453ED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7dc4b-a62c-4ff4-b1c4-f4263c46cb3d"/>
    <ds:schemaRef ds:uri="9fe3bad1-0720-407c-ab45-84ffe8321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5026F3-25D8-481A-B94B-393ED9528754}">
  <ds:schemaRefs>
    <ds:schemaRef ds:uri="http://schemas.microsoft.com/sharepoint/events"/>
  </ds:schemaRefs>
</ds:datastoreItem>
</file>

<file path=customXml/itemProps4.xml><?xml version="1.0" encoding="utf-8"?>
<ds:datastoreItem xmlns:ds="http://schemas.openxmlformats.org/officeDocument/2006/customXml" ds:itemID="{7E8BE517-5268-4500-85F4-D3C538C694D7}">
  <ds:schemaRefs>
    <ds:schemaRef ds:uri="http://schemas.openxmlformats.org/officeDocument/2006/bibliography"/>
  </ds:schemaRefs>
</ds:datastoreItem>
</file>

<file path=customXml/itemProps5.xml><?xml version="1.0" encoding="utf-8"?>
<ds:datastoreItem xmlns:ds="http://schemas.openxmlformats.org/officeDocument/2006/customXml" ds:itemID="{071EB11B-5673-4935-BB46-DE5AA1AED9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Natrajan</dc:creator>
  <cp:keywords/>
  <dc:description/>
  <cp:lastModifiedBy>Arvind Natrajan</cp:lastModifiedBy>
  <cp:revision>57</cp:revision>
  <dcterms:created xsi:type="dcterms:W3CDTF">2024-04-15T10:38:00Z</dcterms:created>
  <dcterms:modified xsi:type="dcterms:W3CDTF">2024-05-29T07:47:00Z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0x010100B0A7BAB07E1B674A9483E2E00B47EAE4010400EBEC55326A4871409330A5E1AAA970E2</vt:lpwstr>
  </property>
  <property fmtid="{D5CDD505-2E9C-101B-9397-08002B2CF9AE}" pid="3" name="_dlc_DocIdItemGuid">
    <vt:lpwstr>e6c09bcc-32f8-4dad-81b5-27fa8a07abcf</vt:lpwstr>
  </property>
  <property fmtid="{D5CDD505-2E9C-101B-9397-08002B2CF9AE}" pid="4" name="SharedWithUsers">
    <vt:lpwstr>240;#Jongchul Park;#169;#Bingbing  Song;#249;#Ismael Cobos Delgado</vt:lpwstr>
  </property>
</Properties>
</file>