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88F2A" w14:textId="52D7ADB4" w:rsidR="00FB31C8" w:rsidRPr="003654FA" w:rsidRDefault="00FB31C8" w:rsidP="00FB31C8">
      <w:pPr>
        <w:jc w:val="center"/>
        <w:rPr>
          <w:rFonts w:ascii="Arial" w:hAnsi="Arial" w:cs="Arial"/>
          <w:b/>
          <w:bCs/>
          <w:color w:val="000000" w:themeColor="text1"/>
          <w:sz w:val="40"/>
          <w:szCs w:val="40"/>
        </w:rPr>
      </w:pPr>
      <w:r w:rsidRPr="003654FA">
        <w:rPr>
          <w:rFonts w:ascii="Arial" w:hAnsi="Arial" w:cs="Arial"/>
          <w:b/>
          <w:bCs/>
          <w:color w:val="000000" w:themeColor="text1"/>
          <w:sz w:val="40"/>
          <w:szCs w:val="40"/>
        </w:rPr>
        <w:t>IIT Bombay Recruitment</w:t>
      </w:r>
    </w:p>
    <w:p w14:paraId="43E10383" w14:textId="77777777" w:rsidR="00FB31C8" w:rsidRPr="003654FA" w:rsidRDefault="00FB31C8" w:rsidP="00FB31C8">
      <w:pPr>
        <w:rPr>
          <w:rFonts w:ascii="Arial" w:hAnsi="Arial" w:cs="Arial"/>
          <w:b/>
          <w:bCs/>
          <w:color w:val="000000" w:themeColor="text1"/>
          <w:sz w:val="28"/>
          <w:szCs w:val="28"/>
        </w:rPr>
      </w:pPr>
    </w:p>
    <w:p w14:paraId="372FB66C" w14:textId="59B75BD5" w:rsidR="00FB31C8" w:rsidRPr="003654FA" w:rsidRDefault="00FB31C8" w:rsidP="00FB31C8">
      <w:pPr>
        <w:rPr>
          <w:rFonts w:ascii="Arial" w:hAnsi="Arial" w:cs="Arial"/>
          <w:b/>
          <w:bCs/>
          <w:color w:val="000000" w:themeColor="text1"/>
          <w:sz w:val="28"/>
          <w:szCs w:val="28"/>
        </w:rPr>
      </w:pPr>
      <w:r w:rsidRPr="003654FA">
        <w:rPr>
          <w:rFonts w:ascii="Arial" w:hAnsi="Arial" w:cs="Arial"/>
          <w:b/>
          <w:bCs/>
          <w:color w:val="000000" w:themeColor="text1"/>
          <w:sz w:val="28"/>
          <w:szCs w:val="28"/>
        </w:rPr>
        <w:t>W</w:t>
      </w:r>
      <w:r w:rsidRPr="003654FA">
        <w:rPr>
          <w:rFonts w:ascii="Arial" w:hAnsi="Arial" w:cs="Arial"/>
          <w:b/>
          <w:bCs/>
          <w:color w:val="000000" w:themeColor="text1"/>
          <w:sz w:val="28"/>
          <w:szCs w:val="28"/>
        </w:rPr>
        <w:t xml:space="preserve">hat is </w:t>
      </w:r>
      <w:r w:rsidRPr="003654FA">
        <w:rPr>
          <w:rFonts w:ascii="Arial" w:hAnsi="Arial" w:cs="Arial"/>
          <w:b/>
          <w:bCs/>
          <w:color w:val="000000" w:themeColor="text1"/>
          <w:sz w:val="28"/>
          <w:szCs w:val="28"/>
        </w:rPr>
        <w:t>IIT</w:t>
      </w:r>
      <w:r w:rsidRPr="003654FA">
        <w:rPr>
          <w:rFonts w:ascii="Arial" w:hAnsi="Arial" w:cs="Arial"/>
          <w:b/>
          <w:bCs/>
          <w:color w:val="000000" w:themeColor="text1"/>
          <w:sz w:val="28"/>
          <w:szCs w:val="28"/>
        </w:rPr>
        <w:t xml:space="preserve"> </w:t>
      </w:r>
      <w:r w:rsidRPr="003654FA">
        <w:rPr>
          <w:rFonts w:ascii="Arial" w:hAnsi="Arial" w:cs="Arial"/>
          <w:b/>
          <w:bCs/>
          <w:color w:val="000000" w:themeColor="text1"/>
          <w:sz w:val="28"/>
          <w:szCs w:val="28"/>
        </w:rPr>
        <w:t>B</w:t>
      </w:r>
      <w:r w:rsidRPr="003654FA">
        <w:rPr>
          <w:rFonts w:ascii="Arial" w:hAnsi="Arial" w:cs="Arial"/>
          <w:b/>
          <w:bCs/>
          <w:color w:val="000000" w:themeColor="text1"/>
          <w:sz w:val="28"/>
          <w:szCs w:val="28"/>
        </w:rPr>
        <w:t>ombay</w:t>
      </w:r>
      <w:r w:rsidRPr="003654FA">
        <w:rPr>
          <w:rFonts w:ascii="Arial" w:hAnsi="Arial" w:cs="Arial"/>
          <w:b/>
          <w:bCs/>
          <w:color w:val="000000" w:themeColor="text1"/>
          <w:sz w:val="28"/>
          <w:szCs w:val="28"/>
        </w:rPr>
        <w:t>?</w:t>
      </w:r>
    </w:p>
    <w:p w14:paraId="6A4ADF4E" w14:textId="3D26C221" w:rsidR="00FB31C8" w:rsidRPr="003654FA" w:rsidRDefault="00FB31C8" w:rsidP="00FB31C8">
      <w:pPr>
        <w:rPr>
          <w:rFonts w:ascii="Arial" w:hAnsi="Arial" w:cs="Arial"/>
          <w:color w:val="000000" w:themeColor="text1"/>
          <w:shd w:val="clear" w:color="auto" w:fill="FFFFFF"/>
        </w:rPr>
      </w:pPr>
      <w:r w:rsidRPr="003654FA">
        <w:rPr>
          <w:rFonts w:ascii="Arial" w:hAnsi="Arial" w:cs="Arial"/>
          <w:color w:val="000000" w:themeColor="text1"/>
          <w:shd w:val="clear" w:color="auto" w:fill="FFFFFF"/>
        </w:rPr>
        <w:t xml:space="preserve">Established in 1958, the second of its kind, IIT Bombay was the first to be set up with foreign assistance. The funds from UNESCO came as Roubles from the then Soviet Union. In 1961 Parliament decreed </w:t>
      </w:r>
      <w:r w:rsidRPr="003654FA">
        <w:rPr>
          <w:rFonts w:ascii="Arial" w:hAnsi="Arial" w:cs="Arial"/>
          <w:color w:val="000000" w:themeColor="text1"/>
          <w:shd w:val="clear" w:color="auto" w:fill="FFFFFF"/>
        </w:rPr>
        <w:t>the IITs</w:t>
      </w:r>
      <w:r w:rsidRPr="003654FA">
        <w:rPr>
          <w:rFonts w:ascii="Arial" w:hAnsi="Arial" w:cs="Arial"/>
          <w:color w:val="000000" w:themeColor="text1"/>
          <w:shd w:val="clear" w:color="auto" w:fill="FFFFFF"/>
        </w:rPr>
        <w:t xml:space="preserve"> </w:t>
      </w:r>
      <w:r w:rsidRPr="003654FA">
        <w:rPr>
          <w:rFonts w:ascii="Arial" w:hAnsi="Arial" w:cs="Arial"/>
          <w:color w:val="000000" w:themeColor="text1"/>
          <w:shd w:val="clear" w:color="auto" w:fill="FFFFFF"/>
        </w:rPr>
        <w:t>as ‘</w:t>
      </w:r>
      <w:r w:rsidRPr="003654FA">
        <w:rPr>
          <w:rFonts w:ascii="Arial" w:hAnsi="Arial" w:cs="Arial"/>
          <w:color w:val="000000" w:themeColor="text1"/>
          <w:shd w:val="clear" w:color="auto" w:fill="FFFFFF"/>
        </w:rPr>
        <w:t>Institutes of National Importance'. Since then, IITB has grown from strength to strength to emerge as one of the top technical universities in the world.</w:t>
      </w:r>
    </w:p>
    <w:p w14:paraId="4D0A7EBF" w14:textId="655F1059" w:rsidR="00FB31C8" w:rsidRPr="003654FA" w:rsidRDefault="00FB31C8" w:rsidP="00FB31C8">
      <w:pPr>
        <w:rPr>
          <w:rFonts w:ascii="Arial" w:hAnsi="Arial" w:cs="Arial"/>
          <w:color w:val="000000" w:themeColor="text1"/>
          <w:shd w:val="clear" w:color="auto" w:fill="FFFFFF"/>
        </w:rPr>
      </w:pPr>
      <w:r w:rsidRPr="003654FA">
        <w:rPr>
          <w:rFonts w:ascii="Arial" w:hAnsi="Arial" w:cs="Arial"/>
          <w:color w:val="000000" w:themeColor="text1"/>
          <w:shd w:val="clear" w:color="auto" w:fill="FFFFFF"/>
        </w:rPr>
        <w:t xml:space="preserve">IIT Bombay also builds links with peer universities and institutes, both at the national and the international levels, to enhance research and enrich its educational programmes. The alumni have distinguished themselves through their achievements in and contributions to industry, academics, research, business, </w:t>
      </w:r>
      <w:r w:rsidR="007041C3" w:rsidRPr="003654FA">
        <w:rPr>
          <w:rFonts w:ascii="Arial" w:hAnsi="Arial" w:cs="Arial"/>
          <w:color w:val="000000" w:themeColor="text1"/>
          <w:shd w:val="clear" w:color="auto" w:fill="FFFFFF"/>
        </w:rPr>
        <w:t>government,</w:t>
      </w:r>
      <w:r w:rsidRPr="003654FA">
        <w:rPr>
          <w:rFonts w:ascii="Arial" w:hAnsi="Arial" w:cs="Arial"/>
          <w:color w:val="000000" w:themeColor="text1"/>
          <w:shd w:val="clear" w:color="auto" w:fill="FFFFFF"/>
        </w:rPr>
        <w:t xml:space="preserve"> and social domains.</w:t>
      </w:r>
    </w:p>
    <w:p w14:paraId="074423C9" w14:textId="1FC5F668" w:rsidR="00FB31C8" w:rsidRPr="003654FA" w:rsidRDefault="00FB31C8" w:rsidP="00FB31C8">
      <w:pPr>
        <w:rPr>
          <w:rFonts w:ascii="Arial" w:eastAsia="Times New Roman" w:hAnsi="Arial" w:cs="Arial"/>
          <w:b/>
          <w:bCs/>
          <w:color w:val="000000" w:themeColor="text1"/>
          <w:kern w:val="36"/>
          <w:sz w:val="28"/>
          <w:szCs w:val="28"/>
          <w:lang w:eastAsia="en-IN"/>
        </w:rPr>
      </w:pPr>
      <w:r w:rsidRPr="003654FA">
        <w:rPr>
          <w:rFonts w:ascii="Arial" w:eastAsia="Times New Roman" w:hAnsi="Arial" w:cs="Arial"/>
          <w:b/>
          <w:bCs/>
          <w:color w:val="000000" w:themeColor="text1"/>
          <w:kern w:val="36"/>
          <w:sz w:val="28"/>
          <w:szCs w:val="28"/>
          <w:lang w:eastAsia="en-IN"/>
        </w:rPr>
        <w:t xml:space="preserve">What is the </w:t>
      </w:r>
      <w:r w:rsidRPr="00FB31C8">
        <w:rPr>
          <w:rFonts w:ascii="Arial" w:eastAsia="Times New Roman" w:hAnsi="Arial" w:cs="Arial"/>
          <w:b/>
          <w:bCs/>
          <w:color w:val="000000" w:themeColor="text1"/>
          <w:kern w:val="36"/>
          <w:sz w:val="28"/>
          <w:szCs w:val="28"/>
          <w:lang w:eastAsia="en-IN"/>
        </w:rPr>
        <w:t xml:space="preserve">Jobs </w:t>
      </w:r>
      <w:r w:rsidRPr="003654FA">
        <w:rPr>
          <w:rFonts w:ascii="Arial" w:eastAsia="Times New Roman" w:hAnsi="Arial" w:cs="Arial"/>
          <w:b/>
          <w:bCs/>
          <w:color w:val="000000" w:themeColor="text1"/>
          <w:kern w:val="36"/>
          <w:sz w:val="28"/>
          <w:szCs w:val="28"/>
          <w:lang w:eastAsia="en-IN"/>
        </w:rPr>
        <w:t>opportunity</w:t>
      </w:r>
      <w:r w:rsidRPr="003654FA">
        <w:rPr>
          <w:rFonts w:ascii="Arial" w:eastAsia="Times New Roman" w:hAnsi="Arial" w:cs="Arial"/>
          <w:b/>
          <w:bCs/>
          <w:color w:val="000000" w:themeColor="text1"/>
          <w:kern w:val="36"/>
          <w:sz w:val="28"/>
          <w:szCs w:val="28"/>
          <w:lang w:eastAsia="en-IN"/>
        </w:rPr>
        <w:t xml:space="preserve"> </w:t>
      </w:r>
      <w:r w:rsidRPr="00FB31C8">
        <w:rPr>
          <w:rFonts w:ascii="Arial" w:eastAsia="Times New Roman" w:hAnsi="Arial" w:cs="Arial"/>
          <w:b/>
          <w:bCs/>
          <w:color w:val="000000" w:themeColor="text1"/>
          <w:kern w:val="36"/>
          <w:sz w:val="28"/>
          <w:szCs w:val="28"/>
          <w:lang w:eastAsia="en-IN"/>
        </w:rPr>
        <w:t>at IIT Bombay</w:t>
      </w:r>
      <w:r w:rsidRPr="003654FA">
        <w:rPr>
          <w:rFonts w:ascii="Arial" w:eastAsia="Times New Roman" w:hAnsi="Arial" w:cs="Arial"/>
          <w:b/>
          <w:bCs/>
          <w:color w:val="000000" w:themeColor="text1"/>
          <w:kern w:val="36"/>
          <w:sz w:val="28"/>
          <w:szCs w:val="28"/>
          <w:lang w:eastAsia="en-IN"/>
        </w:rPr>
        <w:t>?</w:t>
      </w:r>
    </w:p>
    <w:p w14:paraId="02F15604" w14:textId="77777777" w:rsidR="00FB31C8" w:rsidRPr="003654FA" w:rsidRDefault="00FB31C8" w:rsidP="00FB31C8">
      <w:pPr>
        <w:rPr>
          <w:rFonts w:ascii="Arial" w:hAnsi="Arial" w:cs="Arial"/>
          <w:color w:val="000000" w:themeColor="text1"/>
          <w:shd w:val="clear" w:color="auto" w:fill="FFFFFF"/>
        </w:rPr>
      </w:pPr>
      <w:r w:rsidRPr="003654FA">
        <w:rPr>
          <w:rFonts w:ascii="Arial" w:hAnsi="Arial" w:cs="Arial"/>
          <w:color w:val="000000" w:themeColor="text1"/>
          <w:shd w:val="clear" w:color="auto" w:fill="FFFFFF"/>
        </w:rPr>
        <w:t>The members of the faculty of IIT Bombay are engaged in a wide range of activities besides substantial academic and research commitments. They contribute significantly to the country's growth in science and technology by making their services available to various national and state level committees. A highly motivated staff support the institute's general administration, teaching and research. IITB provides a reasonably flat organisational environment and work culture for both its faculty and staff</w:t>
      </w:r>
      <w:r w:rsidRPr="003654FA">
        <w:rPr>
          <w:rFonts w:ascii="Arial" w:hAnsi="Arial" w:cs="Arial"/>
          <w:color w:val="000000" w:themeColor="text1"/>
          <w:shd w:val="clear" w:color="auto" w:fill="FFFFFF"/>
        </w:rPr>
        <w:t>.</w:t>
      </w:r>
    </w:p>
    <w:p w14:paraId="2F7AB137" w14:textId="7F7D9B69" w:rsidR="00FB31C8" w:rsidRPr="003654FA" w:rsidRDefault="00FB31C8" w:rsidP="00FB31C8">
      <w:pPr>
        <w:rPr>
          <w:rFonts w:ascii="Arial" w:hAnsi="Arial" w:cs="Arial"/>
          <w:b/>
          <w:bCs/>
          <w:color w:val="000000" w:themeColor="text1"/>
          <w:sz w:val="28"/>
          <w:szCs w:val="28"/>
        </w:rPr>
      </w:pPr>
      <w:r w:rsidRPr="003654FA">
        <w:rPr>
          <w:rFonts w:ascii="Arial" w:hAnsi="Arial" w:cs="Arial"/>
          <w:b/>
          <w:bCs/>
          <w:color w:val="000000" w:themeColor="text1"/>
          <w:sz w:val="28"/>
          <w:szCs w:val="28"/>
        </w:rPr>
        <w:t>Faculty Recruitment</w:t>
      </w:r>
    </w:p>
    <w:p w14:paraId="0CAFD079" w14:textId="77777777" w:rsidR="007041C3" w:rsidRPr="007041C3" w:rsidRDefault="007041C3" w:rsidP="007041C3">
      <w:pPr>
        <w:shd w:val="clear" w:color="auto" w:fill="FFFFFF"/>
        <w:spacing w:after="225" w:line="240" w:lineRule="auto"/>
        <w:jc w:val="both"/>
        <w:rPr>
          <w:rFonts w:ascii="Arial" w:eastAsia="Times New Roman" w:hAnsi="Arial" w:cs="Arial"/>
          <w:color w:val="000000" w:themeColor="text1"/>
          <w:lang w:eastAsia="en-IN"/>
        </w:rPr>
      </w:pPr>
      <w:r w:rsidRPr="007041C3">
        <w:rPr>
          <w:rFonts w:ascii="Arial" w:eastAsia="Times New Roman" w:hAnsi="Arial" w:cs="Arial"/>
          <w:color w:val="000000" w:themeColor="text1"/>
          <w:lang w:eastAsia="en-IN"/>
        </w:rPr>
        <w:t>Indian Institute of Technology Bombay (IIT Bombay), an Institute of Eminence, invites applications from well qualified Indian nationals (including Persons of Indian Origins (PIOs) and Overseas Citizens of India (OCIs) and Foreign Nationals* for Faculty positions at the level of Professor / Associate Professor.</w:t>
      </w:r>
    </w:p>
    <w:p w14:paraId="4FDD6030" w14:textId="77777777" w:rsidR="007041C3" w:rsidRPr="007041C3" w:rsidRDefault="007041C3" w:rsidP="007041C3">
      <w:pPr>
        <w:shd w:val="clear" w:color="auto" w:fill="FFFFFF"/>
        <w:spacing w:after="225" w:line="240" w:lineRule="auto"/>
        <w:jc w:val="both"/>
        <w:rPr>
          <w:rFonts w:ascii="Arial" w:eastAsia="Times New Roman" w:hAnsi="Arial" w:cs="Arial"/>
          <w:color w:val="000000" w:themeColor="text1"/>
          <w:lang w:eastAsia="en-IN"/>
        </w:rPr>
      </w:pPr>
      <w:r w:rsidRPr="007041C3">
        <w:rPr>
          <w:rFonts w:ascii="Arial" w:eastAsia="Times New Roman" w:hAnsi="Arial" w:cs="Arial"/>
          <w:color w:val="000000" w:themeColor="text1"/>
          <w:lang w:eastAsia="en-IN"/>
        </w:rPr>
        <w:t>*Foreign National (who does not have either an Indian passport or PIO/OCI card) will be offered contractual position up to 5 years. The appointment can be renewed thereafter.</w:t>
      </w:r>
    </w:p>
    <w:p w14:paraId="10C001B0" w14:textId="24B9C496" w:rsidR="00FB31C8" w:rsidRPr="003654FA" w:rsidRDefault="007041C3" w:rsidP="00FB31C8">
      <w:pPr>
        <w:rPr>
          <w:rFonts w:ascii="Arial" w:hAnsi="Arial" w:cs="Arial"/>
          <w:b/>
          <w:bCs/>
          <w:color w:val="000000" w:themeColor="text1"/>
          <w:sz w:val="28"/>
          <w:szCs w:val="28"/>
          <w:shd w:val="clear" w:color="auto" w:fill="FFFFFF"/>
        </w:rPr>
      </w:pPr>
      <w:r w:rsidRPr="003654FA">
        <w:rPr>
          <w:rFonts w:ascii="Arial" w:hAnsi="Arial" w:cs="Arial"/>
          <w:b/>
          <w:bCs/>
          <w:color w:val="000000" w:themeColor="text1"/>
          <w:sz w:val="28"/>
          <w:szCs w:val="28"/>
          <w:shd w:val="clear" w:color="auto" w:fill="FFFFFF"/>
        </w:rPr>
        <w:t>What are the facilities for Faculty?</w:t>
      </w:r>
    </w:p>
    <w:p w14:paraId="4D4AA370" w14:textId="77777777" w:rsidR="007041C3" w:rsidRPr="003654FA" w:rsidRDefault="007041C3" w:rsidP="007041C3">
      <w:pPr>
        <w:rPr>
          <w:rFonts w:ascii="Arial" w:hAnsi="Arial" w:cs="Arial"/>
          <w:color w:val="000000" w:themeColor="text1"/>
          <w:shd w:val="clear" w:color="auto" w:fill="FFFFFF"/>
        </w:rPr>
      </w:pPr>
      <w:r w:rsidRPr="003654FA">
        <w:rPr>
          <w:rFonts w:ascii="Arial" w:hAnsi="Arial" w:cs="Arial"/>
          <w:color w:val="000000" w:themeColor="text1"/>
          <w:shd w:val="clear" w:color="auto" w:fill="FFFFFF"/>
        </w:rPr>
        <w:t>IIT Bombay has adopted a well-planned, inclusive approach to receive new faculty, which is also expected to enable his/her prompt integration into the institute’s academic and research system. Select such offerings and resources available to individuals joining the academic community of IIT Bombay are listed below.</w:t>
      </w:r>
    </w:p>
    <w:p w14:paraId="54453006" w14:textId="2AB69AA8" w:rsidR="007041C3" w:rsidRPr="003654FA" w:rsidRDefault="007041C3" w:rsidP="007041C3">
      <w:pPr>
        <w:rPr>
          <w:rFonts w:ascii="Arial" w:hAnsi="Arial" w:cs="Arial"/>
          <w:b/>
          <w:bCs/>
          <w:color w:val="000000" w:themeColor="text1"/>
          <w:sz w:val="28"/>
          <w:szCs w:val="28"/>
        </w:rPr>
      </w:pPr>
      <w:r w:rsidRPr="003654FA">
        <w:rPr>
          <w:rFonts w:ascii="Arial" w:hAnsi="Arial" w:cs="Arial"/>
          <w:b/>
          <w:bCs/>
          <w:color w:val="000000" w:themeColor="text1"/>
          <w:sz w:val="28"/>
          <w:szCs w:val="28"/>
        </w:rPr>
        <w:t>Staff Recruitment</w:t>
      </w:r>
    </w:p>
    <w:p w14:paraId="2D1F3629" w14:textId="762AD149" w:rsidR="003654FA" w:rsidRPr="003654FA" w:rsidRDefault="007041C3" w:rsidP="003654FA">
      <w:pPr>
        <w:rPr>
          <w:rFonts w:ascii="Arial" w:hAnsi="Arial" w:cs="Arial"/>
          <w:color w:val="000000" w:themeColor="text1"/>
          <w:shd w:val="clear" w:color="auto" w:fill="FFFFFF"/>
        </w:rPr>
      </w:pPr>
      <w:r w:rsidRPr="003654FA">
        <w:rPr>
          <w:rFonts w:ascii="Arial" w:hAnsi="Arial" w:cs="Arial"/>
          <w:color w:val="000000" w:themeColor="text1"/>
          <w:shd w:val="clear" w:color="auto" w:fill="FFFFFF"/>
        </w:rPr>
        <w:t xml:space="preserve">IIT Bombay provides a unique opportunity to work alongside brilliant students, </w:t>
      </w:r>
      <w:proofErr w:type="gramStart"/>
      <w:r w:rsidRPr="003654FA">
        <w:rPr>
          <w:rFonts w:ascii="Arial" w:hAnsi="Arial" w:cs="Arial"/>
          <w:color w:val="000000" w:themeColor="text1"/>
          <w:shd w:val="clear" w:color="auto" w:fill="FFFFFF"/>
        </w:rPr>
        <w:t>academicians</w:t>
      </w:r>
      <w:proofErr w:type="gramEnd"/>
      <w:r w:rsidRPr="003654FA">
        <w:rPr>
          <w:rFonts w:ascii="Arial" w:hAnsi="Arial" w:cs="Arial"/>
          <w:color w:val="000000" w:themeColor="text1"/>
          <w:shd w:val="clear" w:color="auto" w:fill="FFFFFF"/>
        </w:rPr>
        <w:t xml:space="preserve"> and outstanding researchers. We are on the lookout for young individuals to help IIT Bombay grow by efficiently handling its administrative processes. The opportunities available at IIT Bombay are given in the links below.</w:t>
      </w:r>
    </w:p>
    <w:p w14:paraId="63ABC465" w14:textId="4F9A3FAA" w:rsidR="003654FA" w:rsidRPr="003654FA" w:rsidRDefault="003654FA" w:rsidP="003654FA">
      <w:pPr>
        <w:rPr>
          <w:rFonts w:ascii="Arial" w:hAnsi="Arial" w:cs="Arial"/>
          <w:color w:val="000000" w:themeColor="text1"/>
          <w:shd w:val="clear" w:color="auto" w:fill="FFFFFF"/>
        </w:rPr>
      </w:pPr>
    </w:p>
    <w:p w14:paraId="6B8948F4" w14:textId="0CC09D93" w:rsidR="003654FA" w:rsidRPr="003654FA" w:rsidRDefault="003654FA" w:rsidP="003654FA">
      <w:pPr>
        <w:rPr>
          <w:rFonts w:ascii="Arial" w:hAnsi="Arial" w:cs="Arial"/>
          <w:color w:val="000000" w:themeColor="text1"/>
          <w:shd w:val="clear" w:color="auto" w:fill="FFFFFF"/>
        </w:rPr>
      </w:pPr>
    </w:p>
    <w:p w14:paraId="5469B74A" w14:textId="77777777" w:rsidR="003654FA" w:rsidRPr="003654FA" w:rsidRDefault="003654FA" w:rsidP="003654FA">
      <w:pPr>
        <w:rPr>
          <w:rFonts w:ascii="Arial" w:hAnsi="Arial" w:cs="Arial"/>
          <w:color w:val="000000" w:themeColor="text1"/>
          <w:shd w:val="clear" w:color="auto" w:fill="FFFFFF"/>
        </w:rPr>
      </w:pPr>
    </w:p>
    <w:p w14:paraId="44CC2EA9" w14:textId="3804D9AB" w:rsidR="003654FA" w:rsidRPr="003654FA" w:rsidRDefault="003654FA" w:rsidP="003654FA">
      <w:pPr>
        <w:rPr>
          <w:rFonts w:ascii="Arial" w:eastAsia="Times New Roman" w:hAnsi="Arial" w:cs="Arial"/>
          <w:b/>
          <w:bCs/>
          <w:color w:val="000000" w:themeColor="text1"/>
          <w:kern w:val="36"/>
          <w:sz w:val="28"/>
          <w:szCs w:val="28"/>
          <w:lang w:eastAsia="en-IN"/>
        </w:rPr>
      </w:pPr>
      <w:r w:rsidRPr="003654FA">
        <w:rPr>
          <w:rFonts w:ascii="Arial" w:hAnsi="Arial" w:cs="Arial"/>
          <w:b/>
          <w:bCs/>
          <w:color w:val="000000" w:themeColor="text1"/>
          <w:sz w:val="28"/>
          <w:szCs w:val="28"/>
        </w:rPr>
        <w:lastRenderedPageBreak/>
        <w:t>Institute Post-doctoral Fellows Recruitment</w:t>
      </w:r>
    </w:p>
    <w:p w14:paraId="21368E3E" w14:textId="77777777" w:rsidR="00FB31C8" w:rsidRPr="00FB31C8" w:rsidRDefault="00FB31C8" w:rsidP="00FB31C8">
      <w:pPr>
        <w:rPr>
          <w:rFonts w:ascii="Arial" w:hAnsi="Arial" w:cs="Arial"/>
          <w:b/>
          <w:bCs/>
          <w:color w:val="000000" w:themeColor="text1"/>
          <w:sz w:val="28"/>
          <w:szCs w:val="28"/>
          <w:shd w:val="clear" w:color="auto" w:fill="FFFFFF"/>
        </w:rPr>
      </w:pPr>
    </w:p>
    <w:p w14:paraId="52069B1F" w14:textId="12B4DD60" w:rsidR="003654FA" w:rsidRPr="003654FA" w:rsidRDefault="003654FA" w:rsidP="003654FA">
      <w:pPr>
        <w:pStyle w:val="NormalWeb"/>
        <w:shd w:val="clear" w:color="auto" w:fill="FFFFFF"/>
        <w:spacing w:before="0" w:beforeAutospacing="0" w:after="225" w:afterAutospacing="0"/>
        <w:rPr>
          <w:rFonts w:ascii="Arial" w:hAnsi="Arial" w:cs="Arial"/>
          <w:color w:val="000000" w:themeColor="text1"/>
        </w:rPr>
      </w:pPr>
      <w:r w:rsidRPr="003654FA">
        <w:rPr>
          <w:rFonts w:ascii="Arial" w:hAnsi="Arial" w:cs="Arial"/>
          <w:color w:val="000000" w:themeColor="text1"/>
        </w:rPr>
        <w:t xml:space="preserve">Institute Post-doctoral (post-doc) fellowships are available in various academic Departments, Centres, </w:t>
      </w:r>
      <w:r w:rsidRPr="003654FA">
        <w:rPr>
          <w:rFonts w:ascii="Arial" w:hAnsi="Arial" w:cs="Arial"/>
          <w:color w:val="000000" w:themeColor="text1"/>
        </w:rPr>
        <w:t>Schools,</w:t>
      </w:r>
      <w:r w:rsidRPr="003654FA">
        <w:rPr>
          <w:rFonts w:ascii="Arial" w:hAnsi="Arial" w:cs="Arial"/>
          <w:color w:val="000000" w:themeColor="text1"/>
        </w:rPr>
        <w:t xml:space="preserve"> and Inter-disciplinary programs. There is no last date for the applications. The Search Committees meet regularly to consider the applications and arrange for invited seminars and/or interviews as the need arises. Please write to the respective Heads of </w:t>
      </w:r>
      <w:hyperlink r:id="rId5" w:history="1">
        <w:r w:rsidRPr="003654FA">
          <w:rPr>
            <w:rStyle w:val="Hyperlink"/>
            <w:rFonts w:ascii="Arial" w:hAnsi="Arial" w:cs="Arial"/>
            <w:color w:val="000000" w:themeColor="text1"/>
          </w:rPr>
          <w:t>Academic Divisions</w:t>
        </w:r>
      </w:hyperlink>
      <w:r w:rsidRPr="003654FA">
        <w:rPr>
          <w:rFonts w:ascii="Arial" w:hAnsi="Arial" w:cs="Arial"/>
          <w:color w:val="000000" w:themeColor="text1"/>
        </w:rPr>
        <w:t> for specific information.</w:t>
      </w:r>
    </w:p>
    <w:p w14:paraId="6279DBD0" w14:textId="77777777" w:rsidR="003654FA" w:rsidRPr="003654FA" w:rsidRDefault="003654FA" w:rsidP="003654FA">
      <w:pPr>
        <w:pStyle w:val="Heading2"/>
        <w:shd w:val="clear" w:color="auto" w:fill="FFFFFF"/>
        <w:spacing w:before="300" w:after="300"/>
        <w:rPr>
          <w:rFonts w:ascii="Arial" w:hAnsi="Arial" w:cs="Arial"/>
          <w:color w:val="000000" w:themeColor="text1"/>
          <w:sz w:val="45"/>
          <w:szCs w:val="45"/>
        </w:rPr>
      </w:pPr>
      <w:r w:rsidRPr="003654FA">
        <w:rPr>
          <w:rFonts w:ascii="Arial" w:hAnsi="Arial" w:cs="Arial"/>
          <w:b/>
          <w:bCs/>
          <w:color w:val="000000" w:themeColor="text1"/>
          <w:sz w:val="45"/>
          <w:szCs w:val="45"/>
        </w:rPr>
        <w:t>Fellowship</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047"/>
        <w:gridCol w:w="2037"/>
      </w:tblGrid>
      <w:tr w:rsidR="003654FA" w:rsidRPr="003654FA" w14:paraId="5E8DE736" w14:textId="77777777" w:rsidTr="003654FA">
        <w:tc>
          <w:tcPr>
            <w:tcW w:w="0" w:type="auto"/>
            <w:tcBorders>
              <w:bottom w:val="single" w:sz="18" w:space="0" w:color="CCCCCC"/>
            </w:tcBorders>
            <w:shd w:val="clear" w:color="auto" w:fill="FFFFFF"/>
            <w:tcMar>
              <w:top w:w="0" w:type="dxa"/>
              <w:left w:w="0" w:type="dxa"/>
              <w:bottom w:w="0" w:type="dxa"/>
              <w:right w:w="0" w:type="dxa"/>
            </w:tcMar>
            <w:vAlign w:val="center"/>
            <w:hideMark/>
          </w:tcPr>
          <w:p w14:paraId="77F29573" w14:textId="77777777" w:rsidR="003654FA" w:rsidRPr="003654FA" w:rsidRDefault="003654FA">
            <w:pPr>
              <w:rPr>
                <w:rFonts w:ascii="Arial" w:hAnsi="Arial" w:cs="Arial"/>
                <w:b/>
                <w:bCs/>
                <w:color w:val="000000" w:themeColor="text1"/>
                <w:sz w:val="24"/>
                <w:szCs w:val="24"/>
              </w:rPr>
            </w:pPr>
            <w:r w:rsidRPr="003654FA">
              <w:rPr>
                <w:rFonts w:ascii="Arial" w:hAnsi="Arial" w:cs="Arial"/>
                <w:b/>
                <w:bCs/>
                <w:color w:val="000000" w:themeColor="text1"/>
              </w:rPr>
              <w:t>Experience</w:t>
            </w:r>
          </w:p>
        </w:tc>
        <w:tc>
          <w:tcPr>
            <w:tcW w:w="0" w:type="auto"/>
            <w:tcBorders>
              <w:bottom w:val="single" w:sz="18" w:space="0" w:color="CCCCCC"/>
            </w:tcBorders>
            <w:shd w:val="clear" w:color="auto" w:fill="FFFFFF"/>
            <w:tcMar>
              <w:top w:w="0" w:type="dxa"/>
              <w:left w:w="0" w:type="dxa"/>
              <w:bottom w:w="0" w:type="dxa"/>
              <w:right w:w="0" w:type="dxa"/>
            </w:tcMar>
            <w:vAlign w:val="center"/>
            <w:hideMark/>
          </w:tcPr>
          <w:p w14:paraId="305C4348" w14:textId="77777777" w:rsidR="003654FA" w:rsidRPr="003654FA" w:rsidRDefault="003654FA">
            <w:pPr>
              <w:rPr>
                <w:rFonts w:ascii="Arial" w:hAnsi="Arial" w:cs="Arial"/>
                <w:b/>
                <w:bCs/>
                <w:color w:val="000000" w:themeColor="text1"/>
              </w:rPr>
            </w:pPr>
            <w:r w:rsidRPr="003654FA">
              <w:rPr>
                <w:rFonts w:ascii="Arial" w:hAnsi="Arial" w:cs="Arial"/>
                <w:b/>
                <w:bCs/>
                <w:color w:val="000000" w:themeColor="text1"/>
              </w:rPr>
              <w:t>Fellowship Amount</w:t>
            </w:r>
          </w:p>
        </w:tc>
      </w:tr>
      <w:tr w:rsidR="003654FA" w:rsidRPr="003654FA" w14:paraId="0884A50E" w14:textId="77777777" w:rsidTr="003654FA">
        <w:tc>
          <w:tcPr>
            <w:tcW w:w="0" w:type="auto"/>
            <w:tcBorders>
              <w:top w:val="nil"/>
              <w:left w:val="nil"/>
              <w:bottom w:val="nil"/>
              <w:right w:val="nil"/>
            </w:tcBorders>
            <w:shd w:val="clear" w:color="auto" w:fill="F9F9F9"/>
            <w:tcMar>
              <w:top w:w="135" w:type="dxa"/>
              <w:left w:w="150" w:type="dxa"/>
              <w:bottom w:w="135" w:type="dxa"/>
              <w:right w:w="150" w:type="dxa"/>
            </w:tcMar>
            <w:hideMark/>
          </w:tcPr>
          <w:p w14:paraId="04EBFC74" w14:textId="77777777" w:rsidR="003654FA" w:rsidRPr="003654FA" w:rsidRDefault="003654FA">
            <w:pPr>
              <w:spacing w:line="270" w:lineRule="atLeast"/>
              <w:rPr>
                <w:rFonts w:ascii="Arial" w:hAnsi="Arial" w:cs="Arial"/>
                <w:color w:val="000000" w:themeColor="text1"/>
                <w:sz w:val="21"/>
                <w:szCs w:val="21"/>
              </w:rPr>
            </w:pPr>
            <w:r w:rsidRPr="003654FA">
              <w:rPr>
                <w:rFonts w:ascii="Arial" w:hAnsi="Arial" w:cs="Arial"/>
                <w:color w:val="000000" w:themeColor="text1"/>
                <w:sz w:val="21"/>
                <w:szCs w:val="21"/>
              </w:rPr>
              <w:t>Fresh PhD with no post-PhD experience</w:t>
            </w:r>
          </w:p>
        </w:tc>
        <w:tc>
          <w:tcPr>
            <w:tcW w:w="0" w:type="auto"/>
            <w:tcBorders>
              <w:top w:val="nil"/>
              <w:left w:val="nil"/>
              <w:bottom w:val="nil"/>
              <w:right w:val="nil"/>
            </w:tcBorders>
            <w:shd w:val="clear" w:color="auto" w:fill="F9F9F9"/>
            <w:tcMar>
              <w:top w:w="135" w:type="dxa"/>
              <w:left w:w="150" w:type="dxa"/>
              <w:bottom w:w="135" w:type="dxa"/>
              <w:right w:w="150" w:type="dxa"/>
            </w:tcMar>
            <w:hideMark/>
          </w:tcPr>
          <w:p w14:paraId="6C40AEF4" w14:textId="77777777" w:rsidR="003654FA" w:rsidRPr="003654FA" w:rsidRDefault="003654FA">
            <w:pPr>
              <w:spacing w:line="270" w:lineRule="atLeast"/>
              <w:rPr>
                <w:rFonts w:ascii="Arial" w:hAnsi="Arial" w:cs="Arial"/>
                <w:color w:val="000000" w:themeColor="text1"/>
                <w:sz w:val="21"/>
                <w:szCs w:val="21"/>
              </w:rPr>
            </w:pPr>
            <w:r w:rsidRPr="003654FA">
              <w:rPr>
                <w:rFonts w:ascii="Arial" w:hAnsi="Arial" w:cs="Arial"/>
                <w:color w:val="000000" w:themeColor="text1"/>
                <w:sz w:val="21"/>
                <w:szCs w:val="21"/>
              </w:rPr>
              <w:t>Rs. 65,000/- p.m.</w:t>
            </w:r>
          </w:p>
        </w:tc>
      </w:tr>
      <w:tr w:rsidR="003654FA" w:rsidRPr="003654FA" w14:paraId="70B4925E" w14:textId="77777777" w:rsidTr="003654FA">
        <w:tc>
          <w:tcPr>
            <w:tcW w:w="0" w:type="auto"/>
            <w:tcBorders>
              <w:top w:val="nil"/>
              <w:left w:val="nil"/>
              <w:bottom w:val="nil"/>
              <w:right w:val="nil"/>
            </w:tcBorders>
            <w:shd w:val="clear" w:color="auto" w:fill="FFFFFF"/>
            <w:tcMar>
              <w:top w:w="135" w:type="dxa"/>
              <w:left w:w="150" w:type="dxa"/>
              <w:bottom w:w="135" w:type="dxa"/>
              <w:right w:w="150" w:type="dxa"/>
            </w:tcMar>
            <w:hideMark/>
          </w:tcPr>
          <w:p w14:paraId="63BCB877" w14:textId="77777777" w:rsidR="003654FA" w:rsidRPr="003654FA" w:rsidRDefault="003654FA">
            <w:pPr>
              <w:spacing w:line="270" w:lineRule="atLeast"/>
              <w:rPr>
                <w:rFonts w:ascii="Arial" w:hAnsi="Arial" w:cs="Arial"/>
                <w:color w:val="000000" w:themeColor="text1"/>
                <w:sz w:val="21"/>
                <w:szCs w:val="21"/>
              </w:rPr>
            </w:pPr>
            <w:r w:rsidRPr="003654FA">
              <w:rPr>
                <w:rFonts w:ascii="Arial" w:hAnsi="Arial" w:cs="Arial"/>
                <w:color w:val="000000" w:themeColor="text1"/>
                <w:sz w:val="21"/>
                <w:szCs w:val="21"/>
              </w:rPr>
              <w:t>PhD + 1 year of post-PhD experience</w:t>
            </w:r>
          </w:p>
        </w:tc>
        <w:tc>
          <w:tcPr>
            <w:tcW w:w="0" w:type="auto"/>
            <w:tcBorders>
              <w:top w:val="nil"/>
              <w:left w:val="nil"/>
              <w:bottom w:val="nil"/>
              <w:right w:val="nil"/>
            </w:tcBorders>
            <w:shd w:val="clear" w:color="auto" w:fill="FFFFFF"/>
            <w:tcMar>
              <w:top w:w="135" w:type="dxa"/>
              <w:left w:w="150" w:type="dxa"/>
              <w:bottom w:w="135" w:type="dxa"/>
              <w:right w:w="150" w:type="dxa"/>
            </w:tcMar>
            <w:hideMark/>
          </w:tcPr>
          <w:p w14:paraId="59FD97C7" w14:textId="77777777" w:rsidR="003654FA" w:rsidRPr="003654FA" w:rsidRDefault="003654FA">
            <w:pPr>
              <w:spacing w:line="270" w:lineRule="atLeast"/>
              <w:rPr>
                <w:rFonts w:ascii="Arial" w:hAnsi="Arial" w:cs="Arial"/>
                <w:color w:val="000000" w:themeColor="text1"/>
                <w:sz w:val="21"/>
                <w:szCs w:val="21"/>
              </w:rPr>
            </w:pPr>
            <w:r w:rsidRPr="003654FA">
              <w:rPr>
                <w:rFonts w:ascii="Arial" w:hAnsi="Arial" w:cs="Arial"/>
                <w:color w:val="000000" w:themeColor="text1"/>
                <w:sz w:val="21"/>
                <w:szCs w:val="21"/>
              </w:rPr>
              <w:t>Rs. 68,000/-</w:t>
            </w:r>
            <w:proofErr w:type="spellStart"/>
            <w:r w:rsidRPr="003654FA">
              <w:rPr>
                <w:rFonts w:ascii="Arial" w:hAnsi="Arial" w:cs="Arial"/>
                <w:color w:val="000000" w:themeColor="text1"/>
                <w:sz w:val="21"/>
                <w:szCs w:val="21"/>
              </w:rPr>
              <w:t>p.m</w:t>
            </w:r>
            <w:proofErr w:type="spellEnd"/>
          </w:p>
        </w:tc>
      </w:tr>
      <w:tr w:rsidR="003654FA" w:rsidRPr="003654FA" w14:paraId="7B036DAD" w14:textId="77777777" w:rsidTr="003654FA">
        <w:tc>
          <w:tcPr>
            <w:tcW w:w="0" w:type="auto"/>
            <w:tcBorders>
              <w:top w:val="nil"/>
              <w:left w:val="nil"/>
              <w:bottom w:val="nil"/>
              <w:right w:val="nil"/>
            </w:tcBorders>
            <w:shd w:val="clear" w:color="auto" w:fill="F9F9F9"/>
            <w:tcMar>
              <w:top w:w="135" w:type="dxa"/>
              <w:left w:w="150" w:type="dxa"/>
              <w:bottom w:w="135" w:type="dxa"/>
              <w:right w:w="150" w:type="dxa"/>
            </w:tcMar>
            <w:hideMark/>
          </w:tcPr>
          <w:p w14:paraId="5A6021A0" w14:textId="77777777" w:rsidR="003654FA" w:rsidRPr="003654FA" w:rsidRDefault="003654FA">
            <w:pPr>
              <w:spacing w:line="270" w:lineRule="atLeast"/>
              <w:rPr>
                <w:rFonts w:ascii="Arial" w:hAnsi="Arial" w:cs="Arial"/>
                <w:color w:val="000000" w:themeColor="text1"/>
                <w:sz w:val="21"/>
                <w:szCs w:val="21"/>
              </w:rPr>
            </w:pPr>
            <w:r w:rsidRPr="003654FA">
              <w:rPr>
                <w:rFonts w:ascii="Arial" w:hAnsi="Arial" w:cs="Arial"/>
                <w:color w:val="000000" w:themeColor="text1"/>
                <w:sz w:val="21"/>
                <w:szCs w:val="21"/>
              </w:rPr>
              <w:t>PhD + 2 years of post-PhD experience</w:t>
            </w:r>
          </w:p>
        </w:tc>
        <w:tc>
          <w:tcPr>
            <w:tcW w:w="0" w:type="auto"/>
            <w:tcBorders>
              <w:top w:val="nil"/>
              <w:left w:val="nil"/>
              <w:bottom w:val="nil"/>
              <w:right w:val="nil"/>
            </w:tcBorders>
            <w:shd w:val="clear" w:color="auto" w:fill="F9F9F9"/>
            <w:tcMar>
              <w:top w:w="135" w:type="dxa"/>
              <w:left w:w="150" w:type="dxa"/>
              <w:bottom w:w="135" w:type="dxa"/>
              <w:right w:w="150" w:type="dxa"/>
            </w:tcMar>
            <w:hideMark/>
          </w:tcPr>
          <w:p w14:paraId="34F6CC2B" w14:textId="77777777" w:rsidR="003654FA" w:rsidRPr="003654FA" w:rsidRDefault="003654FA">
            <w:pPr>
              <w:spacing w:line="270" w:lineRule="atLeast"/>
              <w:rPr>
                <w:rFonts w:ascii="Arial" w:hAnsi="Arial" w:cs="Arial"/>
                <w:color w:val="000000" w:themeColor="text1"/>
                <w:sz w:val="21"/>
                <w:szCs w:val="21"/>
              </w:rPr>
            </w:pPr>
            <w:r w:rsidRPr="003654FA">
              <w:rPr>
                <w:rFonts w:ascii="Arial" w:hAnsi="Arial" w:cs="Arial"/>
                <w:color w:val="000000" w:themeColor="text1"/>
                <w:sz w:val="21"/>
                <w:szCs w:val="21"/>
              </w:rPr>
              <w:t>Rs. 71,000/-p.m.</w:t>
            </w:r>
          </w:p>
        </w:tc>
      </w:tr>
      <w:tr w:rsidR="003654FA" w:rsidRPr="003654FA" w14:paraId="4615519B" w14:textId="77777777" w:rsidTr="003654FA">
        <w:tc>
          <w:tcPr>
            <w:tcW w:w="0" w:type="auto"/>
            <w:tcBorders>
              <w:top w:val="nil"/>
              <w:left w:val="nil"/>
              <w:bottom w:val="nil"/>
              <w:right w:val="nil"/>
            </w:tcBorders>
            <w:shd w:val="clear" w:color="auto" w:fill="FFFFFF"/>
            <w:tcMar>
              <w:top w:w="135" w:type="dxa"/>
              <w:left w:w="150" w:type="dxa"/>
              <w:bottom w:w="135" w:type="dxa"/>
              <w:right w:w="150" w:type="dxa"/>
            </w:tcMar>
            <w:hideMark/>
          </w:tcPr>
          <w:p w14:paraId="4D9380CE" w14:textId="77777777" w:rsidR="003654FA" w:rsidRPr="003654FA" w:rsidRDefault="003654FA">
            <w:pPr>
              <w:spacing w:line="270" w:lineRule="atLeast"/>
              <w:rPr>
                <w:rFonts w:ascii="Arial" w:hAnsi="Arial" w:cs="Arial"/>
                <w:color w:val="000000" w:themeColor="text1"/>
                <w:sz w:val="21"/>
                <w:szCs w:val="21"/>
              </w:rPr>
            </w:pPr>
            <w:r w:rsidRPr="003654FA">
              <w:rPr>
                <w:rFonts w:ascii="Arial" w:hAnsi="Arial" w:cs="Arial"/>
                <w:color w:val="000000" w:themeColor="text1"/>
                <w:sz w:val="21"/>
                <w:szCs w:val="21"/>
              </w:rPr>
              <w:t>Non-lapsable contingency grant</w:t>
            </w:r>
          </w:p>
        </w:tc>
        <w:tc>
          <w:tcPr>
            <w:tcW w:w="0" w:type="auto"/>
            <w:tcBorders>
              <w:top w:val="nil"/>
              <w:left w:val="nil"/>
              <w:bottom w:val="nil"/>
              <w:right w:val="nil"/>
            </w:tcBorders>
            <w:shd w:val="clear" w:color="auto" w:fill="FFFFFF"/>
            <w:tcMar>
              <w:top w:w="135" w:type="dxa"/>
              <w:left w:w="150" w:type="dxa"/>
              <w:bottom w:w="135" w:type="dxa"/>
              <w:right w:w="150" w:type="dxa"/>
            </w:tcMar>
            <w:hideMark/>
          </w:tcPr>
          <w:p w14:paraId="2EC13B86" w14:textId="77777777" w:rsidR="003654FA" w:rsidRPr="003654FA" w:rsidRDefault="003654FA">
            <w:pPr>
              <w:spacing w:line="270" w:lineRule="atLeast"/>
              <w:rPr>
                <w:rFonts w:ascii="Arial" w:hAnsi="Arial" w:cs="Arial"/>
                <w:color w:val="000000" w:themeColor="text1"/>
                <w:sz w:val="21"/>
                <w:szCs w:val="21"/>
              </w:rPr>
            </w:pPr>
            <w:r w:rsidRPr="003654FA">
              <w:rPr>
                <w:rFonts w:ascii="Arial" w:hAnsi="Arial" w:cs="Arial"/>
                <w:color w:val="000000" w:themeColor="text1"/>
                <w:sz w:val="21"/>
                <w:szCs w:val="21"/>
              </w:rPr>
              <w:t>Rs. 15,000/year</w:t>
            </w:r>
          </w:p>
        </w:tc>
      </w:tr>
    </w:tbl>
    <w:p w14:paraId="1A219543" w14:textId="77777777" w:rsidR="003654FA" w:rsidRPr="003654FA" w:rsidRDefault="003654FA" w:rsidP="003654FA">
      <w:pPr>
        <w:pStyle w:val="Heading2"/>
        <w:shd w:val="clear" w:color="auto" w:fill="FFFFFF"/>
        <w:spacing w:before="300" w:after="300"/>
        <w:rPr>
          <w:rFonts w:ascii="Arial" w:hAnsi="Arial" w:cs="Arial"/>
          <w:b/>
          <w:bCs/>
          <w:color w:val="000000" w:themeColor="text1"/>
          <w:sz w:val="28"/>
          <w:szCs w:val="28"/>
        </w:rPr>
      </w:pPr>
    </w:p>
    <w:p w14:paraId="3E4F24E3" w14:textId="4F661432" w:rsidR="003654FA" w:rsidRPr="003654FA" w:rsidRDefault="003654FA" w:rsidP="003654FA">
      <w:pPr>
        <w:pStyle w:val="Heading2"/>
        <w:shd w:val="clear" w:color="auto" w:fill="FFFFFF"/>
        <w:spacing w:before="300" w:after="300"/>
        <w:rPr>
          <w:rFonts w:ascii="Arial" w:hAnsi="Arial" w:cs="Arial"/>
          <w:b/>
          <w:bCs/>
          <w:color w:val="000000" w:themeColor="text1"/>
          <w:sz w:val="28"/>
          <w:szCs w:val="28"/>
        </w:rPr>
      </w:pPr>
      <w:r w:rsidRPr="003654FA">
        <w:rPr>
          <w:rFonts w:ascii="Arial" w:hAnsi="Arial" w:cs="Arial"/>
          <w:b/>
          <w:bCs/>
          <w:color w:val="000000" w:themeColor="text1"/>
          <w:sz w:val="28"/>
          <w:szCs w:val="28"/>
        </w:rPr>
        <w:t>Duties and Facilities</w:t>
      </w:r>
    </w:p>
    <w:p w14:paraId="7D46DD52" w14:textId="77777777" w:rsidR="003654FA" w:rsidRPr="003654FA" w:rsidRDefault="003654FA" w:rsidP="003654FA">
      <w:pPr>
        <w:numPr>
          <w:ilvl w:val="0"/>
          <w:numId w:val="1"/>
        </w:numPr>
        <w:shd w:val="clear" w:color="auto" w:fill="FFFFFF"/>
        <w:spacing w:after="0" w:line="240" w:lineRule="auto"/>
        <w:ind w:left="960"/>
        <w:rPr>
          <w:rFonts w:ascii="Arial" w:hAnsi="Arial" w:cs="Arial"/>
          <w:color w:val="000000" w:themeColor="text1"/>
          <w:sz w:val="24"/>
          <w:szCs w:val="24"/>
        </w:rPr>
      </w:pPr>
      <w:r w:rsidRPr="003654FA">
        <w:rPr>
          <w:rFonts w:ascii="Arial" w:hAnsi="Arial" w:cs="Arial"/>
          <w:color w:val="000000" w:themeColor="text1"/>
        </w:rPr>
        <w:t>A PDF will have a mentor whose area is closest to that of the PDF.</w:t>
      </w:r>
    </w:p>
    <w:p w14:paraId="22A59039" w14:textId="77777777" w:rsidR="003654FA" w:rsidRPr="003654FA" w:rsidRDefault="003654FA" w:rsidP="003654FA">
      <w:pPr>
        <w:numPr>
          <w:ilvl w:val="0"/>
          <w:numId w:val="1"/>
        </w:numPr>
        <w:shd w:val="clear" w:color="auto" w:fill="FFFFFF"/>
        <w:spacing w:after="0" w:line="240" w:lineRule="auto"/>
        <w:ind w:left="960"/>
        <w:rPr>
          <w:rFonts w:ascii="Arial" w:hAnsi="Arial" w:cs="Arial"/>
          <w:color w:val="000000" w:themeColor="text1"/>
        </w:rPr>
      </w:pPr>
      <w:r w:rsidRPr="003654FA">
        <w:rPr>
          <w:rFonts w:ascii="Arial" w:hAnsi="Arial" w:cs="Arial"/>
          <w:color w:val="000000" w:themeColor="text1"/>
        </w:rPr>
        <w:t>In addition to research, the Head of the Department may assign reasonable academic/administrative tasks depending on the need.</w:t>
      </w:r>
    </w:p>
    <w:p w14:paraId="449A90E1" w14:textId="77777777" w:rsidR="003654FA" w:rsidRPr="003654FA" w:rsidRDefault="003654FA" w:rsidP="003654FA">
      <w:pPr>
        <w:numPr>
          <w:ilvl w:val="0"/>
          <w:numId w:val="1"/>
        </w:numPr>
        <w:shd w:val="clear" w:color="auto" w:fill="FFFFFF"/>
        <w:spacing w:after="0" w:line="240" w:lineRule="auto"/>
        <w:ind w:left="960"/>
        <w:rPr>
          <w:rFonts w:ascii="Arial" w:hAnsi="Arial" w:cs="Arial"/>
          <w:color w:val="000000" w:themeColor="text1"/>
        </w:rPr>
      </w:pPr>
      <w:r w:rsidRPr="003654FA">
        <w:rPr>
          <w:rFonts w:ascii="Arial" w:hAnsi="Arial" w:cs="Arial"/>
          <w:color w:val="000000" w:themeColor="text1"/>
        </w:rPr>
        <w:t>The Department must also agree to provide reasonable office and lab space to its postdoctoral fellows.</w:t>
      </w:r>
    </w:p>
    <w:p w14:paraId="78B4EE16" w14:textId="77777777" w:rsidR="003654FA" w:rsidRPr="003654FA" w:rsidRDefault="003654FA" w:rsidP="003654FA">
      <w:pPr>
        <w:numPr>
          <w:ilvl w:val="0"/>
          <w:numId w:val="1"/>
        </w:numPr>
        <w:shd w:val="clear" w:color="auto" w:fill="FFFFFF"/>
        <w:spacing w:after="0" w:line="240" w:lineRule="auto"/>
        <w:ind w:left="960"/>
        <w:rPr>
          <w:rFonts w:ascii="Arial" w:hAnsi="Arial" w:cs="Arial"/>
          <w:color w:val="000000" w:themeColor="text1"/>
        </w:rPr>
      </w:pPr>
      <w:r w:rsidRPr="003654FA">
        <w:rPr>
          <w:rFonts w:ascii="Arial" w:hAnsi="Arial" w:cs="Arial"/>
          <w:color w:val="000000" w:themeColor="text1"/>
        </w:rPr>
        <w:t>Financial support is provided for one international conference during the tenure of the fellowship for the presentation of their research work done at IIT Bombay.</w:t>
      </w:r>
    </w:p>
    <w:p w14:paraId="501EC6D7" w14:textId="77777777" w:rsidR="003654FA" w:rsidRPr="003654FA" w:rsidRDefault="003654FA" w:rsidP="003654FA">
      <w:pPr>
        <w:numPr>
          <w:ilvl w:val="0"/>
          <w:numId w:val="1"/>
        </w:numPr>
        <w:shd w:val="clear" w:color="auto" w:fill="FFFFFF"/>
        <w:spacing w:after="0" w:line="240" w:lineRule="auto"/>
        <w:ind w:left="960"/>
        <w:rPr>
          <w:rFonts w:ascii="Arial" w:hAnsi="Arial" w:cs="Arial"/>
          <w:color w:val="000000" w:themeColor="text1"/>
        </w:rPr>
      </w:pPr>
      <w:r w:rsidRPr="003654FA">
        <w:rPr>
          <w:rFonts w:ascii="Arial" w:hAnsi="Arial" w:cs="Arial"/>
          <w:color w:val="000000" w:themeColor="text1"/>
        </w:rPr>
        <w:t>Support for one national conference per year is also provided.</w:t>
      </w:r>
    </w:p>
    <w:p w14:paraId="1607056B" w14:textId="77777777" w:rsidR="003654FA" w:rsidRPr="003654FA" w:rsidRDefault="003654FA" w:rsidP="00FB31C8">
      <w:pPr>
        <w:rPr>
          <w:rFonts w:ascii="Arial" w:hAnsi="Arial" w:cs="Arial"/>
          <w:color w:val="000000" w:themeColor="text1"/>
        </w:rPr>
      </w:pPr>
    </w:p>
    <w:sectPr w:rsidR="003654FA" w:rsidRPr="003654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5271A"/>
    <w:multiLevelType w:val="multilevel"/>
    <w:tmpl w:val="99B4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1C8"/>
    <w:rsid w:val="003654FA"/>
    <w:rsid w:val="007041C3"/>
    <w:rsid w:val="00FB31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47639"/>
  <w15:chartTrackingRefBased/>
  <w15:docId w15:val="{B33656C7-5EA1-404F-9B04-4F6491A99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31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654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1C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3654F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654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654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9848">
      <w:bodyDiv w:val="1"/>
      <w:marLeft w:val="0"/>
      <w:marRight w:val="0"/>
      <w:marTop w:val="0"/>
      <w:marBottom w:val="0"/>
      <w:divBdr>
        <w:top w:val="none" w:sz="0" w:space="0" w:color="auto"/>
        <w:left w:val="none" w:sz="0" w:space="0" w:color="auto"/>
        <w:bottom w:val="none" w:sz="0" w:space="0" w:color="auto"/>
        <w:right w:val="none" w:sz="0" w:space="0" w:color="auto"/>
      </w:divBdr>
    </w:div>
    <w:div w:id="173809312">
      <w:bodyDiv w:val="1"/>
      <w:marLeft w:val="0"/>
      <w:marRight w:val="0"/>
      <w:marTop w:val="0"/>
      <w:marBottom w:val="0"/>
      <w:divBdr>
        <w:top w:val="none" w:sz="0" w:space="0" w:color="auto"/>
        <w:left w:val="none" w:sz="0" w:space="0" w:color="auto"/>
        <w:bottom w:val="none" w:sz="0" w:space="0" w:color="auto"/>
        <w:right w:val="none" w:sz="0" w:space="0" w:color="auto"/>
      </w:divBdr>
    </w:div>
    <w:div w:id="696849508">
      <w:bodyDiv w:val="1"/>
      <w:marLeft w:val="0"/>
      <w:marRight w:val="0"/>
      <w:marTop w:val="0"/>
      <w:marBottom w:val="0"/>
      <w:divBdr>
        <w:top w:val="none" w:sz="0" w:space="0" w:color="auto"/>
        <w:left w:val="none" w:sz="0" w:space="0" w:color="auto"/>
        <w:bottom w:val="none" w:sz="0" w:space="0" w:color="auto"/>
        <w:right w:val="none" w:sz="0" w:space="0" w:color="auto"/>
      </w:divBdr>
    </w:div>
    <w:div w:id="806242307">
      <w:bodyDiv w:val="1"/>
      <w:marLeft w:val="0"/>
      <w:marRight w:val="0"/>
      <w:marTop w:val="0"/>
      <w:marBottom w:val="0"/>
      <w:divBdr>
        <w:top w:val="none" w:sz="0" w:space="0" w:color="auto"/>
        <w:left w:val="none" w:sz="0" w:space="0" w:color="auto"/>
        <w:bottom w:val="none" w:sz="0" w:space="0" w:color="auto"/>
        <w:right w:val="none" w:sz="0" w:space="0" w:color="auto"/>
      </w:divBdr>
    </w:div>
    <w:div w:id="1702629714">
      <w:bodyDiv w:val="1"/>
      <w:marLeft w:val="0"/>
      <w:marRight w:val="0"/>
      <w:marTop w:val="0"/>
      <w:marBottom w:val="0"/>
      <w:divBdr>
        <w:top w:val="none" w:sz="0" w:space="0" w:color="auto"/>
        <w:left w:val="none" w:sz="0" w:space="0" w:color="auto"/>
        <w:bottom w:val="none" w:sz="0" w:space="0" w:color="auto"/>
        <w:right w:val="none" w:sz="0" w:space="0" w:color="auto"/>
      </w:divBdr>
    </w:div>
    <w:div w:id="1760713310">
      <w:bodyDiv w:val="1"/>
      <w:marLeft w:val="0"/>
      <w:marRight w:val="0"/>
      <w:marTop w:val="0"/>
      <w:marBottom w:val="0"/>
      <w:divBdr>
        <w:top w:val="none" w:sz="0" w:space="0" w:color="auto"/>
        <w:left w:val="none" w:sz="0" w:space="0" w:color="auto"/>
        <w:bottom w:val="none" w:sz="0" w:space="0" w:color="auto"/>
        <w:right w:val="none" w:sz="0" w:space="0" w:color="auto"/>
      </w:divBdr>
    </w:div>
    <w:div w:id="209816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itb.ac.in/node/4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JAISWAL - 70411118020</dc:creator>
  <cp:keywords/>
  <dc:description/>
  <cp:lastModifiedBy>NIRAJ JAISWAL - 70411118020</cp:lastModifiedBy>
  <cp:revision>1</cp:revision>
  <dcterms:created xsi:type="dcterms:W3CDTF">2021-06-28T17:52:00Z</dcterms:created>
  <dcterms:modified xsi:type="dcterms:W3CDTF">2021-06-28T18:17:00Z</dcterms:modified>
</cp:coreProperties>
</file>