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5A3A"/>
          <w:sz w:val="76"/>
        </w:rPr>
        <w:t>PACFULLY</w:t>
      </w:r>
    </w:p>
    <w:p>
      <w:pPr>
        <w:jc w:val="center"/>
      </w:pPr>
      <w:r>
        <w:rPr>
          <w:b/>
          <w:sz w:val="48"/>
        </w:rPr>
        <w:t>COST ESTIMATOR</w:t>
      </w:r>
    </w:p>
    <w:p>
      <w:pPr>
        <w:jc w:val="center"/>
      </w:pPr>
      <w:r>
        <w:rPr>
          <w:color w:val="6B7280"/>
          <w:sz w:val="26"/>
        </w:rPr>
        <w:t>Master Product Prompt + Architecture + Costing Engine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F1ED"/>
            <w:vAlign w:val="center"/>
          </w:tcPr>
          <w:p>
            <w:r>
              <w:rPr>
                <w:b/>
                <w:color w:val="FF5A3A"/>
              </w:rPr>
              <w:t>Field</w:t>
            </w:r>
          </w:p>
        </w:tc>
        <w:tc>
          <w:tcPr>
            <w:tcW w:type="dxa" w:w="5040"/>
            <w:shd w:fill="FFF1ED"/>
            <w:vAlign w:val="center"/>
          </w:tcPr>
          <w:p>
            <w:r>
              <w:rPr>
                <w:b/>
                <w:color w:val="FF5A3A"/>
              </w:rPr>
              <w:t>Specification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Version</w:t>
            </w:r>
          </w:p>
        </w:tc>
        <w:tc>
          <w:tcPr>
            <w:tcW w:type="dxa" w:w="5040"/>
            <w:vAlign w:val="center"/>
          </w:tcPr>
          <w:p>
            <w:r>
              <w:t>1.0</w:t>
            </w:r>
          </w:p>
        </w:tc>
      </w:tr>
      <w:tr>
        <w:tc>
          <w:tcPr>
            <w:tcW w:type="dxa" w:w="5040"/>
            <w:vAlign w:val="center"/>
          </w:tcPr>
          <w:p>
            <w:r>
              <w:t>Initial Scope</w:t>
            </w:r>
          </w:p>
        </w:tc>
        <w:tc>
          <w:tcPr>
            <w:tcW w:type="dxa" w:w="5040"/>
            <w:vAlign w:val="center"/>
          </w:tcPr>
          <w:p>
            <w:r>
              <w:t>Luxury Rigid Box Costing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Future Scope</w:t>
            </w:r>
          </w:p>
        </w:tc>
        <w:tc>
          <w:tcPr>
            <w:tcW w:type="dxa" w:w="5040"/>
            <w:vAlign w:val="center"/>
          </w:tcPr>
          <w:p>
            <w:r>
              <w:t>Monocartons, Corrugated, Other Packaging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Brand Color</w:t>
            </w:r>
          </w:p>
        </w:tc>
        <w:tc>
          <w:tcPr>
            <w:tcW w:type="dxa" w:w="5040"/>
            <w:vAlign w:val="center"/>
          </w:tcPr>
          <w:p>
            <w:r>
              <w:t>#FF5A3A</w:t>
            </w:r>
          </w:p>
        </w:tc>
      </w:tr>
      <w:tr>
        <w:tc>
          <w:tcPr>
            <w:tcW w:type="dxa" w:w="5040"/>
            <w:vAlign w:val="center"/>
          </w:tcPr>
          <w:p>
            <w:r>
              <w:t>Deployment</w:t>
            </w:r>
          </w:p>
        </w:tc>
        <w:tc>
          <w:tcPr>
            <w:tcW w:type="dxa" w:w="5040"/>
            <w:vAlign w:val="center"/>
          </w:tcPr>
          <w:p>
            <w:r>
              <w:t>Portable; PACFULLY-controlled hosting/server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PRODUCT VISION</w:t>
      </w:r>
    </w:p>
    <w:p>
      <w:pPr>
        <w:spacing w:after="100"/>
      </w:pPr>
      <w:r>
        <w:t>Build a production-ready B2B Packaging Cost Estimation &amp; Cost Intelligence Platform for PACFULLY.</w:t>
      </w:r>
    </w:p>
    <w:p>
      <w:pPr>
        <w:spacing w:after="100"/>
      </w:pPr>
      <w:r>
        <w:t>The system must allow a user to create a customer/job, upload a packaging layout, automatically analyse it, review extracted technical information, calculate manufacturing costs module-by-module, determine total manufacturing cost and cost per box, apply margin, generate selling price, quotation and proforma, and retain the estimate permanently.</w:t>
      </w:r>
    </w:p>
    <w:p>
      <w:pPr>
        <w:spacing w:after="100"/>
      </w:pPr>
      <w:r>
        <w:t>Management must simultaneously receive structured costing data for dashboards, reporting, cost-driver analysis, master override analytics and costing-time analytics.</w:t>
      </w:r>
    </w:p>
    <w:p>
      <w:pPr>
        <w:pStyle w:val="Heading1"/>
      </w:pPr>
      <w:r>
        <w:t>2. CORE PRINCIPLE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LAYOUT</w:t>
        <w:br/>
        <w:t xml:space="preserve">   ↓</w:t>
        <w:br/>
        <w:t>AI LAYOUT EXTRACTION</w:t>
        <w:br/>
        <w:t xml:space="preserve">   ↓</w:t>
        <w:br/>
        <w:t>VALIDATED TECHNICAL DATA</w:t>
        <w:br/>
        <w:t xml:space="preserve">   ↓</w:t>
        <w:br/>
        <w:t>MASTER VALUES</w:t>
        <w:br/>
        <w:t xml:space="preserve">   ↓</w:t>
        <w:br/>
        <w:t>ESTIMATE-LEVEL OVERRIDES</w:t>
        <w:br/>
        <w:t xml:space="preserve">   ↓</w:t>
        <w:br/>
        <w:t>EFFECTIVE VALUES</w:t>
        <w:br/>
        <w:t xml:space="preserve">   ↓</w:t>
        <w:br/>
        <w:t>COSTING MODULES</w:t>
        <w:br/>
        <w:t xml:space="preserve">   ↓</w:t>
        <w:br/>
        <w:t>TOTAL MANUFACTURING COST</w:t>
        <w:br/>
        <w:t xml:space="preserve">   ↓</w:t>
        <w:br/>
        <w:t>COST / BOX</w:t>
        <w:br/>
        <w:t xml:space="preserve">   ↓</w:t>
        <w:br/>
        <w:t>COST WEIGHTAGE</w:t>
        <w:br/>
        <w:t xml:space="preserve">   ↓</w:t>
        <w:br/>
        <w:t>MARGIN</w:t>
        <w:br/>
        <w:t xml:space="preserve">   ↓</w:t>
        <w:br/>
        <w:t>SELLING PRICE</w:t>
        <w:br/>
        <w:t xml:space="preserve">   ↓</w:t>
        <w:br/>
        <w:t>QUOTATION / PROFORMA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COSTING MODULES</w:t>
        <w:br/>
        <w:t xml:space="preserve">       ↓</w:t>
        <w:br/>
        <w:t>COST INTELLIGENCE</w:t>
        <w:br/>
        <w:t xml:space="preserve">       ↓</w:t>
        <w:br/>
        <w:t>MANAGEMENT DASHBOARD</w:t>
        <w:br/>
        <w:t xml:space="preserve">       ↓</w:t>
        <w:br/>
        <w:t>REPORTS</w:t>
        <w:br/>
        <w:t xml:space="preserve">       ↓</w:t>
        <w:br/>
        <w:t>BUSINESS INSIGHTS</w:t>
      </w:r>
    </w:p>
    <w:p>
      <w:pPr>
        <w:pStyle w:val="Heading1"/>
      </w:pPr>
      <w:r>
        <w:t>3. DESIGN SYSTEM</w:t>
      </w:r>
    </w:p>
    <w:p>
      <w:pPr>
        <w:spacing w:after="100"/>
      </w:pPr>
      <w:r>
        <w:t>The application must feel premium, minimalistic, clean, modern and stylish. Use a white-first interface with PACFULLY orange as an accent and very subtle modern neumorphism.</w:t>
      </w:r>
    </w:p>
    <w:p>
      <w:pPr>
        <w:spacing w:after="100"/>
      </w:pPr>
      <w:r>
        <w:t>Use generous whitespace, rounded cards, soft shadows, clean typography, minimal borders and restrained micro-interactions.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F1ED"/>
            <w:vAlign w:val="center"/>
          </w:tcPr>
          <w:p>
            <w:r>
              <w:rPr>
                <w:b/>
                <w:color w:val="FF5A3A"/>
              </w:rPr>
              <w:t>Token</w:t>
            </w:r>
          </w:p>
        </w:tc>
        <w:tc>
          <w:tcPr>
            <w:tcW w:type="dxa" w:w="5040"/>
            <w:shd w:fill="FFF1ED"/>
            <w:vAlign w:val="center"/>
          </w:tcPr>
          <w:p>
            <w:r>
              <w:rPr>
                <w:b/>
                <w:color w:val="FF5A3A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PACFULLY Orange</w:t>
            </w:r>
          </w:p>
        </w:tc>
        <w:tc>
          <w:tcPr>
            <w:tcW w:type="dxa" w:w="5040"/>
            <w:vAlign w:val="center"/>
          </w:tcPr>
          <w:p>
            <w:r>
              <w:t>#FF5A3A</w:t>
            </w:r>
          </w:p>
        </w:tc>
      </w:tr>
      <w:tr>
        <w:tc>
          <w:tcPr>
            <w:tcW w:type="dxa" w:w="5040"/>
            <w:vAlign w:val="center"/>
          </w:tcPr>
          <w:p>
            <w:r>
              <w:t>Secondary Orange</w:t>
            </w:r>
          </w:p>
        </w:tc>
        <w:tc>
          <w:tcPr>
            <w:tcW w:type="dxa" w:w="5040"/>
            <w:vAlign w:val="center"/>
          </w:tcPr>
          <w:p>
            <w:r>
              <w:t>#FF7A5C</w:t>
            </w:r>
          </w:p>
        </w:tc>
      </w:tr>
      <w:tr>
        <w:tc>
          <w:tcPr>
            <w:tcW w:type="dxa" w:w="5040"/>
            <w:vAlign w:val="center"/>
          </w:tcPr>
          <w:p>
            <w:r>
              <w:t>Light Orange</w:t>
            </w:r>
          </w:p>
        </w:tc>
        <w:tc>
          <w:tcPr>
            <w:tcW w:type="dxa" w:w="5040"/>
            <w:vAlign w:val="center"/>
          </w:tcPr>
          <w:p>
            <w:r>
              <w:t>#FFF1ED</w:t>
            </w:r>
          </w:p>
        </w:tc>
      </w:tr>
      <w:tr>
        <w:tc>
          <w:tcPr>
            <w:tcW w:type="dxa" w:w="5040"/>
            <w:vAlign w:val="center"/>
          </w:tcPr>
          <w:p>
            <w:r>
              <w:t>Background</w:t>
            </w:r>
          </w:p>
        </w:tc>
        <w:tc>
          <w:tcPr>
            <w:tcW w:type="dxa" w:w="5040"/>
            <w:vAlign w:val="center"/>
          </w:tcPr>
          <w:p>
            <w:r>
              <w:t>#F7F8FA</w:t>
            </w:r>
          </w:p>
        </w:tc>
      </w:tr>
      <w:tr>
        <w:tc>
          <w:tcPr>
            <w:tcW w:type="dxa" w:w="5040"/>
            <w:vAlign w:val="center"/>
          </w:tcPr>
          <w:p>
            <w:r>
              <w:t>White</w:t>
            </w:r>
          </w:p>
        </w:tc>
        <w:tc>
          <w:tcPr>
            <w:tcW w:type="dxa" w:w="5040"/>
            <w:vAlign w:val="center"/>
          </w:tcPr>
          <w:p>
            <w:r>
              <w:t>#FFFFFF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Text</w:t>
            </w:r>
          </w:p>
        </w:tc>
        <w:tc>
          <w:tcPr>
            <w:tcW w:type="dxa" w:w="5040"/>
            <w:vAlign w:val="center"/>
          </w:tcPr>
          <w:p>
            <w:r>
              <w:t>#202124</w:t>
            </w:r>
          </w:p>
        </w:tc>
      </w:tr>
      <w:tr>
        <w:tc>
          <w:tcPr>
            <w:tcW w:type="dxa" w:w="5040"/>
            <w:vAlign w:val="center"/>
          </w:tcPr>
          <w:p>
            <w:r>
              <w:t>Secondary Text</w:t>
            </w:r>
          </w:p>
        </w:tc>
        <w:tc>
          <w:tcPr>
            <w:tcW w:type="dxa" w:w="5040"/>
            <w:vAlign w:val="center"/>
          </w:tcPr>
          <w:p>
            <w:r>
              <w:t>#6B7280</w:t>
            </w:r>
          </w:p>
        </w:tc>
      </w:tr>
      <w:tr>
        <w:tc>
          <w:tcPr>
            <w:tcW w:type="dxa" w:w="5040"/>
            <w:vAlign w:val="center"/>
          </w:tcPr>
          <w:p>
            <w:r>
              <w:t>Border</w:t>
            </w:r>
          </w:p>
        </w:tc>
        <w:tc>
          <w:tcPr>
            <w:tcW w:type="dxa" w:w="5040"/>
            <w:vAlign w:val="center"/>
          </w:tcPr>
          <w:p>
            <w:r>
              <w:t>#E8EAED</w:t>
            </w:r>
          </w:p>
        </w:tc>
      </w:tr>
      <w:tr>
        <w:tc>
          <w:tcPr>
            <w:tcW w:type="dxa" w:w="5040"/>
            <w:vAlign w:val="center"/>
          </w:tcPr>
          <w:p>
            <w:r>
              <w:t>Font</w:t>
            </w:r>
          </w:p>
        </w:tc>
        <w:tc>
          <w:tcPr>
            <w:tcW w:type="dxa" w:w="5040"/>
            <w:vAlign w:val="center"/>
          </w:tcPr>
          <w:p>
            <w:r>
              <w:t>Inter or Manrope</w:t>
            </w:r>
          </w:p>
        </w:tc>
      </w:tr>
    </w:tbl>
    <w:p/>
    <w:p>
      <w:pPr>
        <w:spacing w:after="100"/>
      </w:pPr>
      <w:r>
        <w:t>Avoid heavy neumorphism, excessive gradients, dark dashboards, large orange backgrounds, glassmorphism, excessive animation and generic ERP styling.</w:t>
      </w:r>
    </w:p>
    <w:p>
      <w:pPr>
        <w:pStyle w:val="Heading1"/>
      </w:pPr>
      <w:r>
        <w:t>4. MAIN NAVIGATION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Dashboard / Cost Intelligence</w:t>
        <w:br/>
        <w:t>Cost Estimator</w:t>
        <w:br/>
        <w:t>Estimates</w:t>
        <w:br/>
        <w:t>Customers</w:t>
        <w:br/>
        <w:t>Reports</w:t>
        <w:br/>
        <w:t>Master Configuration</w:t>
        <w:br/>
        <w:t xml:space="preserve">    ├── Materials</w:t>
        <w:br/>
        <w:t xml:space="preserve">    ├── Printing</w:t>
        <w:br/>
        <w:t xml:space="preserve">    ├── Lamination</w:t>
        <w:br/>
        <w:t xml:space="preserve">    ├── Glue</w:t>
        <w:br/>
        <w:t xml:space="preserve">    ├── Punching</w:t>
        <w:br/>
        <w:t xml:space="preserve">    ├── Embellishments</w:t>
        <w:br/>
        <w:t xml:space="preserve">    ├── Inserts</w:t>
        <w:br/>
        <w:t xml:space="preserve">    ├── Accessories</w:t>
        <w:br/>
        <w:t xml:space="preserve">    ├── Conversion</w:t>
        <w:br/>
        <w:t xml:space="preserve">    ├── EB</w:t>
        <w:br/>
        <w:t xml:space="preserve">    └── Tooling / Dies</w:t>
        <w:br/>
        <w:t>Quotations</w:t>
        <w:br/>
        <w:t>Proforma</w:t>
        <w:br/>
        <w:t>Settings</w:t>
        <w:br/>
        <w:t>Users &amp; Roles</w:t>
        <w:br/>
        <w:t>Audit Log</w:t>
      </w:r>
    </w:p>
    <w:p>
      <w:pPr>
        <w:pStyle w:val="Heading1"/>
      </w:pPr>
      <w:r>
        <w:t>5. ARCHITECTURE</w:t>
      </w:r>
    </w:p>
    <w:p>
      <w:pPr>
        <w:spacing w:after="100"/>
      </w:pPr>
      <w:r>
        <w:t>Use a modular architecture. Keep the UI, application services, domain/costing engine, data access and database logically separated.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 xml:space="preserve">                    FRONTEND</w:t>
        <w:br/>
        <w:t xml:space="preserve">                       │</w:t>
        <w:br/>
        <w:t xml:space="preserve">                       ▼</w:t>
        <w:br/>
        <w:t xml:space="preserve">              APPLICATION SERVICES</w:t>
        <w:br/>
        <w:t xml:space="preserve">                       │</w:t>
        <w:br/>
        <w:t xml:space="preserve">                       ▼</w:t>
        <w:br/>
        <w:t xml:space="preserve">                 DOMAIN LAYER</w:t>
        <w:br/>
        <w:t xml:space="preserve">                       │</w:t>
        <w:br/>
        <w:t xml:space="preserve">          ┌────────────┴────────────┐</w:t>
        <w:br/>
        <w:t xml:space="preserve">          │                         │</w:t>
        <w:br/>
        <w:t xml:space="preserve">    COSTING ENGINE             AI EXTRACTION</w:t>
        <w:br/>
        <w:t xml:space="preserve">          │                         │</w:t>
        <w:br/>
        <w:t xml:space="preserve">          └────────────┬────────────┘</w:t>
        <w:br/>
        <w:t xml:space="preserve">                       │</w:t>
        <w:br/>
        <w:t xml:space="preserve">                       ▼</w:t>
        <w:br/>
        <w:t xml:space="preserve">                  DATABASE</w:t>
        <w:br/>
        <w:t xml:space="preserve">                       │</w:t>
        <w:br/>
        <w:t xml:space="preserve">                       ▼</w:t>
        <w:br/>
        <w:t xml:space="preserve">              REPORTING ENGINE</w:t>
        <w:br/>
        <w:t xml:space="preserve">                       │</w:t>
        <w:br/>
        <w:t xml:space="preserve">                       ▼</w:t>
        <w:br/>
        <w:t xml:space="preserve">              MANAGEMENT DASHBOARD</w:t>
      </w:r>
    </w:p>
    <w:p>
      <w:pPr>
        <w:spacing w:after="100"/>
      </w:pPr>
      <w:r>
        <w:t>Recommended stack: React/Next.js + TypeScript + Tailwind CSS; Node.js/TypeScript backend; PostgreSQL; role-based authentication; object storage for files; PDF generation service. Keep deployment portable and independent of Bolt, Lovable or Antigravity hosting.</w:t>
      </w:r>
    </w:p>
    <w:p>
      <w:pPr>
        <w:spacing w:after="100"/>
      </w:pPr>
      <w:r>
        <w:t>Required supporting capabilities: environment variables, database migrations, seed scripts, production build, structured logging, error-monitoring hooks, backup/restore strategy and secure file handling.</w:t>
      </w:r>
    </w:p>
    <w:p>
      <w:pPr>
        <w:pStyle w:val="Heading1"/>
      </w:pPr>
      <w:r>
        <w:t>6. VALUE HIERARCHY: MASTER VS ESTIMATE</w:t>
      </w:r>
    </w:p>
    <w:p>
      <w:pPr>
        <w:spacing w:after="100"/>
      </w:pPr>
      <w:r>
        <w:t>Every configurable costing value follows this hierarchy: LAYOUT VALUE → MASTER DEFAULT → ESTIMATE OVERRIDE → EFFECTIVE VALUE.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Example:</w:t>
        <w:br/>
        <w:t>Master Kappa Rate = ₹80/kg</w:t>
        <w:br/>
        <w:t>Estimate Override = ₹86/kg</w:t>
        <w:br/>
        <w:t>Effective Rate = ₹86/kg</w:t>
      </w:r>
    </w:p>
    <w:p>
      <w:pPr>
        <w:spacing w:after="100"/>
      </w:pPr>
      <w:r>
        <w:t>Every master-derived value visible in the estimator must be overridable where applicable. Provide a Reset to Master action.</w:t>
      </w:r>
    </w:p>
    <w:p>
      <w:pPr>
        <w:spacing w:after="100"/>
      </w:pPr>
      <w:r>
        <w:t>Store master_value, estimate_override, effective_value, is_overridden, overridden_by and overridden_at.</w:t>
      </w:r>
    </w:p>
    <w:p>
      <w:pPr>
        <w:pStyle w:val="Heading1"/>
      </w:pPr>
      <w:r>
        <w:t>7. HISTORICAL DATA RULE</w:t>
      </w:r>
    </w:p>
    <w:p>
      <w:pPr>
        <w:spacing w:after="100"/>
      </w:pPr>
      <w:r>
        <w:t>Once an estimate is finalized, future changes to Master Configuration must never alter that historical estimate.</w:t>
      </w:r>
    </w:p>
    <w:p>
      <w:pPr>
        <w:spacing w:after="100"/>
      </w:pPr>
      <w:r>
        <w:t>Finalized estimates must store immutable snapshots containing input snapshot, master values, override values, effective values, formula version, calculation results, timestamp and user.</w:t>
      </w:r>
    </w:p>
    <w:p>
      <w:pPr>
        <w:pStyle w:val="Heading1"/>
      </w:pPr>
      <w:r>
        <w:t>8. AI LAYOUT READER</w:t>
      </w:r>
    </w:p>
    <w:p>
      <w:pPr>
        <w:spacing w:after="100"/>
      </w:pPr>
      <w:r>
        <w:t>Accept PDF, PNG, JPG and JPEG.</w:t>
      </w:r>
    </w:p>
    <w:p>
      <w:pPr>
        <w:spacing w:after="100"/>
      </w:pPr>
      <w:r>
        <w:t>Extract finished dimensions, dieline/keyline dimensions, printing/purchasing sheet size, material, GSM, thickness, ups, order quantity, components, glue areas, embellishment areas, printing, lamination, punching, inserts and accessories.</w:t>
      </w:r>
    </w:p>
    <w:p>
      <w:pPr>
        <w:spacing w:after="100"/>
      </w:pPr>
      <w:r>
        <w:t>The AI must distinguish finished product size, dieline/keyline size, component size and purchasing/printing/wrapper sheet size.</w:t>
      </w:r>
    </w:p>
    <w:p>
      <w:pPr>
        <w:spacing w:after="100"/>
      </w:pPr>
      <w:r>
        <w:t>Every extracted field should contain value, confidence, source/reference and review status.</w:t>
      </w:r>
    </w:p>
    <w:p>
      <w:pPr>
        <w:spacing w:after="100"/>
      </w:pPr>
      <w:r>
        <w:t>AI must not guess critical costing inputs. If information is missing or uncertain, show Confirmation Required and allow the user to edit it.</w:t>
      </w:r>
    </w:p>
    <w:p>
      <w:pPr>
        <w:spacing w:after="100"/>
      </w:pPr>
      <w:r>
        <w:t>One estimate can contain multiple layouts/components, each with its own material, GSM, thickness, sheet size, ups, quantity, processes and areas.</w:t>
      </w:r>
    </w:p>
    <w:p>
      <w:pPr>
        <w:pStyle w:val="Heading1"/>
      </w:pPr>
      <w:r>
        <w:t>9. KAPPA BOARD MODULE</w:t>
      </w:r>
    </w:p>
    <w:p>
      <w:pPr>
        <w:spacing w:after="100"/>
      </w:pPr>
      <w:r>
        <w:t>Inputs: material, thickness, GSM reference, sheet size, ups, order quantity, wastage and rate/kg.</w:t>
      </w:r>
    </w:p>
    <w:p>
      <w:pPr>
        <w:spacing w:after="100"/>
      </w:pPr>
      <w:r>
        <w:t>Only Kappa uses Effective GSM = GSM @ 1mm × Thickness. Other papers such as Art Paper, FBB, Duplex and SBS use actual GSM directly; thickness does not enter their weight formula.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KG / Sheet = Sheet Area (m²) × Effective GSM / 1000</w:t>
        <w:br/>
        <w:t>Base Sheets = CEILING(Order Quantity / Ups)</w:t>
        <w:br/>
        <w:t>Total KG = Final Sheets × KG / Sheet</w:t>
        <w:br/>
        <w:t>Total Cost = Total KG × Effective Rate / KG</w:t>
        <w:br/>
        <w:t>Cost / Box = Total Cost / Order Quantity</w:t>
      </w:r>
    </w:p>
    <w:p>
      <w:pPr>
        <w:spacing w:after="100"/>
      </w:pPr>
      <w:r>
        <w:t>Thickness remains available for validation/reference even where it is not part of the formula.</w:t>
      </w:r>
    </w:p>
    <w:p>
      <w:pPr>
        <w:pStyle w:val="Heading1"/>
      </w:pPr>
      <w:r>
        <w:t>10. WRAPPER MATERIAL MODULE</w:t>
      </w:r>
    </w:p>
    <w:p>
      <w:pPr>
        <w:spacing w:after="100"/>
      </w:pPr>
      <w:r>
        <w:t>Wrapper uses actual GSM directly; do not multiply by thickness.</w:t>
      </w:r>
    </w:p>
    <w:p>
      <w:pPr>
        <w:spacing w:after="100"/>
      </w:pPr>
      <w:r>
        <w:t>Inputs: GSM, sheet size, ups, order quantity, rate/kg, wastage % and make-ready sheets.</w:t>
      </w:r>
    </w:p>
    <w:p>
      <w:pPr>
        <w:spacing w:after="100"/>
      </w:pPr>
      <w:r>
        <w:t>Default make-ready is 150 sheets, but it must be configurable and overridable.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Base Sheets = CEILING(Order Quantity / Ups)</w:t>
        <w:br/>
        <w:t>Wastage Sheets = CEILING(Base Sheets × Wastage %)</w:t>
        <w:br/>
        <w:t>Final Wrapper Sheets = Base Sheets + Wastage Sheets + Make-ready</w:t>
        <w:br/>
        <w:br/>
        <w:t>KG/Sheet = L(in) × W(in) × GSM × 0.00064516 / 1000</w:t>
        <w:br/>
        <w:t>or</w:t>
        <w:br/>
        <w:t>KG/Sheet = L(mm) × W(mm) × GSM / 1,000,000</w:t>
        <w:br/>
        <w:br/>
        <w:t>Total KG = Final Wrapper Sheets × KG/Sheet</w:t>
        <w:br/>
        <w:t>Total Cost = Total KG × Rate/KG</w:t>
        <w:br/>
        <w:t>Cost/Box = Total Cost / Order Quantity</w:t>
      </w:r>
    </w:p>
    <w:p>
      <w:pPr>
        <w:spacing w:after="100"/>
      </w:pPr>
      <w:r>
        <w:t>Final Wrapper Sheets is an upstream output. Printing, Lamination and Wrapper Punching must consume this value rather than recalculate wrapper quantity.</w:t>
      </w:r>
    </w:p>
    <w:p>
      <w:pPr>
        <w:pStyle w:val="Heading1"/>
      </w:pPr>
      <w:r>
        <w:t>11. PRINTING MODULE</w:t>
      </w:r>
    </w:p>
    <w:p>
      <w:pPr>
        <w:spacing w:after="100"/>
      </w:pPr>
      <w:r>
        <w:t>Printing uses Final Wrapper Sheets from the Wrapper module. It must not independently calculate wrapper quantity.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FF1ED"/>
            <w:vAlign w:val="center"/>
          </w:tcPr>
          <w:p>
            <w:r>
              <w:rPr>
                <w:b/>
                <w:color w:val="FF5A3A"/>
              </w:rPr>
              <w:t>Sheet Size</w:t>
            </w:r>
          </w:p>
        </w:tc>
        <w:tc>
          <w:tcPr>
            <w:tcW w:type="dxa" w:w="3360"/>
            <w:shd w:fill="FFF1ED"/>
            <w:vAlign w:val="center"/>
          </w:tcPr>
          <w:p>
            <w:r>
              <w:rPr>
                <w:b/>
                <w:color w:val="FF5A3A"/>
              </w:rPr>
              <w:t>First 1000</w:t>
            </w:r>
          </w:p>
        </w:tc>
        <w:tc>
          <w:tcPr>
            <w:tcW w:type="dxa" w:w="3360"/>
            <w:shd w:fill="FFF1ED"/>
            <w:vAlign w:val="center"/>
          </w:tcPr>
          <w:p>
            <w:r>
              <w:rPr>
                <w:b/>
                <w:color w:val="FF5A3A"/>
              </w:rPr>
              <w:t>Additional</w:t>
            </w:r>
          </w:p>
        </w:tc>
      </w:tr>
      <w:tr>
        <w:tc>
          <w:tcPr>
            <w:tcW w:type="dxa" w:w="3360"/>
            <w:vAlign w:val="center"/>
          </w:tcPr>
          <w:p>
            <w:r>
              <w:t>15 × 20</w:t>
            </w:r>
          </w:p>
        </w:tc>
        <w:tc>
          <w:tcPr>
            <w:tcW w:type="dxa" w:w="3360"/>
            <w:vAlign w:val="center"/>
          </w:tcPr>
          <w:p>
            <w:r>
              <w:t>₹1,500</w:t>
            </w:r>
          </w:p>
        </w:tc>
        <w:tc>
          <w:tcPr>
            <w:tcW w:type="dxa" w:w="3360"/>
            <w:vAlign w:val="center"/>
          </w:tcPr>
          <w:p>
            <w:r>
              <w:t>₹0.40/sheet</w:t>
            </w:r>
          </w:p>
        </w:tc>
      </w:tr>
      <w:tr>
        <w:tc>
          <w:tcPr>
            <w:tcW w:type="dxa" w:w="3360"/>
            <w:vAlign w:val="center"/>
          </w:tcPr>
          <w:p>
            <w:r>
              <w:t>20 × 28</w:t>
            </w:r>
          </w:p>
        </w:tc>
        <w:tc>
          <w:tcPr>
            <w:tcW w:type="dxa" w:w="3360"/>
            <w:vAlign w:val="center"/>
          </w:tcPr>
          <w:p>
            <w:r>
              <w:t>₹3,500</w:t>
            </w:r>
          </w:p>
        </w:tc>
        <w:tc>
          <w:tcPr>
            <w:tcW w:type="dxa" w:w="3360"/>
            <w:vAlign w:val="center"/>
          </w:tcPr>
          <w:p>
            <w:r>
              <w:t>₹0.50/sheet</w:t>
            </w:r>
          </w:p>
        </w:tc>
      </w:tr>
      <w:tr>
        <w:tc>
          <w:tcPr>
            <w:tcW w:type="dxa" w:w="3360"/>
            <w:vAlign w:val="center"/>
          </w:tcPr>
          <w:p>
            <w:r>
              <w:t>28 × 40</w:t>
            </w:r>
          </w:p>
        </w:tc>
        <w:tc>
          <w:tcPr>
            <w:tcW w:type="dxa" w:w="3360"/>
            <w:vAlign w:val="center"/>
          </w:tcPr>
          <w:p>
            <w:r>
              <w:t>₹6,500</w:t>
            </w:r>
          </w:p>
        </w:tc>
        <w:tc>
          <w:tcPr>
            <w:tcW w:type="dxa" w:w="3360"/>
            <w:vAlign w:val="center"/>
          </w:tcPr>
          <w:p>
            <w:r>
              <w:t>₹0.80/sheet</w:t>
            </w:r>
          </w:p>
        </w:tc>
      </w:tr>
    </w:tbl>
    <w:p/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If sheets &lt;= 1000:</w:t>
        <w:br/>
        <w:t>Printing Cost = First 1000 Rate</w:t>
        <w:br/>
        <w:br/>
        <w:t>If sheets &gt; 1000:</w:t>
        <w:br/>
        <w:t>Printing Cost = First 1000 Rate</w:t>
        <w:br/>
        <w:t xml:space="preserve">                + (Sheets - 1000) × Additional Rate</w:t>
      </w:r>
    </w:p>
    <w:p>
      <w:pPr>
        <w:spacing w:after="100"/>
      </w:pPr>
      <w:r>
        <w:t>Example: 1,800 sheets at 28×40 = ₹6,500 + (800 × ₹0.80) = ₹7,140. If order quantity is 1,500, cost/box = ₹4.76.</w:t>
      </w:r>
    </w:p>
    <w:p>
      <w:pPr>
        <w:spacing w:after="100"/>
      </w:pPr>
      <w:r>
        <w:t>Unsupported sheet sizes must require user confirmation.</w:t>
      </w:r>
    </w:p>
    <w:p>
      <w:pPr>
        <w:pStyle w:val="Heading1"/>
      </w:pPr>
      <w:r>
        <w:t>12. LAMINATION MODULE</w:t>
      </w:r>
    </w:p>
    <w:p>
      <w:pPr>
        <w:spacing w:after="100"/>
      </w:pPr>
      <w:r>
        <w:t>Types: Thermal, Cold and Dry. Example configurable defaults: Thermal ₹1.10, Cold ₹0.70 and Dry ₹0.80 per 100 sq.in.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Cost / Sheet = L(in) × W(in) × Rate / 100</w:t>
        <w:br/>
        <w:t>Total Lamination = Cost / Sheet × Final Wrapper Sheets</w:t>
        <w:br/>
        <w:t>Cost / Box = Total Lamination / Order Quantity</w:t>
      </w:r>
    </w:p>
    <w:p>
      <w:pPr>
        <w:spacing w:after="100"/>
      </w:pPr>
      <w:r>
        <w:t>If lamination type is uncertain, ask the user.</w:t>
      </w:r>
    </w:p>
    <w:p>
      <w:pPr>
        <w:pStyle w:val="Heading1"/>
      </w:pPr>
      <w:r>
        <w:t>13. GLUE MODULE</w:t>
      </w:r>
    </w:p>
    <w:p>
      <w:pPr>
        <w:spacing w:after="100"/>
      </w:pPr>
      <w:r>
        <w:t>Glue is based on actual glue-applicable surface area from the keyline/layout, not the whole wrapper sheet.</w:t>
      </w:r>
    </w:p>
    <w:p>
      <w:pPr>
        <w:spacing w:after="100"/>
      </w:pPr>
      <w:r>
        <w:t>Detect all glue-required components such as top wrapper, bottom wrapper, liner, paper components, EVA, EPE, foam and other glued inserts.</w:t>
      </w:r>
    </w:p>
    <w:p>
      <w:pPr>
        <w:spacing w:after="100"/>
      </w:pPr>
      <w:r>
        <w:t>Master fields: glue type, application GSM and rate/kg. Example hot-glue application GSM is 20 GSM, but this is configurable.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Glue Weight = Actual Glue Area × Application GSM</w:t>
        <w:br/>
        <w:t>Total Glue Weight = Sum of all component glue weights</w:t>
        <w:br/>
        <w:t>Glue Cost = Total Glue Weight × Rate/KG</w:t>
        <w:br/>
        <w:t>Cost/Box = Glue Cost / Order Quantity</w:t>
      </w:r>
    </w:p>
    <w:p>
      <w:pPr>
        <w:spacing w:after="100"/>
      </w:pPr>
      <w:r>
        <w:t>Show component, area, application GSM, weight, rate and cost. Multiple layouts/components must be supported.</w:t>
      </w:r>
    </w:p>
    <w:p>
      <w:pPr>
        <w:pStyle w:val="Heading1"/>
      </w:pPr>
      <w:r>
        <w:t>14. PUNCHING MODULE</w:t>
      </w:r>
    </w:p>
    <w:p>
      <w:pPr>
        <w:spacing w:after="100"/>
      </w:pPr>
      <w:r>
        <w:t>Punching applies to Kappa, Wrapper, FBB, Duplex, Foam, EVA, EPE and other configured materials. Quantity must come from relevant upstream layouts/modules.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FF1ED"/>
            <w:vAlign w:val="center"/>
          </w:tcPr>
          <w:p>
            <w:r>
              <w:rPr>
                <w:b/>
                <w:color w:val="FF5A3A"/>
              </w:rPr>
              <w:t>Material</w:t>
            </w:r>
          </w:p>
        </w:tc>
        <w:tc>
          <w:tcPr>
            <w:tcW w:type="dxa" w:w="3360"/>
            <w:shd w:fill="FFF1ED"/>
            <w:vAlign w:val="center"/>
          </w:tcPr>
          <w:p>
            <w:r>
              <w:rPr>
                <w:b/>
                <w:color w:val="FF5A3A"/>
              </w:rPr>
              <w:t>Speed</w:t>
            </w:r>
          </w:p>
        </w:tc>
        <w:tc>
          <w:tcPr>
            <w:tcW w:type="dxa" w:w="3360"/>
            <w:shd w:fill="FFF1ED"/>
            <w:vAlign w:val="center"/>
          </w:tcPr>
          <w:p>
            <w:r>
              <w:rPr>
                <w:b/>
                <w:color w:val="FF5A3A"/>
              </w:rPr>
              <w:t>Setup</w:t>
            </w:r>
          </w:p>
        </w:tc>
      </w:tr>
      <w:tr>
        <w:tc>
          <w:tcPr>
            <w:tcW w:type="dxa" w:w="3360"/>
            <w:vAlign w:val="center"/>
          </w:tcPr>
          <w:p>
            <w:r>
              <w:t>Kappa</w:t>
            </w:r>
          </w:p>
        </w:tc>
        <w:tc>
          <w:tcPr>
            <w:tcW w:type="dxa" w:w="3360"/>
            <w:vAlign w:val="center"/>
          </w:tcPr>
          <w:p>
            <w:r>
              <w:t>400 sheets/hour</w:t>
            </w:r>
          </w:p>
        </w:tc>
        <w:tc>
          <w:tcPr>
            <w:tcW w:type="dxa" w:w="3360"/>
            <w:vAlign w:val="center"/>
          </w:tcPr>
          <w:p>
            <w:r>
              <w:t>30 min</w:t>
            </w:r>
          </w:p>
        </w:tc>
      </w:tr>
      <w:tr>
        <w:tc>
          <w:tcPr>
            <w:tcW w:type="dxa" w:w="3360"/>
            <w:vAlign w:val="center"/>
          </w:tcPr>
          <w:p>
            <w:r>
              <w:t>Wrapper</w:t>
            </w:r>
          </w:p>
        </w:tc>
        <w:tc>
          <w:tcPr>
            <w:tcW w:type="dxa" w:w="3360"/>
            <w:vAlign w:val="center"/>
          </w:tcPr>
          <w:p>
            <w:r>
              <w:t>600 sheets/hour</w:t>
            </w:r>
          </w:p>
        </w:tc>
        <w:tc>
          <w:tcPr>
            <w:tcW w:type="dxa" w:w="3360"/>
            <w:vAlign w:val="center"/>
          </w:tcPr>
          <w:p>
            <w:r>
              <w:t>30 min</w:t>
            </w:r>
          </w:p>
        </w:tc>
      </w:tr>
      <w:tr>
        <w:tc>
          <w:tcPr>
            <w:tcW w:type="dxa" w:w="3360"/>
            <w:vAlign w:val="center"/>
          </w:tcPr>
          <w:p>
            <w:r>
              <w:t>FBB</w:t>
            </w:r>
          </w:p>
        </w:tc>
        <w:tc>
          <w:tcPr>
            <w:tcW w:type="dxa" w:w="3360"/>
            <w:vAlign w:val="center"/>
          </w:tcPr>
          <w:p>
            <w:r>
              <w:t>600 sheets/hour</w:t>
            </w:r>
          </w:p>
        </w:tc>
        <w:tc>
          <w:tcPr>
            <w:tcW w:type="dxa" w:w="3360"/>
            <w:vAlign w:val="center"/>
          </w:tcPr>
          <w:p>
            <w:r>
              <w:t>30 min</w:t>
            </w:r>
          </w:p>
        </w:tc>
      </w:tr>
      <w:tr>
        <w:tc>
          <w:tcPr>
            <w:tcW w:type="dxa" w:w="3360"/>
            <w:vAlign w:val="center"/>
          </w:tcPr>
          <w:p>
            <w:r>
              <w:t>Duplex</w:t>
            </w:r>
          </w:p>
        </w:tc>
        <w:tc>
          <w:tcPr>
            <w:tcW w:type="dxa" w:w="3360"/>
            <w:vAlign w:val="center"/>
          </w:tcPr>
          <w:p>
            <w:r>
              <w:t>600 sheets/hour</w:t>
            </w:r>
          </w:p>
        </w:tc>
        <w:tc>
          <w:tcPr>
            <w:tcW w:type="dxa" w:w="3360"/>
            <w:vAlign w:val="center"/>
          </w:tcPr>
          <w:p>
            <w:r>
              <w:t>30 min</w:t>
            </w:r>
          </w:p>
        </w:tc>
      </w:tr>
      <w:tr>
        <w:tc>
          <w:tcPr>
            <w:tcW w:type="dxa" w:w="3360"/>
            <w:vAlign w:val="center"/>
          </w:tcPr>
          <w:p>
            <w:r>
              <w:t>Foam/EVA/EPE</w:t>
            </w:r>
          </w:p>
        </w:tc>
        <w:tc>
          <w:tcPr>
            <w:tcW w:type="dxa" w:w="3360"/>
            <w:vAlign w:val="center"/>
          </w:tcPr>
          <w:p>
            <w:r>
              <w:t>500 sheets/hour</w:t>
            </w:r>
          </w:p>
        </w:tc>
        <w:tc>
          <w:tcPr>
            <w:tcW w:type="dxa" w:w="3360"/>
            <w:vAlign w:val="center"/>
          </w:tcPr>
          <w:p>
            <w:r>
              <w:t>30 min</w:t>
            </w:r>
          </w:p>
        </w:tc>
      </w:tr>
    </w:tbl>
    <w:p/>
    <w:p>
      <w:pPr>
        <w:spacing w:after="100"/>
      </w:pPr>
      <w:r>
        <w:t>Example machine rate: ₹400/hour. All values are configurable and overridable.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Production Time = Quantity / Speed</w:t>
        <w:br/>
        <w:t>Total Time = Production Time + Setup Time</w:t>
        <w:br/>
        <w:t>Punching Cost = Total Time × Machine Rate</w:t>
        <w:br/>
        <w:t>Cost/Box = Punching Cost / Order Quantity</w:t>
      </w:r>
    </w:p>
    <w:p>
      <w:pPr>
        <w:spacing w:after="100"/>
      </w:pPr>
      <w:r>
        <w:t>Different genuine punching jobs must be calculated separately, each with its own setup.</w:t>
      </w:r>
    </w:p>
    <w:p>
      <w:pPr>
        <w:pStyle w:val="Heading1"/>
      </w:pPr>
      <w:r>
        <w:t>15. EMBELLISHMENTS</w:t>
      </w:r>
    </w:p>
    <w:p>
      <w:pPr>
        <w:spacing w:after="100"/>
      </w:pPr>
      <w:r>
        <w:t>Parent module: Embellishments. Submodules: Foiling, Spot UV, Drip-Off, Embossing and Debossing.</w:t>
      </w:r>
    </w:p>
    <w:p>
      <w:pPr>
        <w:spacing w:after="100"/>
      </w:pPr>
      <w:r>
        <w:t>Each process must support area, rate, setup, minimum charge, machine parameters and tooling/die where applicable.</w:t>
      </w:r>
    </w:p>
    <w:p>
      <w:pPr>
        <w:spacing w:after="100"/>
      </w:pPr>
      <w:r>
        <w:t>Foil types include Gold, Silver, Rose Gold, Copper, Holographic and Other. Actual foil area should come from the layout where possible.</w:t>
      </w:r>
    </w:p>
    <w:p>
      <w:pPr>
        <w:pStyle w:val="Heading1"/>
      </w:pPr>
      <w:r>
        <w:t>16. TOOLING / DIES</w:t>
      </w:r>
    </w:p>
    <w:p>
      <w:pPr>
        <w:spacing w:after="100"/>
      </w:pPr>
      <w:r>
        <w:t>Tooling categories: Punching Die, Foil Die, Embossing Die and Other.</w:t>
      </w:r>
    </w:p>
    <w:p>
      <w:pPr>
        <w:spacing w:after="100"/>
      </w:pPr>
      <w:r>
        <w:t>Fields: type, base cost, size/area, supplier, active/inactive and minimum quantity.</w:t>
      </w:r>
    </w:p>
    <w:p>
      <w:pPr>
        <w:spacing w:after="100"/>
      </w:pPr>
      <w:r>
        <w:t>Tooling may be treated as a separate cost or amortized per box, but never both. Avoid double counting.</w:t>
      </w:r>
    </w:p>
    <w:p>
      <w:pPr>
        <w:pStyle w:val="Heading1"/>
      </w:pPr>
      <w:r>
        <w:t>17. INSERT MODULE</w:t>
      </w:r>
    </w:p>
    <w:p>
      <w:pPr>
        <w:spacing w:after="100"/>
      </w:pPr>
      <w:r>
        <w:t>Supported materials: Paper Board, Duplex, FBB, EVA, EPE, Foam and Other.</w:t>
      </w:r>
    </w:p>
    <w:p>
      <w:pPr>
        <w:spacing w:after="100"/>
      </w:pPr>
      <w:r>
        <w:t>Each insert component supports material, GSM, thickness, quantity/box, ups, layout, punching, glue and wrapping.</w:t>
      </w:r>
    </w:p>
    <w:p>
      <w:pPr>
        <w:spacing w:after="100"/>
      </w:pPr>
      <w:r>
        <w:t>Avoid double counting. If material, punching and glue have already been costed elsewhere for the same component, the Insert module must reference those outputs rather than add them again.</w:t>
      </w:r>
    </w:p>
    <w:p>
      <w:pPr>
        <w:pStyle w:val="Heading1"/>
      </w:pPr>
      <w:r>
        <w:t>18. ACCESSORIES MODULE</w:t>
      </w:r>
    </w:p>
    <w:p>
      <w:pPr>
        <w:spacing w:after="100"/>
      </w:pPr>
      <w:r>
        <w:t>Support Magnets, Ribbon, Window Film, Velcro, Elastic, Metal Badge, Pull Tab and Other.</w:t>
      </w:r>
    </w:p>
    <w:p>
      <w:pPr>
        <w:spacing w:after="100"/>
      </w:pPr>
      <w:r>
        <w:t>Master fields: item, unit, unit cost, supplier and active/inactive.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Accessory Cost = Quantity per Box × Unit Cost</w:t>
      </w:r>
    </w:p>
    <w:p>
      <w:pPr>
        <w:spacing w:after="100"/>
      </w:pPr>
      <w:r>
        <w:t>Allow estimate-level override.</w:t>
      </w:r>
    </w:p>
    <w:p>
      <w:pPr>
        <w:pStyle w:val="Heading1"/>
      </w:pPr>
      <w:r>
        <w:t>19. CONVERSION / LABOUR</w:t>
      </w:r>
    </w:p>
    <w:p>
      <w:pPr>
        <w:spacing w:after="100"/>
      </w:pPr>
      <w:r>
        <w:t>Modes: Manual, Semi-Automatic and Automatic.</w:t>
      </w:r>
    </w:p>
    <w:p>
      <w:pPr>
        <w:spacing w:after="100"/>
      </w:pPr>
      <w:r>
        <w:t>Possible inputs: machine, machine rate/hour, machine speed, machine hours, setup time, labour rate/hour, employee count and labour hours.</w:t>
      </w:r>
    </w:p>
    <w:p>
      <w:pPr>
        <w:spacing w:after="100"/>
      </w:pPr>
      <w:r>
        <w:t>Employee count and hours are job-specific; master values are defaults.</w:t>
      </w:r>
    </w:p>
    <w:p>
      <w:pPr>
        <w:spacing w:after="100"/>
      </w:pPr>
      <w:r>
        <w:t>The exact Pacfully conversion formula is not finalized. Do not invent it. Keep the framework configuration-driven and mark missing business rules as CONFIGURATION REQUIRED.</w:t>
      </w:r>
    </w:p>
    <w:p>
      <w:pPr>
        <w:spacing w:after="100"/>
      </w:pPr>
      <w:r>
        <w:t>Return machine cost, labour cost, setup cost, total conversion cost and cost/box.</w:t>
      </w:r>
    </w:p>
    <w:p>
      <w:pPr>
        <w:pStyle w:val="Heading1"/>
      </w:pPr>
      <w:r>
        <w:t>20. EB MODULE</w:t>
      </w:r>
    </w:p>
    <w:p>
      <w:pPr>
        <w:spacing w:after="100"/>
      </w:pPr>
      <w:r>
        <w:t>EB is a separate module. Support configurable methods: ₹/box, percentage, hourly, fixed and other.</w:t>
      </w:r>
    </w:p>
    <w:p>
      <w:pPr>
        <w:spacing w:after="100"/>
      </w:pPr>
      <w:r>
        <w:t>The exact EB business formula is not finalized. Do not invent it. Mark it CONFIGURATION REQUIRED until confirmed.</w:t>
      </w:r>
    </w:p>
    <w:p>
      <w:pPr>
        <w:pStyle w:val="Heading1"/>
      </w:pPr>
      <w:r>
        <w:t>21. TOTAL MANUFACTURING COST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Total Manufacturing Cost =</w:t>
        <w:br/>
        <w:t>Kappa</w:t>
        <w:br/>
        <w:t>+ Wrapper</w:t>
        <w:br/>
        <w:t>+ Printing</w:t>
        <w:br/>
        <w:t>+ Lamination</w:t>
        <w:br/>
        <w:t>+ Glue</w:t>
        <w:br/>
        <w:t>+ Punching</w:t>
        <w:br/>
        <w:t>+ Embellishments</w:t>
        <w:br/>
        <w:t>+ Insert</w:t>
        <w:br/>
        <w:t>+ Accessories</w:t>
        <w:br/>
        <w:t>+ Conversion</w:t>
        <w:br/>
        <w:t>+ EB</w:t>
        <w:br/>
        <w:br/>
        <w:t>Cost / Box =</w:t>
        <w:br/>
        <w:t>Total Manufacturing Cost / Order Quantity</w:t>
      </w:r>
    </w:p>
    <w:p>
      <w:pPr>
        <w:pStyle w:val="Heading1"/>
      </w:pPr>
      <w:r>
        <w:t>22. COST WEIGHTAGE</w:t>
      </w:r>
    </w:p>
    <w:p>
      <w:pPr>
        <w:spacing w:after="100"/>
      </w:pPr>
      <w:r>
        <w:t>Calculate module weightage as Module Cost / Total Manufacturing Cost × 100.</w:t>
      </w:r>
    </w:p>
    <w:p>
      <w:pPr>
        <w:spacing w:after="100"/>
      </w:pPr>
      <w:r>
        <w:t>Display Kappa, Wrapper, Printing, Lamination, Glue, Punching, Embellishments, Insert, Accessories, Conversion and EB.</w:t>
      </w:r>
    </w:p>
    <w:p>
      <w:pPr>
        <w:spacing w:after="100"/>
      </w:pPr>
      <w:r>
        <w:t>Use donut chart, horizontal bar and table. Support grouped views such as Material, Printing &amp; Finishing and Conversion.</w:t>
      </w:r>
    </w:p>
    <w:p>
      <w:pPr>
        <w:pStyle w:val="Heading1"/>
      </w:pPr>
      <w:r>
        <w:t>23. MARGIN</w:t>
      </w:r>
    </w:p>
    <w:p>
      <w:pPr>
        <w:spacing w:after="100"/>
      </w:pPr>
      <w:r>
        <w:t>If margin is defined as a percentage of selling price, use: Selling Price = Cost / (1 - Margin %).</w:t>
      </w:r>
    </w:p>
    <w:p>
      <w:pPr>
        <w:spacing w:after="100"/>
      </w:pPr>
      <w:r>
        <w:t>Example: Cost ₹100 and margin 20% → selling price ₹125.</w:t>
      </w:r>
    </w:p>
    <w:p>
      <w:pPr>
        <w:spacing w:after="100"/>
      </w:pPr>
      <w:r>
        <w:t>Display manufacturing cost/box, margin %, selling price/box and total order value.</w:t>
      </w:r>
    </w:p>
    <w:p>
      <w:pPr>
        <w:pStyle w:val="Heading1"/>
      </w:pPr>
      <w:r>
        <w:t>24. CALCULATION TRACE</w:t>
      </w:r>
    </w:p>
    <w:p>
      <w:pPr>
        <w:spacing w:after="100"/>
      </w:pPr>
      <w:r>
        <w:t>Every module must provide a human-readable How was this calculated? section.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Wrapper</w:t>
        <w:br/>
        <w:t>Order Quantity: 1500</w:t>
        <w:br/>
        <w:t>Ups: 1</w:t>
        <w:br/>
        <w:t>Base Sheets: 1500</w:t>
        <w:br/>
        <w:t>Wastage: 10%</w:t>
        <w:br/>
        <w:t>Wastage Sheets: 150</w:t>
        <w:br/>
        <w:t>Make-ready: 150</w:t>
        <w:br/>
        <w:t>Final Sheets: 1800</w:t>
        <w:br/>
        <w:t>Sheet Size: 28 × 40</w:t>
        <w:br/>
        <w:t>GSM: 128</w:t>
        <w:br/>
        <w:t>KG/Sheet: [calculated]</w:t>
        <w:br/>
        <w:t>Total KG: [calculated]</w:t>
        <w:br/>
        <w:t>Effective Rate: [calculated]</w:t>
        <w:br/>
        <w:t>Total Cost: [calculated]</w:t>
        <w:br/>
        <w:t>Cost/Box: [calculated]</w:t>
      </w:r>
    </w:p>
    <w:p>
      <w:pPr>
        <w:pStyle w:val="Heading1"/>
      </w:pPr>
      <w:r>
        <w:t>25. MANAGEMENT DASHBOARD — COST INTELLIGENCE</w:t>
      </w:r>
    </w:p>
    <w:p>
      <w:pPr>
        <w:spacing w:after="100"/>
      </w:pPr>
      <w:r>
        <w:t>Build the dashboard simultaneously with each costing module. Do not wait until all modules are completed.</w:t>
      </w:r>
    </w:p>
    <w:p>
      <w:pPr>
        <w:spacing w:after="100"/>
      </w:pPr>
      <w:r>
        <w:t>KPI cards: quotation count, quoted value, average quote, average cost/box, average margin and average costing calculation time.</w:t>
      </w:r>
    </w:p>
    <w:p>
      <w:pPr>
        <w:spacing w:after="100"/>
      </w:pPr>
      <w:r>
        <w:t>Filters: date, customer, location, product, salesperson and quantity range.</w:t>
      </w:r>
    </w:p>
    <w:p>
      <w:pPr>
        <w:spacing w:after="100"/>
      </w:pPr>
      <w:r>
        <w:t>Cost allocation: total cost across Kappa, Wrapper, Printing, Lamination, Glue, Punching, Embellishments, Insert, Accessories, Conversion and EB.</w:t>
      </w:r>
    </w:p>
    <w:p>
      <w:pPr>
        <w:spacing w:after="100"/>
      </w:pPr>
      <w:r>
        <w:t>Show monthly quotation analysis, cost component trends, location-wise analysis, product/package analysis, customer-wise costing and quantity vs cost/box.</w:t>
      </w:r>
    </w:p>
    <w:p>
      <w:pPr>
        <w:spacing w:after="100"/>
      </w:pPr>
      <w:r>
        <w:t>If a module is not implemented/configured, display Not yet configured. Never fabricate data.</w:t>
      </w:r>
    </w:p>
    <w:p>
      <w:pPr>
        <w:pStyle w:val="Heading1"/>
      </w:pPr>
      <w:r>
        <w:t>26. MASTER OVERRIDE ANALYTICS</w:t>
      </w:r>
    </w:p>
    <w:p>
      <w:pPr>
        <w:spacing w:after="100"/>
      </w:pPr>
      <w:r>
        <w:t>Track how often estimates override master values and compare master values with average effective/overridden values.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Example:</w:t>
        <w:br/>
        <w:t>Kappa Rate</w:t>
        <w:br/>
        <w:t>Master: ₹80</w:t>
        <w:br/>
        <w:t>Average Effective: ₹84</w:t>
        <w:br/>
        <w:t>Override Frequency: 27%</w:t>
      </w:r>
    </w:p>
    <w:p>
      <w:pPr>
        <w:spacing w:after="100"/>
      </w:pPr>
      <w:r>
        <w:t>Apply the same framework to printing, lamination, glue, punching, conversion and other configurable modules.</w:t>
      </w:r>
    </w:p>
    <w:p>
      <w:pPr>
        <w:pStyle w:val="Heading1"/>
      </w:pPr>
      <w:r>
        <w:t>27. COSTING TIME ANALYTICS</w:t>
      </w:r>
    </w:p>
    <w:p>
      <w:pPr>
        <w:spacing w:after="100"/>
      </w:pPr>
      <w:r>
        <w:t>Track: Estimate Created, File Uploaded, AI Extraction Started, AI Extraction Completed, Manual Review Started, Manual Review Completed, Costing Completed and Quotation Generated.</w:t>
      </w:r>
    </w:p>
    <w:p>
      <w:pPr>
        <w:spacing w:after="100"/>
      </w:pPr>
      <w:r>
        <w:t>Calculate AI extraction time, manual review time, costing time and total estimate preparation time.</w:t>
      </w:r>
    </w:p>
    <w:p>
      <w:pPr>
        <w:pStyle w:val="Heading1"/>
      </w:pPr>
      <w:r>
        <w:t>28. QUOTATION</w:t>
      </w:r>
    </w:p>
    <w:p>
      <w:pPr>
        <w:spacing w:after="100"/>
      </w:pPr>
      <w:r>
        <w:t>Quotation is customer-facing. Do not expose internal manufacturing cost, internal rates, module breakdown or internal margin.</w:t>
      </w:r>
    </w:p>
    <w:p>
      <w:pPr>
        <w:spacing w:after="100"/>
      </w:pPr>
      <w:r>
        <w:t>Include PACFULLY branding, quote number/date/validity, customer, product, dimensions, quantity, unit price, total, tax if applicable, delivery/lead time, payment terms and notes.</w:t>
      </w:r>
    </w:p>
    <w:p>
      <w:pPr>
        <w:pStyle w:val="Heading1"/>
      </w:pPr>
      <w:r>
        <w:t>29. PROFORMA</w:t>
      </w:r>
    </w:p>
    <w:p>
      <w:pPr>
        <w:spacing w:after="100"/>
      </w:pPr>
      <w:r>
        <w:t>Include proforma number/date, customer, billing/shipping address, product, quantity, unit price, subtotal, GST, grand total, bank details, payment terms, delivery terms and notes.</w:t>
      </w:r>
    </w:p>
    <w:p>
      <w:pPr>
        <w:spacing w:after="100"/>
      </w:pPr>
      <w:r>
        <w:t>Both Quotation and Proforma must use the same finalized estimate snapshot.</w:t>
      </w:r>
    </w:p>
    <w:p>
      <w:pPr>
        <w:pStyle w:val="Heading1"/>
      </w:pPr>
      <w:r>
        <w:t>30. DATA MODEL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users</w:t>
        <w:br/>
        <w:t>roles</w:t>
        <w:br/>
        <w:t>customers</w:t>
        <w:br/>
        <w:br/>
        <w:t>estimates</w:t>
        <w:br/>
        <w:t>estimate_layouts</w:t>
        <w:br/>
        <w:t>layout_components</w:t>
        <w:br/>
        <w:br/>
        <w:t>materials</w:t>
        <w:br/>
        <w:t>material_rates</w:t>
        <w:br/>
        <w:t>printing_rates</w:t>
        <w:br/>
        <w:t>lamination_rates</w:t>
        <w:br/>
        <w:t>glue_rates</w:t>
        <w:br/>
        <w:t>punching_rates</w:t>
        <w:br/>
        <w:t>embellishment_rates</w:t>
        <w:br/>
        <w:t>tooling_dies</w:t>
        <w:br/>
        <w:t>accessories</w:t>
        <w:br/>
        <w:t>conversion_rates</w:t>
        <w:br/>
        <w:t>eb_rates</w:t>
        <w:br/>
        <w:br/>
        <w:t>estimate_overrides</w:t>
        <w:br/>
        <w:t>estimate_cost_lines</w:t>
        <w:br/>
        <w:t>estimate_snapshots</w:t>
        <w:br/>
        <w:br/>
        <w:t>quotations</w:t>
        <w:br/>
        <w:t>proformas</w:t>
        <w:br/>
        <w:br/>
        <w:t>audit_events</w:t>
        <w:br/>
        <w:t>estimate_events</w:t>
      </w:r>
    </w:p>
    <w:p>
      <w:pPr>
        <w:spacing w:after="100"/>
      </w:pPr>
      <w:r>
        <w:t>Potential supporting entities: formula_versions, document_templates, product_types, locations and reporting dimensions/statuses.</w:t>
      </w:r>
    </w:p>
    <w:p>
      <w:pPr>
        <w:pStyle w:val="Heading1"/>
      </w:pPr>
      <w:r>
        <w:t>31. COSTING ENGINE CONTRACT</w:t>
      </w:r>
    </w:p>
    <w:p>
      <w:pPr>
        <w:spacing w:after="100"/>
      </w:pPr>
      <w:r>
        <w:t>Every costing service receives estimateId, layout/component inputs, master defaults, estimate overrides, order quantity and validated upstream outputs.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Validate Inputs</w:t>
        <w:br/>
        <w:t>↓</w:t>
        <w:br/>
        <w:t>Resolve Master Values</w:t>
        <w:br/>
        <w:t>↓</w:t>
        <w:br/>
        <w:t>Apply Estimate Overrides</w:t>
        <w:br/>
        <w:t>↓</w:t>
        <w:br/>
        <w:t>Determine Effective Values</w:t>
        <w:br/>
        <w:t>↓</w:t>
        <w:br/>
        <w:t>Calculate Cost</w:t>
        <w:br/>
        <w:t>↓</w:t>
        <w:br/>
        <w:t>Create Calculation Trace</w:t>
        <w:br/>
        <w:t>↓</w:t>
        <w:br/>
        <w:t>Store Cost Line</w:t>
      </w:r>
    </w:p>
    <w:p>
      <w:pPr>
        <w:spacing w:after="100"/>
      </w:pPr>
      <w:r>
        <w:t>Output: module, status, inputs_snapshot, master_values, override_values, effective_values, quantity, unit, setup, wastage, total_cost, cost_per_box, warnings and calculation_trace.</w:t>
      </w:r>
    </w:p>
    <w:p>
      <w:pPr>
        <w:pStyle w:val="Heading1"/>
      </w:pPr>
      <w:r>
        <w:t>32.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F1ED"/>
            <w:vAlign w:val="center"/>
          </w:tcPr>
          <w:p>
            <w:r>
              <w:rPr>
                <w:b/>
                <w:color w:val="FF5A3A"/>
              </w:rPr>
              <w:t>Phase</w:t>
            </w:r>
          </w:p>
        </w:tc>
        <w:tc>
          <w:tcPr>
            <w:tcW w:type="dxa" w:w="5040"/>
            <w:shd w:fill="FFF1ED"/>
            <w:vAlign w:val="center"/>
          </w:tcPr>
          <w:p>
            <w:r>
              <w:rPr>
                <w:b/>
                <w:color w:val="FF5A3A"/>
              </w:rPr>
              <w:t>Scope</w:t>
            </w:r>
          </w:p>
        </w:tc>
      </w:tr>
      <w:tr>
        <w:tc>
          <w:tcPr>
            <w:tcW w:type="dxa" w:w="5040"/>
            <w:vAlign w:val="center"/>
          </w:tcPr>
          <w:p>
            <w:r>
              <w:t>1</w:t>
            </w:r>
          </w:p>
        </w:tc>
        <w:tc>
          <w:tcPr>
            <w:tcW w:type="dxa" w:w="5040"/>
            <w:vAlign w:val="center"/>
          </w:tcPr>
          <w:p>
            <w:r>
              <w:t>Foundation: shell, design system, auth/RBAC, routing, DB, dashboard framework</w:t>
            </w:r>
          </w:p>
        </w:tc>
      </w:tr>
      <w:tr>
        <w:tc>
          <w:tcPr>
            <w:tcW w:type="dxa" w:w="5040"/>
            <w:vAlign w:val="center"/>
          </w:tcPr>
          <w:p>
            <w:r>
              <w:t>2</w:t>
            </w:r>
          </w:p>
        </w:tc>
        <w:tc>
          <w:tcPr>
            <w:tcW w:type="dxa" w:w="5040"/>
            <w:vAlign w:val="center"/>
          </w:tcPr>
          <w:p>
            <w:r>
              <w:t>Estimate + Layout: customers, estimates, uploads, AI extraction, review, multiple layouts</w:t>
            </w:r>
          </w:p>
        </w:tc>
      </w:tr>
      <w:tr>
        <w:tc>
          <w:tcPr>
            <w:tcW w:type="dxa" w:w="5040"/>
            <w:vAlign w:val="center"/>
          </w:tcPr>
          <w:p>
            <w:r>
              <w:t>3</w:t>
            </w:r>
          </w:p>
        </w:tc>
        <w:tc>
          <w:tcPr>
            <w:tcW w:type="dxa" w:w="5040"/>
            <w:vAlign w:val="center"/>
          </w:tcPr>
          <w:p>
            <w:r>
              <w:t>Kappa + Wrapper: masters, overrides, formulas, tests, cost lines, dashboard</w:t>
            </w:r>
          </w:p>
        </w:tc>
      </w:tr>
      <w:tr>
        <w:tc>
          <w:tcPr>
            <w:tcW w:type="dxa" w:w="5040"/>
            <w:vAlign w:val="center"/>
          </w:tcPr>
          <w:p>
            <w:r>
              <w:t>4</w:t>
            </w:r>
          </w:p>
        </w:tc>
        <w:tc>
          <w:tcPr>
            <w:tcW w:type="dxa" w:w="5040"/>
            <w:vAlign w:val="center"/>
          </w:tcPr>
          <w:p>
            <w:r>
              <w:t>Printing + Lamination: formulas, dependencies, tests, dashboard</w:t>
            </w:r>
          </w:p>
        </w:tc>
      </w:tr>
      <w:tr>
        <w:tc>
          <w:tcPr>
            <w:tcW w:type="dxa" w:w="5040"/>
            <w:vAlign w:val="center"/>
          </w:tcPr>
          <w:p>
            <w:r>
              <w:t>5</w:t>
            </w:r>
          </w:p>
        </w:tc>
        <w:tc>
          <w:tcPr>
            <w:tcW w:type="dxa" w:w="5040"/>
            <w:vAlign w:val="center"/>
          </w:tcPr>
          <w:p>
            <w:r>
              <w:t>Glue + Punching: geometry, material-specific punching, tests, dashboard</w:t>
            </w:r>
          </w:p>
        </w:tc>
      </w:tr>
      <w:tr>
        <w:tc>
          <w:tcPr>
            <w:tcW w:type="dxa" w:w="5040"/>
            <w:vAlign w:val="center"/>
          </w:tcPr>
          <w:p>
            <w:r>
              <w:t>6</w:t>
            </w:r>
          </w:p>
        </w:tc>
        <w:tc>
          <w:tcPr>
            <w:tcW w:type="dxa" w:w="5040"/>
            <w:vAlign w:val="center"/>
          </w:tcPr>
          <w:p>
            <w:r>
              <w:t>Embellishments + Insert + Accessories</w:t>
            </w:r>
          </w:p>
        </w:tc>
      </w:tr>
      <w:tr>
        <w:tc>
          <w:tcPr>
            <w:tcW w:type="dxa" w:w="5040"/>
            <w:vAlign w:val="center"/>
          </w:tcPr>
          <w:p>
            <w:r>
              <w:t>7</w:t>
            </w:r>
          </w:p>
        </w:tc>
        <w:tc>
          <w:tcPr>
            <w:tcW w:type="dxa" w:w="5040"/>
            <w:vAlign w:val="center"/>
          </w:tcPr>
          <w:p>
            <w:r>
              <w:t>Conversion + EB configurable framework</w:t>
            </w:r>
          </w:p>
        </w:tc>
      </w:tr>
      <w:tr>
        <w:tc>
          <w:tcPr>
            <w:tcW w:type="dxa" w:w="5040"/>
            <w:vAlign w:val="center"/>
          </w:tcPr>
          <w:p>
            <w:r>
              <w:t>8</w:t>
            </w:r>
          </w:p>
        </w:tc>
        <w:tc>
          <w:tcPr>
            <w:tcW w:type="dxa" w:w="5040"/>
            <w:vAlign w:val="center"/>
          </w:tcPr>
          <w:p>
            <w:r>
              <w:t>Total Cost + Margin + Weightage + Snapshot</w:t>
            </w:r>
          </w:p>
        </w:tc>
      </w:tr>
      <w:tr>
        <w:tc>
          <w:tcPr>
            <w:tcW w:type="dxa" w:w="5040"/>
            <w:vAlign w:val="center"/>
          </w:tcPr>
          <w:p>
            <w:r>
              <w:t>9</w:t>
            </w:r>
          </w:p>
        </w:tc>
        <w:tc>
          <w:tcPr>
            <w:tcW w:type="dxa" w:w="5040"/>
            <w:vAlign w:val="center"/>
          </w:tcPr>
          <w:p>
            <w:r>
              <w:t>Quotation + Proforma</w:t>
            </w:r>
          </w:p>
        </w:tc>
      </w:tr>
      <w:tr>
        <w:tc>
          <w:tcPr>
            <w:tcW w:type="dxa" w:w="5040"/>
            <w:vAlign w:val="center"/>
          </w:tcPr>
          <w:p>
            <w:r>
              <w:t>10</w:t>
            </w:r>
          </w:p>
        </w:tc>
        <w:tc>
          <w:tcPr>
            <w:tcW w:type="dxa" w:w="5040"/>
            <w:vAlign w:val="center"/>
          </w:tcPr>
          <w:p>
            <w:r>
              <w:t>Management expansion and analytics</w:t>
            </w:r>
          </w:p>
        </w:tc>
      </w:tr>
      <w:tr>
        <w:tc>
          <w:tcPr>
            <w:tcW w:type="dxa" w:w="5040"/>
            <w:vAlign w:val="center"/>
          </w:tcPr>
          <w:p>
            <w:r>
              <w:t>11</w:t>
            </w:r>
          </w:p>
        </w:tc>
        <w:tc>
          <w:tcPr>
            <w:tcW w:type="dxa" w:w="5040"/>
            <w:vAlign w:val="center"/>
          </w:tcPr>
          <w:p>
            <w:r>
              <w:t>Hardening: security, audit, performance, deployment, documentation</w:t>
            </w:r>
          </w:p>
        </w:tc>
      </w:tr>
    </w:tbl>
    <w:p/>
    <w:p>
      <w:pPr>
        <w:pStyle w:val="Heading1"/>
      </w:pPr>
      <w:r>
        <w:t>33. MODULE DEFINITION OF DONE</w:t>
      </w:r>
    </w:p>
    <w:p>
      <w:pPr>
        <w:spacing w:after="100"/>
      </w:pPr>
      <w:r>
        <w:t>Every module is complete only when it has: DB model/migration; Master Configuration; estimate-level override; effective value logic; deterministic costing service; API/service; estimator UI; calculation trace; validation/Confirmation Required; unit tests; total cost integration; cost/box; cost weightage; dashboard registration; reports integration; audit events; timing events; historical snapshot support.</w:t>
      </w:r>
    </w:p>
    <w:p>
      <w:pPr>
        <w:pStyle w:val="Heading1"/>
      </w:pPr>
      <w:r>
        <w:t>34. TESTING</w:t>
      </w:r>
    </w:p>
    <w:p>
      <w:pPr>
        <w:spacing w:after="100"/>
      </w:pPr>
      <w:r>
        <w:t>Test normal values, large quantities, multiple layouts, ups, wastage, make-ready, master override/no override/reset, master changes after finalization, missing inputs, unsupported sheet sizes, multiple glue components, multiple punching jobs, tooling, invalid values, rounding, margin, tax, document reproduction and dashboard reconciliation.</w:t>
      </w:r>
    </w:p>
    <w:p>
      <w:pPr>
        <w:pStyle w:val="Heading1"/>
      </w:pPr>
      <w:r>
        <w:t>35. SECURITY &amp; PRODUCTION</w:t>
      </w:r>
    </w:p>
    <w:p>
      <w:pPr>
        <w:spacing w:after="100"/>
      </w:pPr>
      <w:r>
        <w:t>Implement role-based authorization on UI/API, secure file uploads, environment variables for secrets, database migrations, seed scripts, transactional finalized snapshots, audit trail, backup/restore and error logging/monitoring hooks.</w:t>
      </w:r>
    </w:p>
    <w:p>
      <w:pPr>
        <w:spacing w:after="100"/>
      </w:pPr>
      <w:r>
        <w:t>Deployment must be portable to PACFULLY's own server/hosting and must not rely on the AI builder's hosting.</w:t>
      </w:r>
    </w:p>
    <w:p>
      <w:pPr>
        <w:pStyle w:val="Heading1"/>
      </w:pPr>
      <w:r>
        <w:t>36. AI DEVELOPMENT AGENT RULES</w:t>
      </w:r>
    </w:p>
    <w:p>
      <w:pPr>
        <w:spacing w:after="100"/>
      </w:pPr>
      <w:r>
        <w:t>Read this specification before modifying code.</w:t>
      </w:r>
    </w:p>
    <w:p>
      <w:pPr>
        <w:spacing w:after="100"/>
      </w:pPr>
      <w:r>
        <w:t>Inspect the existing repository before creating or changing architecture.</w:t>
      </w:r>
    </w:p>
    <w:p>
      <w:pPr>
        <w:spacing w:after="100"/>
      </w:pPr>
      <w:r>
        <w:t>Implement one phase/module at a time.</w:t>
      </w:r>
    </w:p>
    <w:p>
      <w:pPr>
        <w:spacing w:after="100"/>
      </w:pPr>
      <w:r>
        <w:t>Do not rewrite completed modules unnecessarily.</w:t>
      </w:r>
    </w:p>
    <w:p>
      <w:pPr>
        <w:spacing w:after="100"/>
      </w:pPr>
      <w:r>
        <w:t>Preserve APIs, migrations and historical data.</w:t>
      </w:r>
    </w:p>
    <w:p>
      <w:pPr>
        <w:spacing w:after="100"/>
      </w:pPr>
      <w:r>
        <w:t>Run tests after every module and run type/build checks.</w:t>
      </w:r>
    </w:p>
    <w:p>
      <w:pPr>
        <w:spacing w:after="100"/>
      </w:pPr>
      <w:r>
        <w:t>Verify the UI in a browser.</w:t>
      </w:r>
    </w:p>
    <w:p>
      <w:pPr>
        <w:spacing w:after="100"/>
      </w:pPr>
      <w:r>
        <w:t>Report files changed, DB changes, tests and unresolved configuration requirements.</w:t>
      </w:r>
    </w:p>
    <w:p>
      <w:pPr>
        <w:spacing w:after="100"/>
      </w:pPr>
      <w:r>
        <w:t>If a business rule is undefined, do not guess; mark CONFIGURATION REQUIRED.</w:t>
      </w:r>
    </w:p>
    <w:p>
      <w:pPr>
        <w:spacing w:after="100"/>
      </w:pPr>
      <w:r>
        <w:t>Do not duplicate costing logic in reports or documents.</w:t>
      </w:r>
    </w:p>
    <w:p>
      <w:pPr>
        <w:pStyle w:val="Heading1"/>
      </w:pPr>
      <w:r>
        <w:t>37. DEFINITION OF DONE</w:t>
      </w:r>
    </w:p>
    <w:p>
      <w:pPr>
        <w:spacing w:after="100"/>
      </w:pPr>
      <w:r>
        <w:t>A user can create a customer, create an estimate, upload a layout, review AI extraction, calculate configured modules, see total manufacturing cost and cost/box, see cost weightage, apply margin, finalize, and generate quotation/proforma.</w:t>
      </w:r>
    </w:p>
    <w:p>
      <w:pPr>
        <w:spacing w:after="100"/>
      </w:pPr>
      <w:r>
        <w:t>Management simultaneously sees module costs, weightage, customer/location/product/monthly analytics, master overrides and costing-time metrics.</w:t>
      </w:r>
    </w:p>
    <w:p>
      <w:pPr>
        <w:pStyle w:val="Heading1"/>
      </w:pPr>
      <w:r>
        <w:t>38. FINAL SYSTEM PRINCIPLE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LAYOUT DATA</w:t>
        <w:br/>
        <w:t>→ VALIDATED TECHNICAL DATA</w:t>
        <w:br/>
        <w:t>→ MASTER VALUES</w:t>
        <w:br/>
        <w:t>→ ESTIMATE OVERRIDES</w:t>
        <w:br/>
        <w:t>→ EFFECTIVE VALUES</w:t>
        <w:br/>
        <w:t>→ DETERMINISTIC COSTING ENGINE</w:t>
        <w:br/>
        <w:t>→ MODULE COSTS</w:t>
        <w:br/>
        <w:t>→ TOTAL MANUFACTURING COST</w:t>
        <w:br/>
        <w:t>→ COST INTELLIGENCE</w:t>
        <w:br/>
        <w:t>→ MARGIN</w:t>
        <w:br/>
        <w:t>→ SELLING PRICE</w:t>
        <w:br/>
        <w:t>→ QUOTATION / PROFORMA</w:t>
      </w:r>
    </w:p>
    <w:p>
      <w:pPr>
        <w:spacing w:before="60" w:after="120"/>
        <w:ind w:left="288" w:right="288"/>
      </w:pPr>
      <w:r>
        <w:rPr>
          <w:rFonts w:ascii="Consolas" w:hAnsi="Consolas"/>
          <w:color w:val="3C3C3C"/>
          <w:sz w:val="16"/>
        </w:rPr>
        <w:t>SIMULTANEOUSLY:</w:t>
        <w:br/>
        <w:br/>
        <w:t>MODULE COSTS</w:t>
        <w:br/>
        <w:t>→ MANAGEMENT DASHBOARD</w:t>
        <w:br/>
        <w:t>→ REPORTS</w:t>
        <w:br/>
        <w:t>→ BUSINESS INTELLIGENCE</w:t>
      </w:r>
    </w:p>
    <w:p>
      <w:pPr>
        <w:spacing w:after="100"/>
      </w:pPr>
      <w:r>
        <w:t>Do not build this as a collection of independent screens. Build it as one connected manufacturing intelligence system. The architecture must allow future packaging types such as Monocarton and Corrugated to plug into the same Master → Override → Effective Value → Cost Engine → Cost Intelligence → Documents framework.</w:t>
      </w:r>
    </w:p>
    <w:p>
      <w:r>
        <w:br w:type="page"/>
      </w:r>
    </w:p>
    <w:p>
      <w:pPr>
        <w:pStyle w:val="Heading1"/>
      </w:pPr>
      <w:r>
        <w:t>APPENDIX A — MASTER IMPLEMENTATION CHECKLIST</w:t>
      </w:r>
    </w:p>
    <w:p>
      <w:pPr>
        <w:pStyle w:val="ListBullet"/>
        <w:spacing w:after="40"/>
      </w:pPr>
      <w:r>
        <w:t>☐ Foundation and design system complete</w:t>
      </w:r>
    </w:p>
    <w:p>
      <w:pPr>
        <w:pStyle w:val="ListBullet"/>
        <w:spacing w:after="40"/>
      </w:pPr>
      <w:r>
        <w:t>☐ Authentication and RBAC complete</w:t>
      </w:r>
    </w:p>
    <w:p>
      <w:pPr>
        <w:pStyle w:val="ListBullet"/>
        <w:spacing w:after="40"/>
      </w:pPr>
      <w:r>
        <w:t>☐ Customer and estimate lifecycle complete</w:t>
      </w:r>
    </w:p>
    <w:p>
      <w:pPr>
        <w:pStyle w:val="ListBullet"/>
        <w:spacing w:after="40"/>
      </w:pPr>
      <w:r>
        <w:t>☐ File upload and secure storage complete</w:t>
      </w:r>
    </w:p>
    <w:p>
      <w:pPr>
        <w:pStyle w:val="ListBullet"/>
        <w:spacing w:after="40"/>
      </w:pPr>
      <w:r>
        <w:t>☐ AI extraction and confidence/review workflow complete</w:t>
      </w:r>
    </w:p>
    <w:p>
      <w:pPr>
        <w:pStyle w:val="ListBullet"/>
        <w:spacing w:after="40"/>
      </w:pPr>
      <w:r>
        <w:t>☐ Multiple layouts/components supported</w:t>
      </w:r>
    </w:p>
    <w:p>
      <w:pPr>
        <w:pStyle w:val="ListBullet"/>
        <w:spacing w:after="40"/>
      </w:pPr>
      <w:r>
        <w:t>☐ Master configuration framework complete</w:t>
      </w:r>
    </w:p>
    <w:p>
      <w:pPr>
        <w:pStyle w:val="ListBullet"/>
        <w:spacing w:after="40"/>
      </w:pPr>
      <w:r>
        <w:t>☐ Estimate-level override framework complete</w:t>
      </w:r>
    </w:p>
    <w:p>
      <w:pPr>
        <w:pStyle w:val="ListBullet"/>
        <w:spacing w:after="40"/>
      </w:pPr>
      <w:r>
        <w:t>☐ Kappa module complete</w:t>
      </w:r>
    </w:p>
    <w:p>
      <w:pPr>
        <w:pStyle w:val="ListBullet"/>
        <w:spacing w:after="40"/>
      </w:pPr>
      <w:r>
        <w:t>☐ Wrapper module complete</w:t>
      </w:r>
    </w:p>
    <w:p>
      <w:pPr>
        <w:pStyle w:val="ListBullet"/>
        <w:spacing w:after="40"/>
      </w:pPr>
      <w:r>
        <w:t>☐ Printing module complete</w:t>
      </w:r>
    </w:p>
    <w:p>
      <w:pPr>
        <w:pStyle w:val="ListBullet"/>
        <w:spacing w:after="40"/>
      </w:pPr>
      <w:r>
        <w:t>☐ Lamination module complete</w:t>
      </w:r>
    </w:p>
    <w:p>
      <w:pPr>
        <w:pStyle w:val="ListBullet"/>
        <w:spacing w:after="40"/>
      </w:pPr>
      <w:r>
        <w:t>☐ Glue module complete</w:t>
      </w:r>
    </w:p>
    <w:p>
      <w:pPr>
        <w:pStyle w:val="ListBullet"/>
        <w:spacing w:after="40"/>
      </w:pPr>
      <w:r>
        <w:t>☐ Punching module complete</w:t>
      </w:r>
    </w:p>
    <w:p>
      <w:pPr>
        <w:pStyle w:val="ListBullet"/>
        <w:spacing w:after="40"/>
      </w:pPr>
      <w:r>
        <w:t>☐ Embellishment modules complete</w:t>
      </w:r>
    </w:p>
    <w:p>
      <w:pPr>
        <w:pStyle w:val="ListBullet"/>
        <w:spacing w:after="40"/>
      </w:pPr>
      <w:r>
        <w:t>☐ Tooling/Die framework complete</w:t>
      </w:r>
    </w:p>
    <w:p>
      <w:pPr>
        <w:pStyle w:val="ListBullet"/>
        <w:spacing w:after="40"/>
      </w:pPr>
      <w:r>
        <w:t>☐ Insert module complete</w:t>
      </w:r>
    </w:p>
    <w:p>
      <w:pPr>
        <w:pStyle w:val="ListBullet"/>
        <w:spacing w:after="40"/>
      </w:pPr>
      <w:r>
        <w:t>☐ Accessories module complete</w:t>
      </w:r>
    </w:p>
    <w:p>
      <w:pPr>
        <w:pStyle w:val="ListBullet"/>
        <w:spacing w:after="40"/>
      </w:pPr>
      <w:r>
        <w:t>☐ Conversion framework complete</w:t>
      </w:r>
    </w:p>
    <w:p>
      <w:pPr>
        <w:pStyle w:val="ListBullet"/>
        <w:spacing w:after="40"/>
      </w:pPr>
      <w:r>
        <w:t>☐ EB framework complete</w:t>
      </w:r>
    </w:p>
    <w:p>
      <w:pPr>
        <w:pStyle w:val="ListBullet"/>
        <w:spacing w:after="40"/>
      </w:pPr>
      <w:r>
        <w:t>☐ Total cost orchestrator complete</w:t>
      </w:r>
    </w:p>
    <w:p>
      <w:pPr>
        <w:pStyle w:val="ListBullet"/>
        <w:spacing w:after="40"/>
      </w:pPr>
      <w:r>
        <w:t>☐ Cost weightage complete</w:t>
      </w:r>
    </w:p>
    <w:p>
      <w:pPr>
        <w:pStyle w:val="ListBullet"/>
        <w:spacing w:after="40"/>
      </w:pPr>
      <w:r>
        <w:t>☐ Margin and selling price complete</w:t>
      </w:r>
    </w:p>
    <w:p>
      <w:pPr>
        <w:pStyle w:val="ListBullet"/>
        <w:spacing w:after="40"/>
      </w:pPr>
      <w:r>
        <w:t>☐ Immutable finalized snapshots complete</w:t>
      </w:r>
    </w:p>
    <w:p>
      <w:pPr>
        <w:pStyle w:val="ListBullet"/>
        <w:spacing w:after="40"/>
      </w:pPr>
      <w:r>
        <w:t>☐ Quotation generation complete</w:t>
      </w:r>
    </w:p>
    <w:p>
      <w:pPr>
        <w:pStyle w:val="ListBullet"/>
        <w:spacing w:after="40"/>
      </w:pPr>
      <w:r>
        <w:t>☐ Proforma generation complete</w:t>
      </w:r>
    </w:p>
    <w:p>
      <w:pPr>
        <w:pStyle w:val="ListBullet"/>
        <w:spacing w:after="40"/>
      </w:pPr>
      <w:r>
        <w:t>☐ Cost Intelligence dashboard grows with each module</w:t>
      </w:r>
    </w:p>
    <w:p>
      <w:pPr>
        <w:pStyle w:val="ListBullet"/>
        <w:spacing w:after="40"/>
      </w:pPr>
      <w:r>
        <w:t>☐ Monthly/customer/location/product reports complete</w:t>
      </w:r>
    </w:p>
    <w:p>
      <w:pPr>
        <w:pStyle w:val="ListBullet"/>
        <w:spacing w:after="40"/>
      </w:pPr>
      <w:r>
        <w:t>☐ Master override analytics complete</w:t>
      </w:r>
    </w:p>
    <w:p>
      <w:pPr>
        <w:pStyle w:val="ListBullet"/>
        <w:spacing w:after="40"/>
      </w:pPr>
      <w:r>
        <w:t>☐ Costing-time analytics complete</w:t>
      </w:r>
    </w:p>
    <w:p>
      <w:pPr>
        <w:pStyle w:val="ListBullet"/>
        <w:spacing w:after="40"/>
      </w:pPr>
      <w:r>
        <w:t>☐ Audit trail complete</w:t>
      </w:r>
    </w:p>
    <w:p>
      <w:pPr>
        <w:pStyle w:val="ListBullet"/>
        <w:spacing w:after="40"/>
      </w:pPr>
      <w:r>
        <w:t>☐ Automated tests complete</w:t>
      </w:r>
    </w:p>
    <w:p>
      <w:pPr>
        <w:pStyle w:val="ListBullet"/>
        <w:spacing w:after="40"/>
      </w:pPr>
      <w:r>
        <w:t>☐ Production deployment documentation complete</w:t>
      </w:r>
    </w:p>
    <w:p>
      <w:pPr>
        <w:pStyle w:val="Heading1"/>
      </w:pPr>
      <w:r>
        <w:t>APPENDIX B — NON-NEGOTIABLE BUSINESS RULES</w:t>
      </w:r>
    </w:p>
    <w:p>
      <w:pPr>
        <w:pStyle w:val="ListBullet"/>
        <w:spacing w:after="60"/>
      </w:pPr>
      <w:r>
        <w:t>AI extracts technical data; deterministic application code performs financial calculations.</w:t>
      </w:r>
    </w:p>
    <w:p>
      <w:pPr>
        <w:pStyle w:val="ListBullet"/>
        <w:spacing w:after="60"/>
      </w:pPr>
      <w:r>
        <w:t>Critical uncertain values require user confirmation; AI must not silently guess.</w:t>
      </w:r>
    </w:p>
    <w:p>
      <w:pPr>
        <w:pStyle w:val="ListBullet"/>
        <w:spacing w:after="60"/>
      </w:pPr>
      <w:r>
        <w:t>Only Kappa derives effective GSM from GSM@1mm × thickness.</w:t>
      </w:r>
    </w:p>
    <w:p>
      <w:pPr>
        <w:pStyle w:val="ListBullet"/>
        <w:spacing w:after="60"/>
      </w:pPr>
      <w:r>
        <w:t>Other papers use actual GSM directly unless a future material-specific rule is explicitly configured.</w:t>
      </w:r>
    </w:p>
    <w:p>
      <w:pPr>
        <w:pStyle w:val="ListBullet"/>
        <w:spacing w:after="60"/>
      </w:pPr>
      <w:r>
        <w:t>Wrapper Final Sheets are calculated once and consumed downstream by Printing, Lamination and Wrapper Punching.</w:t>
      </w:r>
    </w:p>
    <w:p>
      <w:pPr>
        <w:pStyle w:val="ListBullet"/>
        <w:spacing w:after="60"/>
      </w:pPr>
      <w:r>
        <w:t>Glue is based on actual glue-applicable area, not automatically the entire sheet.</w:t>
      </w:r>
    </w:p>
    <w:p>
      <w:pPr>
        <w:pStyle w:val="ListBullet"/>
        <w:spacing w:after="60"/>
      </w:pPr>
      <w:r>
        <w:t>Punching quantities come from relevant upstream layouts/modules.</w:t>
      </w:r>
    </w:p>
    <w:p>
      <w:pPr>
        <w:pStyle w:val="ListBullet"/>
        <w:spacing w:after="60"/>
      </w:pPr>
      <w:r>
        <w:t>Master values are defaults; estimate overrides determine the effective value for a job.</w:t>
      </w:r>
    </w:p>
    <w:p>
      <w:pPr>
        <w:pStyle w:val="ListBullet"/>
        <w:spacing w:after="60"/>
      </w:pPr>
      <w:r>
        <w:t>Finalized estimates are immutable snapshots.</w:t>
      </w:r>
    </w:p>
    <w:p>
      <w:pPr>
        <w:pStyle w:val="ListBullet"/>
        <w:spacing w:after="60"/>
      </w:pPr>
      <w:r>
        <w:t>Reports and documents must consume stored costing outputs rather than recreate formulas.</w:t>
      </w:r>
    </w:p>
    <w:p>
      <w:pPr>
        <w:pStyle w:val="ListBullet"/>
        <w:spacing w:after="60"/>
      </w:pPr>
      <w:r>
        <w:t>Undefined business formulas must be marked CONFIGURATION REQUIRED rather than invented.</w:t>
      </w:r>
    </w:p>
    <w:p>
      <w:pPr>
        <w:pStyle w:val="ListBullet"/>
        <w:spacing w:after="60"/>
      </w:pPr>
      <w:r>
        <w:t>Every completed costing module must register its cost data with Cost Intelligence and reporting.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PACFULLY • Confidential Product &amp; Engineering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E6E6E"/>
        <w:sz w:val="15"/>
      </w:rPr>
      <w:t>PACFULLY COST ESTIMATOR  •  MASTER DEVELOPER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1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F5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21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F5A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5A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