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1.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Cambiar productos y características por "Líneas de Crédito" y "Parametrización". Crear un campo adicional tipo texto para adjuntar los términos y condiciones de cada Linea de Credito, esta debe mostrarse en cada simulación que ejecute el cliente. Los Docum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entos de cada línea de crédito deben aparecer en cada formulario de solicitud de crédito para ser cargados por el cliente.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2. Agrohelp utiliza la amortización mensual con el esquema de francesa.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3.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Formulario de inscripción se debe diligenciar por parte del cliente en la plataforma y se debe descargar para poder ser firmado por el mismo. Posteriormente subirlo al sistema. Asi mismo, se deben publicar los documentos de Sarlaft y Habeas Data para que 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l cliente lo descargue, los firme y los suba al sistema. Informar en una ventana que debe enviarlos de manera física para su correspondiente estudio.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color w:val="000000"/>
          <w:sz w:val="24"/>
          <w:szCs w:val="24"/>
          <w:highlight w:val="none"/>
        </w:rPr>
      </w:pP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4. Se puede descargar el formato de solicitud para que el cliente lo firme.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5. Validar los campos de texto, numero y ortografía en los campos del formulario.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6. Crear los estados en el proceso de solicitud: En estudio, pre-aprobado, No aprobado, Condiciones no aceptadas, Aprobado.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7. Validación para el cambio de los estados dependiendo en que proceso se encuentre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8. Si se encuentra en pre-aprobado se pueden modificar los valores de la financiación tales como el monto y el tiempo.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9. Al momento de aprobar se pueden cargar los pagos al crédito aprobado.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10. El cliente puede ver el crédito aprobado y descargar su comprobante.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11. Poder descargar la carta de pre-aprobado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2024-05-28T11:05:46Z</dcterms:modified>
</cp:coreProperties>
</file>