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licencias-y-dependencias"/>
    <w:p>
      <w:pPr>
        <w:pStyle w:val="Heading1"/>
      </w:pPr>
      <w:r>
        <w:t xml:space="preserve">Licencias y Dependencias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</w:t>
      </w:r>
      <w:r>
        <w:t xml:space="preserve">— Listado de software open source utilizado y sus licencias.</w:t>
      </w:r>
    </w:p>
    <w:p>
      <w:r>
        <w:pict>
          <v:rect style="width:0;height:1.5pt" o:hralign="center" o:hrstd="t" o:hr="t"/>
        </w:pict>
      </w:r>
    </w:p>
    <w:bookmarkStart w:id="19" w:name="Xdda1256ce7bbe2d380d21bebb3597cfdd21bc3c"/>
    <w:p>
      <w:pPr>
        <w:pStyle w:val="Heading2"/>
      </w:pPr>
      <w:r>
        <w:t xml:space="preserve">1. Sistema de Inventario Pro — Licencia propietaria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código del sistema</w:t>
      </w:r>
      <w:r>
        <w:t xml:space="preserve"> </w:t>
      </w:r>
      <w:r>
        <w:t xml:space="preserve">es propiedad de</w:t>
      </w:r>
      <w:r>
        <w:t xml:space="preserve"> </w:t>
      </w:r>
      <w:r>
        <w:rPr>
          <w:b/>
          <w:bCs/>
        </w:rPr>
        <w:t xml:space="preserve">SI SISTEMAS INFORMATICOS Y TECNOLOGIA SAS</w:t>
      </w:r>
      <w:r>
        <w:t xml:space="preserve"> </w:t>
      </w:r>
      <w:r>
        <w:t xml:space="preserve">(NIT 900.583.147-1). Todos los derechos reservados.</w:t>
      </w:r>
    </w:p>
    <w:p>
      <w:pPr>
        <w:pStyle w:val="BodyText"/>
      </w:pPr>
      <w:r>
        <w:t xml:space="preserve">El uso, copia, modificación o redistribución del código está sujeto a los términos del contrato comercial firmado con el cliente.</w:t>
      </w:r>
    </w:p>
    <w:p>
      <w:r>
        <w:pict>
          <v:rect style="width:0;height:1.5pt" o:hralign="center" o:hrstd="t" o:hr="t"/>
        </w:pict>
      </w:r>
    </w:p>
    <w:bookmarkEnd w:id="19"/>
    <w:bookmarkStart w:id="33" w:name="X3344ac3581637a7e838f66acf6ccd368cae733f"/>
    <w:p>
      <w:pPr>
        <w:pStyle w:val="Heading2"/>
      </w:pPr>
      <w:r>
        <w:t xml:space="preserve">2. Dependencias del Backend (Composer)</w:t>
      </w:r>
    </w:p>
    <w:bookmarkStart w:id="29" w:name="X5c3dc5a7e5dcf3c3643ec6fbdea589489dbea9d"/>
    <w:p>
      <w:pPr>
        <w:pStyle w:val="Heading3"/>
      </w:pPr>
      <w:r>
        <w:t xml:space="preserve">2.1 Dependencias de producción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Licencia</w:t>
            </w:r>
          </w:p>
        </w:tc>
        <w:tc>
          <w:tcPr/>
          <w:p>
            <w:pPr>
              <w:pStyle w:val="Compact"/>
            </w:pPr>
            <w:r>
              <w:t xml:space="preserve">Repositorio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laravel/framework</w:t>
            </w:r>
          </w:p>
        </w:tc>
        <w:tc>
          <w:tcPr/>
          <w:p>
            <w:pPr>
              <w:pStyle w:val="Compact"/>
            </w:pPr>
            <w:r>
              <w:t xml:space="preserve">^12.0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https://laravel.com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laravel/sanctum</w:t>
            </w:r>
          </w:p>
        </w:tc>
        <w:tc>
          <w:tcPr/>
          <w:p>
            <w:pPr>
              <w:pStyle w:val="Compact"/>
            </w:pPr>
            <w:r>
              <w:t xml:space="preserve">^4.0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https://github.com/laravel/sanctum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laravel/tinker</w:t>
            </w:r>
          </w:p>
        </w:tc>
        <w:tc>
          <w:tcPr/>
          <w:p>
            <w:pPr>
              <w:pStyle w:val="Compact"/>
            </w:pPr>
            <w:r>
              <w:t xml:space="preserve">^2.10.1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https://github.com/laravel/tinker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php-open-source-saver/jwt-auth</w:t>
            </w:r>
          </w:p>
        </w:tc>
        <w:tc>
          <w:tcPr/>
          <w:p>
            <w:pPr>
              <w:pStyle w:val="Compact"/>
            </w:pPr>
            <w:r>
              <w:t xml:space="preserve">^2.8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https://github.com/PHP-Open-Source-Saver/jwt-auth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spatie/laravel-permission</w:t>
            </w:r>
          </w:p>
        </w:tc>
        <w:tc>
          <w:tcPr/>
          <w:p>
            <w:pPr>
              <w:pStyle w:val="Compact"/>
            </w:pPr>
            <w:r>
              <w:t xml:space="preserve">^6.16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https://github.com/spatie/laravel-permission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maatwebsite/excel</w:t>
            </w:r>
          </w:p>
        </w:tc>
        <w:tc>
          <w:tcPr/>
          <w:p>
            <w:pPr>
              <w:pStyle w:val="Compact"/>
            </w:pPr>
            <w:r>
              <w:t xml:space="preserve">^3.1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https://docs.laravel-excel.com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barryvdh/laravel-dompdf</w:t>
            </w:r>
          </w:p>
        </w:tc>
        <w:tc>
          <w:tcPr/>
          <w:p>
            <w:pPr>
              <w:pStyle w:val="Compact"/>
            </w:pPr>
            <w:r>
              <w:t xml:space="preserve">^3.1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https://github.com/barryvdh/laravel-dompdf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pragmarx/google2fa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https://github.com/antonioribeiro/google2fa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bacon/bacon-qr-code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https://github.com/Bacon/BaconQrCode</w:t>
              </w:r>
            </w:hyperlink>
          </w:p>
        </w:tc>
      </w:tr>
    </w:tbl>
    <w:bookmarkEnd w:id="29"/>
    <w:bookmarkStart w:id="30" w:name="X0627993618e7430767f1b74ffaa58f5e9983715"/>
    <w:p>
      <w:pPr>
        <w:pStyle w:val="Heading3"/>
      </w:pPr>
      <w:r>
        <w:t xml:space="preserve">2.2 Dependencias de desarrollo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Licencia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phpunit/phpunit</w:t>
            </w:r>
          </w:p>
        </w:tc>
        <w:tc>
          <w:tcPr/>
          <w:p>
            <w:pPr>
              <w:pStyle w:val="Compact"/>
            </w:pPr>
            <w:r>
              <w:t xml:space="preserve">^11.5.3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laravel/pint</w:t>
            </w:r>
          </w:p>
        </w:tc>
        <w:tc>
          <w:tcPr/>
          <w:p>
            <w:pPr>
              <w:pStyle w:val="Compact"/>
            </w:pPr>
            <w:r>
              <w:t xml:space="preserve">^1.13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laravel/sail</w:t>
            </w:r>
          </w:p>
        </w:tc>
        <w:tc>
          <w:tcPr/>
          <w:p>
            <w:pPr>
              <w:pStyle w:val="Compact"/>
            </w:pPr>
            <w:r>
              <w:t xml:space="preserve">^1.41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laravel/pail</w:t>
            </w:r>
          </w:p>
        </w:tc>
        <w:tc>
          <w:tcPr/>
          <w:p>
            <w:pPr>
              <w:pStyle w:val="Compact"/>
            </w:pPr>
            <w:r>
              <w:t xml:space="preserve">^1.2.2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mockery/mockery</w:t>
            </w:r>
          </w:p>
        </w:tc>
        <w:tc>
          <w:tcPr/>
          <w:p>
            <w:pPr>
              <w:pStyle w:val="Compact"/>
            </w:pPr>
            <w:r>
              <w:t xml:space="preserve">^1.6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nunomaduro/collision</w:t>
            </w:r>
          </w:p>
        </w:tc>
        <w:tc>
          <w:tcPr/>
          <w:p>
            <w:pPr>
              <w:pStyle w:val="Compact"/>
            </w:pPr>
            <w:r>
              <w:t xml:space="preserve">^8.6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fakerphp/faker</w:t>
            </w:r>
          </w:p>
        </w:tc>
        <w:tc>
          <w:tcPr/>
          <w:p>
            <w:pPr>
              <w:pStyle w:val="Compact"/>
            </w:pPr>
            <w:r>
              <w:t xml:space="preserve">^1.23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</w:tbl>
    <w:bookmarkEnd w:id="30"/>
    <w:bookmarkStart w:id="31" w:name="X947ebc3f4ebf9c2072a83c10fbef13319f6069b"/>
    <w:p>
      <w:pPr>
        <w:pStyle w:val="Heading3"/>
      </w:pPr>
      <w:r>
        <w:t xml:space="preserve">2.3 PHP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Versión requerida</w:t>
      </w:r>
      <w:r>
        <w:t xml:space="preserve">: PHP 8.2+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Licencia</w:t>
      </w:r>
      <w:r>
        <w:t xml:space="preserve">: PHP License v3.01</w:t>
      </w:r>
    </w:p>
    <w:bookmarkEnd w:id="31"/>
    <w:bookmarkStart w:id="32" w:name="Xc86022cff9a0364762f7f8de89b9eb106470986"/>
    <w:p>
      <w:pPr>
        <w:pStyle w:val="Heading3"/>
      </w:pPr>
      <w:r>
        <w:t xml:space="preserve">2.4 Generación del listado completo</w:t>
      </w:r>
    </w:p>
    <w:p>
      <w:pPr>
        <w:pStyle w:val="FirstParagraph"/>
      </w:pPr>
      <w:r>
        <w:t xml:space="preserve">Para obtener el detalle de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dependencias transitivas con sus licencias: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admin-back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licenses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licenses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licencias-back.json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7d9108662aa54c288a591ee5cd31e0d21fae2fa"/>
    <w:p>
      <w:pPr>
        <w:pStyle w:val="Heading2"/>
      </w:pPr>
      <w:r>
        <w:t xml:space="preserve">3. Dependencias del Frontend (pnpm)</w:t>
      </w:r>
    </w:p>
    <w:bookmarkStart w:id="34" w:name="X2fd824410bbd258d108546d84a39b0b568324a2"/>
    <w:p>
      <w:pPr>
        <w:pStyle w:val="Heading3"/>
      </w:pPr>
      <w:r>
        <w:t xml:space="preserve">3.1 Dependencias de producción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Licencia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vue</w:t>
            </w:r>
          </w:p>
        </w:tc>
        <w:tc>
          <w:tcPr/>
          <w:p>
            <w:pPr>
              <w:pStyle w:val="Compact"/>
            </w:pPr>
            <w:r>
              <w:t xml:space="preserve">3.4.25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vue-router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vuetify</w:t>
            </w:r>
          </w:p>
        </w:tc>
        <w:tc>
          <w:tcPr/>
          <w:p>
            <w:pPr>
              <w:pStyle w:val="Compact"/>
            </w:pPr>
            <w:r>
              <w:t xml:space="preserve">3.5.15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pinia</w:t>
            </w:r>
          </w:p>
        </w:tc>
        <w:tc>
          <w:tcPr/>
          <w:p>
            <w:pPr>
              <w:pStyle w:val="Compact"/>
            </w:pPr>
            <w:r>
              <w:t xml:space="preserve">2.1.7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vue-i18n</w:t>
            </w:r>
          </w:p>
        </w:tc>
        <w:tc>
          <w:tcPr/>
          <w:p>
            <w:pPr>
              <w:pStyle w:val="Compact"/>
            </w:pPr>
            <w:r>
              <w:t xml:space="preserve">9.13.1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@vueuse/core</w:t>
            </w:r>
          </w:p>
        </w:tc>
        <w:tc>
          <w:tcPr/>
          <w:p>
            <w:pPr>
              <w:pStyle w:val="Compact"/>
            </w:pPr>
            <w:r>
              <w:t xml:space="preserve">10.9.0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@vueuse/math</w:t>
            </w:r>
          </w:p>
        </w:tc>
        <w:tc>
          <w:tcPr/>
          <w:p>
            <w:pPr>
              <w:pStyle w:val="Compact"/>
            </w:pPr>
            <w:r>
              <w:t xml:space="preserve">10.9.0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ofetch</w:t>
            </w:r>
          </w:p>
        </w:tc>
        <w:tc>
          <w:tcPr/>
          <w:p>
            <w:pPr>
              <w:pStyle w:val="Compact"/>
            </w:pPr>
            <w:r>
              <w:t xml:space="preserve">1.3.4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jwt-decode</w:t>
            </w:r>
          </w:p>
        </w:tc>
        <w:tc>
          <w:tcPr/>
          <w:p>
            <w:pPr>
              <w:pStyle w:val="Compact"/>
            </w:pPr>
            <w:r>
              <w:t xml:space="preserve">4.0.0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apexcharts</w:t>
            </w:r>
          </w:p>
        </w:tc>
        <w:tc>
          <w:tcPr/>
          <w:p>
            <w:pPr>
              <w:pStyle w:val="Compact"/>
            </w:pPr>
            <w:r>
              <w:t xml:space="preserve">3.49.0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vue3-apexcharts</w:t>
            </w:r>
          </w:p>
        </w:tc>
        <w:tc>
          <w:tcPr/>
          <w:p>
            <w:pPr>
              <w:pStyle w:val="Compact"/>
            </w:pPr>
            <w:r>
              <w:t xml:space="preserve">1.5.2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4.4.2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vue-chartjs</w:t>
            </w:r>
          </w:p>
        </w:tc>
        <w:tc>
          <w:tcPr/>
          <w:p>
            <w:pPr>
              <w:pStyle w:val="Compact"/>
            </w:pPr>
            <w:r>
              <w:t xml:space="preserve">5.3.1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swiper</w:t>
            </w:r>
          </w:p>
        </w:tc>
        <w:tc>
          <w:tcPr/>
          <w:p>
            <w:pPr>
              <w:pStyle w:val="Compact"/>
            </w:pPr>
            <w:r>
              <w:t xml:space="preserve">11.1.1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mapbox-gl</w:t>
            </w:r>
          </w:p>
        </w:tc>
        <w:tc>
          <w:tcPr/>
          <w:p>
            <w:pPr>
              <w:pStyle w:val="Compact"/>
            </w:pPr>
            <w:r>
              <w:t xml:space="preserve">3.2.0</w:t>
            </w:r>
          </w:p>
        </w:tc>
        <w:tc>
          <w:tcPr/>
          <w:p>
            <w:pPr>
              <w:pStyle w:val="Compact"/>
            </w:pPr>
            <w:r>
              <w:t xml:space="preserve">BSD-3-Clause-like (Mapbox Web SDK License)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@tiptap/*</w:t>
            </w:r>
          </w:p>
        </w:tc>
        <w:tc>
          <w:tcPr/>
          <w:p>
            <w:pPr>
              <w:pStyle w:val="Compact"/>
            </w:pPr>
            <w:r>
              <w:t xml:space="preserve">2.3.0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@formkit/drag-and-drop</w:t>
            </w:r>
          </w:p>
        </w:tc>
        <w:tc>
          <w:tcPr/>
          <w:p>
            <w:pPr>
              <w:pStyle w:val="Compact"/>
            </w:pPr>
            <w:r>
              <w:t xml:space="preserve">0.0.38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@casl/ability</w:t>
            </w:r>
          </w:p>
        </w:tc>
        <w:tc>
          <w:tcPr/>
          <w:p>
            <w:pPr>
              <w:pStyle w:val="Compact"/>
            </w:pPr>
            <w:r>
              <w:t xml:space="preserve">6.7.1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@casl/vue</w:t>
            </w:r>
          </w:p>
        </w:tc>
        <w:tc>
          <w:tcPr/>
          <w:p>
            <w:pPr>
              <w:pStyle w:val="Compact"/>
            </w:pPr>
            <w:r>
              <w:t xml:space="preserve">2.2.2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vue-flatpickr-component</w:t>
            </w:r>
          </w:p>
        </w:tc>
        <w:tc>
          <w:tcPr/>
          <w:p>
            <w:pPr>
              <w:pStyle w:val="Compact"/>
            </w:pPr>
            <w:r>
              <w:t xml:space="preserve">11.0.5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vue-shepherd</w:t>
            </w:r>
          </w:p>
        </w:tc>
        <w:tc>
          <w:tcPr/>
          <w:p>
            <w:pPr>
              <w:pStyle w:val="Compact"/>
            </w:pPr>
            <w:r>
              <w:t xml:space="preserve">3.0.0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cookie-es</w:t>
            </w:r>
          </w:p>
        </w:tc>
        <w:tc>
          <w:tcPr/>
          <w:p>
            <w:pPr>
              <w:pStyle w:val="Compact"/>
            </w:pPr>
            <w:r>
              <w:t xml:space="preserve">1.1.0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prismjs</w:t>
            </w:r>
          </w:p>
        </w:tc>
        <w:tc>
          <w:tcPr/>
          <w:p>
            <w:pPr>
              <w:pStyle w:val="Compact"/>
            </w:pPr>
            <w:r>
              <w:t xml:space="preserve">1.29.0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</w:tbl>
    <w:bookmarkEnd w:id="34"/>
    <w:bookmarkStart w:id="35" w:name="Xbeb3d6c3e31fa8e08d7a446f6cd129c330a46ec"/>
    <w:p>
      <w:pPr>
        <w:pStyle w:val="Heading3"/>
      </w:pPr>
      <w:r>
        <w:t xml:space="preserve">3.2 Dependencias de desarrollo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Licencia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5.2.10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@vitejs/plugin-vue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vite-plugin-vuetify</w:t>
            </w:r>
          </w:p>
        </w:tc>
        <w:tc>
          <w:tcPr/>
          <w:p>
            <w:pPr>
              <w:pStyle w:val="Compact"/>
            </w:pPr>
            <w:r>
              <w:t xml:space="preserve">2.0.3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unplugin-vue-router</w:t>
            </w:r>
          </w:p>
        </w:tc>
        <w:tc>
          <w:tcPr/>
          <w:p>
            <w:pPr>
              <w:pStyle w:val="Compact"/>
            </w:pPr>
            <w:r>
              <w:t xml:space="preserve">0.8.6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unplugin-auto-import</w:t>
            </w:r>
          </w:p>
        </w:tc>
        <w:tc>
          <w:tcPr/>
          <w:p>
            <w:pPr>
              <w:pStyle w:val="Compact"/>
            </w:pPr>
            <w:r>
              <w:t xml:space="preserve">0.17.5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unplugin-vue-components</w:t>
            </w:r>
          </w:p>
        </w:tc>
        <w:tc>
          <w:tcPr/>
          <w:p>
            <w:pPr>
              <w:pStyle w:val="Compact"/>
            </w:pPr>
            <w:r>
              <w:t xml:space="preserve">0.26.0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8.57.0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@antfu/eslint-config-vue</w:t>
            </w:r>
          </w:p>
        </w:tc>
        <w:tc>
          <w:tcPr/>
          <w:p>
            <w:pPr>
              <w:pStyle w:val="Compact"/>
            </w:pPr>
            <w:r>
              <w:t xml:space="preserve">0.43.1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eslint-plugin-vue</w:t>
            </w:r>
          </w:p>
        </w:tc>
        <w:tc>
          <w:tcPr/>
          <w:p>
            <w:pPr>
              <w:pStyle w:val="Compact"/>
            </w:pPr>
            <w:r>
              <w:t xml:space="preserve">9.25.0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eslint-plugin-sonarjs</w:t>
            </w:r>
          </w:p>
        </w:tc>
        <w:tc>
          <w:tcPr/>
          <w:p>
            <w:pPr>
              <w:pStyle w:val="Compact"/>
            </w:pPr>
            <w:r>
              <w:t xml:space="preserve">0.24.0</w:t>
            </w:r>
          </w:p>
        </w:tc>
        <w:tc>
          <w:tcPr/>
          <w:p>
            <w:pPr>
              <w:pStyle w:val="Compact"/>
            </w:pPr>
            <w:r>
              <w:t xml:space="preserve">LGPL-3.0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eslint-plugin-unicorn</w:t>
            </w:r>
          </w:p>
        </w:tc>
        <w:tc>
          <w:tcPr/>
          <w:p>
            <w:pPr>
              <w:pStyle w:val="Compact"/>
            </w:pPr>
            <w:r>
              <w:t xml:space="preserve">51.0.1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stylelint</w:t>
            </w:r>
          </w:p>
        </w:tc>
        <w:tc>
          <w:tcPr/>
          <w:p>
            <w:pPr>
              <w:pStyle w:val="Compact"/>
            </w:pPr>
            <w:r>
              <w:t xml:space="preserve">16.2.1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5.4.5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@playwright/test</w:t>
            </w:r>
          </w:p>
        </w:tc>
        <w:tc>
          <w:tcPr/>
          <w:p>
            <w:pPr>
              <w:pStyle w:val="Compact"/>
            </w:pPr>
            <w:r>
              <w:t xml:space="preserve">^1.59.1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msw</w:t>
            </w:r>
          </w:p>
        </w:tc>
        <w:tc>
          <w:tcPr/>
          <w:p>
            <w:pPr>
              <w:pStyle w:val="Compact"/>
            </w:pPr>
            <w:r>
              <w:t xml:space="preserve">2.2.14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sass</w:t>
            </w:r>
          </w:p>
        </w:tc>
        <w:tc>
          <w:tcPr/>
          <w:p>
            <w:pPr>
              <w:pStyle w:val="Compact"/>
            </w:pPr>
            <w:r>
              <w:t xml:space="preserve">1.75.0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</w:tbl>
    <w:bookmarkEnd w:id="35"/>
    <w:bookmarkStart w:id="37" w:name="X45346333bb5eb90563db1b0ab22c74d8621c387"/>
    <w:p>
      <w:pPr>
        <w:pStyle w:val="Heading3"/>
      </w:pPr>
      <w:r>
        <w:t xml:space="preserve">3.3 Mapbox — atención</w:t>
      </w:r>
    </w:p>
    <w:p>
      <w:pPr>
        <w:pStyle w:val="FirstParagraph"/>
      </w:pPr>
      <w:r>
        <w:rPr>
          <w:rStyle w:val="VerbatimChar"/>
        </w:rPr>
        <w:t xml:space="preserve">mapbox-gl</w:t>
      </w:r>
      <w:r>
        <w:t xml:space="preserve"> </w:t>
      </w:r>
      <w:r>
        <w:t xml:space="preserve">tiene una licencia comercial específica de Mapbox que permite uso gratuito hasta cierto volumen de cargas. Si el sistema entra en producción con uso intensivo de mapas,</w:t>
      </w:r>
      <w:r>
        <w:t xml:space="preserve"> </w:t>
      </w:r>
      <w:r>
        <w:rPr>
          <w:b/>
          <w:bCs/>
        </w:rPr>
        <w:t xml:space="preserve">revisar los términos</w:t>
      </w:r>
      <w:r>
        <w:t xml:space="preserve"> </w:t>
      </w:r>
      <w:r>
        <w:t xml:space="preserve">en</w:t>
      </w:r>
      <w:r>
        <w:t xml:space="preserve"> </w:t>
      </w:r>
      <w:hyperlink r:id="rId36">
        <w:r>
          <w:rPr>
            <w:rStyle w:val="Hyperlink"/>
          </w:rPr>
          <w:t xml:space="preserve">https://www.mapbox.com/legal/tos/</w:t>
        </w:r>
      </w:hyperlink>
      <w:r>
        <w:t xml:space="preserve"> </w:t>
      </w:r>
      <w:r>
        <w:t xml:space="preserve">y considerar plan comercial si corresponde.</w:t>
      </w:r>
    </w:p>
    <w:bookmarkEnd w:id="37"/>
    <w:bookmarkStart w:id="38" w:name="X6c2b7ac741925a3ef561538b1e0702c59d9e8b8"/>
    <w:p>
      <w:pPr>
        <w:pStyle w:val="Heading3"/>
      </w:pPr>
      <w:r>
        <w:t xml:space="preserve">3.4 Generación del listado completo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admin-front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licenses list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licenses list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licencias-front.json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d686bb8636a3e8b6cd5da0af943b1609dbb6b77"/>
    <w:p>
      <w:pPr>
        <w:pStyle w:val="Heading2"/>
      </w:pPr>
      <w:r>
        <w:t xml:space="preserve">4. Resumen por familia de licencia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Licencia</w:t>
            </w:r>
          </w:p>
        </w:tc>
        <w:tc>
          <w:tcPr/>
          <w:p>
            <w:pPr>
              <w:pStyle w:val="Compact"/>
            </w:pPr>
            <w:r>
              <w:t xml:space="preserve">Cantidad aproximada</w:t>
            </w:r>
          </w:p>
        </w:tc>
        <w:tc>
          <w:tcPr/>
          <w:p>
            <w:pPr>
              <w:pStyle w:val="Compact"/>
            </w:pPr>
            <w:r>
              <w:t xml:space="preserve">Implicación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~95% de las dependencias</w:t>
            </w:r>
          </w:p>
        </w:tc>
        <w:tc>
          <w:tcPr/>
          <w:p>
            <w:pPr>
              <w:pStyle w:val="Compact"/>
            </w:pPr>
            <w:r>
              <w:t xml:space="preserve">Uso libre, comercial y privativo permitido. Mantener aviso de copyright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BSD (2 / 3 cláusulas)</w:t>
            </w:r>
          </w:p>
        </w:tc>
        <w:tc>
          <w:tcPr/>
          <w:p>
            <w:pPr>
              <w:pStyle w:val="Compact"/>
            </w:pPr>
            <w:r>
              <w:t xml:space="preserve">~3%</w:t>
            </w:r>
          </w:p>
        </w:tc>
        <w:tc>
          <w:tcPr/>
          <w:p>
            <w:pPr>
              <w:pStyle w:val="Compact"/>
            </w:pPr>
            <w:r>
              <w:t xml:space="preserve">Similar a 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~1%</w:t>
            </w:r>
          </w:p>
        </w:tc>
        <w:tc>
          <w:tcPr/>
          <w:p>
            <w:pPr>
              <w:pStyle w:val="Compact"/>
            </w:pPr>
            <w:r>
              <w:t xml:space="preserve">Permite uso comercial. Patentes incluidas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LGPL-3.0</w:t>
            </w:r>
          </w:p>
        </w:tc>
        <w:tc>
          <w:tcPr/>
          <w:p>
            <w:pPr>
              <w:pStyle w:val="Compact"/>
            </w:pPr>
            <w:r>
              <w:t xml:space="preserve">1 (eslint-plugin-sonarjs)</w:t>
            </w:r>
          </w:p>
        </w:tc>
        <w:tc>
          <w:tcPr/>
          <w:p>
            <w:pPr>
              <w:pStyle w:val="Compact"/>
            </w:pPr>
            <w:r>
              <w:t xml:space="preserve">Solo afecta uso del plugin en build, NO al producto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Mapbox SDK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Comercial con límite gratuito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Conclusión</w:t>
      </w:r>
      <w:r>
        <w:t xml:space="preserve">: el stack completo es compatible con uso comercial sin restricciones materiales. La única dependencia con condiciones especiales es Mapbox, que afecta solo si se hace uso intensivo de mapas.</w:t>
      </w:r>
    </w:p>
    <w:p>
      <w:r>
        <w:pict>
          <v:rect style="width:0;height:1.5pt" o:hralign="center" o:hrstd="t" o:hr="t"/>
        </w:pict>
      </w:r>
    </w:p>
    <w:bookmarkEnd w:id="40"/>
    <w:bookmarkStart w:id="43" w:name="X1c4c0e1f7e58d9471adf206e93f1508ef4e3ec3"/>
    <w:p>
      <w:pPr>
        <w:pStyle w:val="Heading2"/>
      </w:pPr>
      <w:r>
        <w:t xml:space="preserve">5. Atribución y avisos legales</w:t>
      </w:r>
    </w:p>
    <w:bookmarkStart w:id="41" w:name="X47e2690aaab339212094c29d510e4cb43d07285"/>
    <w:p>
      <w:pPr>
        <w:pStyle w:val="Heading3"/>
      </w:pPr>
      <w:r>
        <w:t xml:space="preserve">5.1 Aviso requerido por las licencias MIT/BSD</w:t>
      </w:r>
    </w:p>
    <w:p>
      <w:pPr>
        <w:pStyle w:val="FirstParagraph"/>
      </w:pPr>
      <w:r>
        <w:t xml:space="preserve">Al distribuir el software, debe mantenerse el aviso de copyright original de cada paquete. Los archivos de licencia están preservados en: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admin-back/vendor/&lt;vendor&gt;/&lt;package&gt;/LICENSE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admin-front/node_modules/&lt;package&gt;/LICENSE</w:t>
      </w:r>
    </w:p>
    <w:bookmarkEnd w:id="41"/>
    <w:bookmarkStart w:id="42" w:name="X00befdeb957eb64bb059c33f76d72b7892f05e2"/>
    <w:p>
      <w:pPr>
        <w:pStyle w:val="Heading3"/>
      </w:pPr>
      <w:r>
        <w:t xml:space="preserve">5.2 Aviso recomendado en el sistema</w:t>
      </w:r>
    </w:p>
    <w:p>
      <w:pPr>
        <w:pStyle w:val="FirstParagraph"/>
      </w:pPr>
      <w:r>
        <w:t xml:space="preserve">En la sección "Acerca de" o pie de página del sistema, se sugiere incluir:</w:t>
      </w:r>
    </w:p>
    <w:p>
      <w:pPr>
        <w:pStyle w:val="BlockText"/>
      </w:pPr>
      <w:r>
        <w:rPr>
          <w:i/>
          <w:iCs/>
        </w:rPr>
        <w:t xml:space="preserve">Este sistema utiliza componentes de software libre (open source). El listado completo de licencias está disponible en la documentación técnica.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0321dceda964fdefa128e930cd5ef775cf68161"/>
    <w:p>
      <w:pPr>
        <w:pStyle w:val="Heading2"/>
      </w:pPr>
      <w:r>
        <w:t xml:space="preserve">6. Mantenimiento de dependencias</w:t>
      </w:r>
    </w:p>
    <w:bookmarkStart w:id="44" w:name="X6ff8568af26854a5762a4ad03e2b2ee73f9594a"/>
    <w:p>
      <w:pPr>
        <w:pStyle w:val="Heading3"/>
      </w:pPr>
      <w:r>
        <w:t xml:space="preserve">6.1 Actualizaciones de seguridad</w:t>
      </w:r>
    </w:p>
    <w:p>
      <w:pPr>
        <w:pStyle w:val="FirstParagraph"/>
      </w:pPr>
      <w:r>
        <w:t xml:space="preserve">Se recomienda al cliente:</w:t>
      </w:r>
    </w:p>
    <w:p>
      <w:pPr>
        <w:pStyle w:val="Compact"/>
        <w:numPr>
          <w:ilvl w:val="0"/>
          <w:numId w:val="1003"/>
        </w:numPr>
      </w:pPr>
      <w:r>
        <w:t xml:space="preserve">Auditar dependencias</w:t>
      </w:r>
      <w:r>
        <w:t xml:space="preserve"> </w:t>
      </w:r>
      <w:r>
        <w:rPr>
          <w:b/>
          <w:bCs/>
        </w:rPr>
        <w:t xml:space="preserve">trimestralmente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admin-back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audit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admin-front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audit </w:t>
      </w:r>
      <w:r>
        <w:rPr>
          <w:rStyle w:val="AttributeTok"/>
        </w:rPr>
        <w:t xml:space="preserve">--audit-level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high</w:t>
      </w:r>
    </w:p>
    <w:p>
      <w:pPr>
        <w:pStyle w:val="Compact"/>
        <w:numPr>
          <w:ilvl w:val="0"/>
          <w:numId w:val="1003"/>
        </w:numPr>
      </w:pPr>
      <w:r>
        <w:t xml:space="preserve">Aplicar parches de seguridad dentro de los</w:t>
      </w:r>
      <w:r>
        <w:t xml:space="preserve"> </w:t>
      </w:r>
      <w:r>
        <w:rPr>
          <w:b/>
          <w:bCs/>
        </w:rPr>
        <w:t xml:space="preserve">30 días</w:t>
      </w:r>
      <w:r>
        <w:t xml:space="preserve"> </w:t>
      </w:r>
      <w:r>
        <w:t xml:space="preserve">siguientes a su publicación</w:t>
      </w:r>
    </w:p>
    <w:p>
      <w:pPr>
        <w:pStyle w:val="Compact"/>
        <w:numPr>
          <w:ilvl w:val="0"/>
          <w:numId w:val="1003"/>
        </w:numPr>
      </w:pPr>
      <w:r>
        <w:t xml:space="preserve">Suscribirse a alertas de seguridad de Laravel y Vue.js</w:t>
      </w:r>
    </w:p>
    <w:bookmarkEnd w:id="44"/>
    <w:bookmarkStart w:id="45" w:name="Xf56d9a00d76519e1ec1891c350224dae3efed5d"/>
    <w:p>
      <w:pPr>
        <w:pStyle w:val="Heading3"/>
      </w:pPr>
      <w:r>
        <w:t xml:space="preserve">6.2 Actualizaciones mayores</w:t>
      </w:r>
    </w:p>
    <w:p>
      <w:pPr>
        <w:pStyle w:val="FirstParagraph"/>
      </w:pPr>
      <w:r>
        <w:t xml:space="preserve">Cambios de versión mayor (ej. Laravel 12 → 13) requieren:</w:t>
      </w:r>
    </w:p>
    <w:p>
      <w:pPr>
        <w:pStyle w:val="Compact"/>
        <w:numPr>
          <w:ilvl w:val="0"/>
          <w:numId w:val="1004"/>
        </w:numPr>
      </w:pPr>
      <w:r>
        <w:t xml:space="preserve">Revisión de cambios incompatibles (changelog)</w:t>
      </w:r>
    </w:p>
    <w:p>
      <w:pPr>
        <w:pStyle w:val="Compact"/>
        <w:numPr>
          <w:ilvl w:val="0"/>
          <w:numId w:val="1004"/>
        </w:numPr>
      </w:pPr>
      <w:r>
        <w:t xml:space="preserve">Plan de pruebas extendido</w:t>
      </w:r>
    </w:p>
    <w:p>
      <w:pPr>
        <w:pStyle w:val="Compact"/>
        <w:numPr>
          <w:ilvl w:val="0"/>
          <w:numId w:val="1004"/>
        </w:numPr>
      </w:pPr>
      <w:r>
        <w:t xml:space="preserve">Coordinación con el proveedor para garantía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e1ecd92c51a5775c36fb0b775bec94f03bf595b"/>
    <w:p>
      <w:pPr>
        <w:pStyle w:val="Heading2"/>
      </w:pPr>
      <w:r>
        <w:t xml:space="preserve">7. Generar archivo legal completo</w:t>
      </w:r>
    </w:p>
    <w:p>
      <w:pPr>
        <w:pStyle w:val="FirstParagraph"/>
      </w:pPr>
      <w:r>
        <w:t xml:space="preserve">Para entregar al cliente un archivo legal exhaustivo con todas las dependencias y sus textos de licencia: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admin-back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licenses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../entrega_cliente/recursos/licencias-back.json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../admin-front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licenses list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../entrega_cliente/recursos/licencias-front.json</w:t>
      </w:r>
    </w:p>
    <w:p>
      <w:pPr>
        <w:pStyle w:val="FirstParagraph"/>
      </w:pPr>
      <w:r>
        <w:t xml:space="preserve">Estos archivos JSON contienen el listado completo de</w:t>
      </w:r>
      <w:r>
        <w:t xml:space="preserve"> </w:t>
      </w:r>
      <w:r>
        <w:rPr>
          <w:b/>
          <w:bCs/>
        </w:rPr>
        <w:t xml:space="preserve">cada</w:t>
      </w:r>
      <w:r>
        <w:t xml:space="preserve"> </w:t>
      </w:r>
      <w:r>
        <w:t xml:space="preserve">dependencia transitiva con su licencia, autor y URL.</w:t>
      </w:r>
    </w:p>
    <w:p>
      <w:r>
        <w:pict>
          <v:rect style="width:0;height:1.5pt" o:hralign="center" o:hrstd="t" o:hr="t"/>
        </w:pict>
      </w:r>
    </w:p>
    <w:bookmarkEnd w:id="47"/>
    <w:bookmarkStart w:id="51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Manual de instalación</w:t>
        </w:r>
      </w:hyperlink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Arquitectura</w:t>
        </w:r>
      </w:hyperlink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Configuración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51"/>
    <w:bookmarkEnd w:id="52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49" Target="./ARQUITECTURA.md" TargetMode="External" /><Relationship Type="http://schemas.openxmlformats.org/officeDocument/2006/relationships/hyperlink" Id="rId50" Target="./CONFIGURACION.md" TargetMode="External" /><Relationship Type="http://schemas.openxmlformats.org/officeDocument/2006/relationships/hyperlink" Id="rId48" Target="./INSTALACION.md" TargetMode="External" /><Relationship Type="http://schemas.openxmlformats.org/officeDocument/2006/relationships/hyperlink" Id="rId25" Target="https://docs.laravel-excel.com" TargetMode="External" /><Relationship Type="http://schemas.openxmlformats.org/officeDocument/2006/relationships/hyperlink" Id="rId28" Target="https://github.com/Bacon/BaconQrCode" TargetMode="External" /><Relationship Type="http://schemas.openxmlformats.org/officeDocument/2006/relationships/hyperlink" Id="rId23" Target="https://github.com/PHP-Open-Source-Saver/jwt-auth" TargetMode="External" /><Relationship Type="http://schemas.openxmlformats.org/officeDocument/2006/relationships/hyperlink" Id="rId27" Target="https://github.com/antonioribeiro/google2fa" TargetMode="External" /><Relationship Type="http://schemas.openxmlformats.org/officeDocument/2006/relationships/hyperlink" Id="rId26" Target="https://github.com/barryvdh/laravel-dompdf" TargetMode="External" /><Relationship Type="http://schemas.openxmlformats.org/officeDocument/2006/relationships/hyperlink" Id="rId21" Target="https://github.com/laravel/sanctum" TargetMode="External" /><Relationship Type="http://schemas.openxmlformats.org/officeDocument/2006/relationships/hyperlink" Id="rId22" Target="https://github.com/laravel/tinker" TargetMode="External" /><Relationship Type="http://schemas.openxmlformats.org/officeDocument/2006/relationships/hyperlink" Id="rId24" Target="https://github.com/spatie/laravel-permission" TargetMode="External" /><Relationship Type="http://schemas.openxmlformats.org/officeDocument/2006/relationships/hyperlink" Id="rId20" Target="https://laravel.com" TargetMode="External" /><Relationship Type="http://schemas.openxmlformats.org/officeDocument/2006/relationships/hyperlink" Id="rId36" Target="https://www.mapbox.com/legal/to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/ARQUITECTURA.md" TargetMode="External" /><Relationship Type="http://schemas.openxmlformats.org/officeDocument/2006/relationships/hyperlink" Id="rId50" Target="./CONFIGURACION.md" TargetMode="External" /><Relationship Type="http://schemas.openxmlformats.org/officeDocument/2006/relationships/hyperlink" Id="rId48" Target="./INSTALACION.md" TargetMode="External" /><Relationship Type="http://schemas.openxmlformats.org/officeDocument/2006/relationships/hyperlink" Id="rId25" Target="https://docs.laravel-excel.com" TargetMode="External" /><Relationship Type="http://schemas.openxmlformats.org/officeDocument/2006/relationships/hyperlink" Id="rId28" Target="https://github.com/Bacon/BaconQrCode" TargetMode="External" /><Relationship Type="http://schemas.openxmlformats.org/officeDocument/2006/relationships/hyperlink" Id="rId23" Target="https://github.com/PHP-Open-Source-Saver/jwt-auth" TargetMode="External" /><Relationship Type="http://schemas.openxmlformats.org/officeDocument/2006/relationships/hyperlink" Id="rId27" Target="https://github.com/antonioribeiro/google2fa" TargetMode="External" /><Relationship Type="http://schemas.openxmlformats.org/officeDocument/2006/relationships/hyperlink" Id="rId26" Target="https://github.com/barryvdh/laravel-dompdf" TargetMode="External" /><Relationship Type="http://schemas.openxmlformats.org/officeDocument/2006/relationships/hyperlink" Id="rId21" Target="https://github.com/laravel/sanctum" TargetMode="External" /><Relationship Type="http://schemas.openxmlformats.org/officeDocument/2006/relationships/hyperlink" Id="rId22" Target="https://github.com/laravel/tinker" TargetMode="External" /><Relationship Type="http://schemas.openxmlformats.org/officeDocument/2006/relationships/hyperlink" Id="rId24" Target="https://github.com/spatie/laravel-permission" TargetMode="External" /><Relationship Type="http://schemas.openxmlformats.org/officeDocument/2006/relationships/hyperlink" Id="rId20" Target="https://laravel.com" TargetMode="External" /><Relationship Type="http://schemas.openxmlformats.org/officeDocument/2006/relationships/hyperlink" Id="rId36" Target="https://www.mapbox.com/legal/to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2026-05-09T17:20:27Z</dcterms:created>
  <dcterms:modified xsi:type="dcterms:W3CDTF">2026-05-09T17:20:27Z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