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7" w:name="acta-de-entrega"/>
    <w:p>
      <w:pPr>
        <w:pStyle w:val="Heading1"/>
      </w:pPr>
      <w:r>
        <w:t xml:space="preserve">Acta de Entrega</w:t>
      </w:r>
    </w:p>
    <w:bookmarkStart w:id="21" w:name="sistema-de-inventario-pro"/>
    <w:p>
      <w:pPr>
        <w:pStyle w:val="Heading2"/>
      </w:pPr>
      <w:r>
        <w:t xml:space="preserve">Sistema de Inventario Pro</w:t>
      </w:r>
    </w:p>
    <w:p>
      <w:r>
        <w:pict>
          <v:rect style="width:0;height:1.5pt" o:hralign="center" o:hrstd="t" o:hr="t"/>
        </w:pict>
      </w:r>
    </w:p>
    <w:bookmarkStart w:id="19" w:name="datos-del-proveedor"/>
    <w:p>
      <w:pPr>
        <w:pStyle w:val="Heading3"/>
      </w:pPr>
      <w:r>
        <w:t xml:space="preserve">Datos del proveedor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Razón social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 SISTEMAS INFORMATICOS Y TECNOLOGIA SAS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900.583.147-1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Producto entregado</w:t>
            </w:r>
          </w:p>
        </w:tc>
        <w:tc>
          <w:tcPr/>
          <w:p>
            <w:pPr>
              <w:pStyle w:val="Compact"/>
            </w:pPr>
            <w:r>
              <w:t xml:space="preserve">Sistema de Inventario Pro (admin-back + admin-front)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entrega</w:t>
            </w:r>
          </w:p>
        </w:tc>
        <w:tc>
          <w:tcPr/>
          <w:p>
            <w:pPr>
              <w:pStyle w:val="Compact"/>
            </w:pPr>
            <w:r>
              <w:t xml:space="preserve">_____ / _____ / _____</w:t>
            </w:r>
          </w:p>
        </w:tc>
      </w:tr>
    </w:tbl>
    <w:bookmarkEnd w:id="19"/>
    <w:bookmarkStart w:id="20" w:name="datos-del-cliente"/>
    <w:p>
      <w:pPr>
        <w:pStyle w:val="Heading3"/>
      </w:pPr>
      <w:r>
        <w:t xml:space="preserve">Datos del cliente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Razón social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NIT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Representante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Cargo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 electrónico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Teléfono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X9895ad7d6233bb46f1f1ab0c9c1393c5bec2388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El proveedor entrega al cliente el</w:t>
      </w:r>
      <w:r>
        <w:t xml:space="preserve"> </w:t>
      </w:r>
      <w:r>
        <w:rPr>
          <w:b/>
          <w:bCs/>
        </w:rPr>
        <w:t xml:space="preserve">Sistema de Inventario Pro</w:t>
      </w:r>
      <w:r>
        <w:t xml:space="preserve">, una plataforma integral de gestión de inventarios desarrollada en Laravel 12 (backend) + Vue 3 (frontend), con cobertura funcional sobre los siguientes módulos:</w:t>
      </w:r>
    </w:p>
    <w:p>
      <w:pPr>
        <w:pStyle w:val="Compact"/>
        <w:numPr>
          <w:ilvl w:val="0"/>
          <w:numId w:val="1001"/>
        </w:numPr>
      </w:pPr>
      <w:r>
        <w:t xml:space="preserve">Dashboard con KPIs y gráficos comerciales</w:t>
      </w:r>
    </w:p>
    <w:p>
      <w:pPr>
        <w:pStyle w:val="Compact"/>
        <w:numPr>
          <w:ilvl w:val="0"/>
          <w:numId w:val="1001"/>
        </w:numPr>
      </w:pPr>
      <w:r>
        <w:t xml:space="preserve">Gestión de productos, categorías, marcas y modelos</w:t>
      </w:r>
    </w:p>
    <w:p>
      <w:pPr>
        <w:pStyle w:val="Compact"/>
        <w:numPr>
          <w:ilvl w:val="0"/>
          <w:numId w:val="1001"/>
        </w:numPr>
      </w:pPr>
      <w:r>
        <w:t xml:space="preserve">Gestión de almacenes y stock por ubicación</w:t>
      </w:r>
    </w:p>
    <w:p>
      <w:pPr>
        <w:pStyle w:val="Compact"/>
        <w:numPr>
          <w:ilvl w:val="0"/>
          <w:numId w:val="1001"/>
        </w:numPr>
      </w:pPr>
      <w:r>
        <w:t xml:space="preserve">Kardex de movimientos</w:t>
      </w:r>
    </w:p>
    <w:p>
      <w:pPr>
        <w:pStyle w:val="Compact"/>
        <w:numPr>
          <w:ilvl w:val="0"/>
          <w:numId w:val="1001"/>
        </w:numPr>
      </w:pPr>
      <w:r>
        <w:t xml:space="preserve">Ventas y cotizaciones con clientes y pagos</w:t>
      </w:r>
    </w:p>
    <w:p>
      <w:pPr>
        <w:pStyle w:val="Compact"/>
        <w:numPr>
          <w:ilvl w:val="0"/>
          <w:numId w:val="1001"/>
        </w:numPr>
      </w:pPr>
      <w:r>
        <w:t xml:space="preserve">Compras y recepción de mercancía</w:t>
      </w:r>
    </w:p>
    <w:p>
      <w:pPr>
        <w:pStyle w:val="Compact"/>
        <w:numPr>
          <w:ilvl w:val="0"/>
          <w:numId w:val="1001"/>
        </w:numPr>
      </w:pPr>
      <w:r>
        <w:t xml:space="preserve">Traslados entre almacenes con salida y entrega</w:t>
      </w:r>
    </w:p>
    <w:p>
      <w:pPr>
        <w:pStyle w:val="Compact"/>
        <w:numPr>
          <w:ilvl w:val="0"/>
          <w:numId w:val="1001"/>
        </w:numPr>
      </w:pPr>
      <w:r>
        <w:t xml:space="preserve">Devoluciones (RMA) con clasificación</w:t>
      </w:r>
    </w:p>
    <w:p>
      <w:pPr>
        <w:pStyle w:val="Compact"/>
        <w:numPr>
          <w:ilvl w:val="0"/>
          <w:numId w:val="1001"/>
        </w:numPr>
      </w:pPr>
      <w:r>
        <w:t xml:space="preserve">Reacondicionamiento técnico de equipos</w:t>
      </w:r>
    </w:p>
    <w:p>
      <w:pPr>
        <w:pStyle w:val="Compact"/>
        <w:numPr>
          <w:ilvl w:val="0"/>
          <w:numId w:val="1001"/>
        </w:numPr>
      </w:pPr>
      <w:r>
        <w:t xml:space="preserve">CRM con leads, oportunidades y pipeline</w:t>
      </w:r>
    </w:p>
    <w:p>
      <w:pPr>
        <w:pStyle w:val="Compact"/>
        <w:numPr>
          <w:ilvl w:val="0"/>
          <w:numId w:val="1001"/>
        </w:numPr>
      </w:pPr>
      <w:r>
        <w:t xml:space="preserve">Auditoría de eventos y cambios</w:t>
      </w:r>
    </w:p>
    <w:p>
      <w:pPr>
        <w:pStyle w:val="Compact"/>
        <w:numPr>
          <w:ilvl w:val="0"/>
          <w:numId w:val="1001"/>
        </w:numPr>
      </w:pPr>
      <w:r>
        <w:t xml:space="preserve">Configuración (sucursales, almacenes, categorías, unidades, proveedores)</w:t>
      </w:r>
    </w:p>
    <w:p>
      <w:pPr>
        <w:pStyle w:val="Compact"/>
        <w:numPr>
          <w:ilvl w:val="0"/>
          <w:numId w:val="1001"/>
        </w:numPr>
      </w:pPr>
      <w:r>
        <w:t xml:space="preserve">Roles y permisos granulares</w:t>
      </w:r>
    </w:p>
    <w:p>
      <w:pPr>
        <w:pStyle w:val="Compact"/>
        <w:numPr>
          <w:ilvl w:val="0"/>
          <w:numId w:val="1001"/>
        </w:numPr>
      </w:pPr>
      <w:r>
        <w:t xml:space="preserve">Gestión de usuarios con autenticación JWT y 2FA opcional</w:t>
      </w:r>
    </w:p>
    <w:p>
      <w:r>
        <w:pict>
          <v:rect style="width:0;height:1.5pt" o:hralign="center" o:hrstd="t" o:hr="t"/>
        </w:pict>
      </w:r>
    </w:p>
    <w:bookmarkEnd w:id="22"/>
    <w:bookmarkStart w:id="27" w:name="X7aacbe0761a3508500ad1634d5f989345fbbd98"/>
    <w:p>
      <w:pPr>
        <w:pStyle w:val="Heading2"/>
      </w:pPr>
      <w:r>
        <w:t xml:space="preserve">2. Componentes entregados</w:t>
      </w:r>
    </w:p>
    <w:bookmarkStart w:id="23" w:name="X4bd66347f2491b34b17ac5413b42f96a0177137"/>
    <w:p>
      <w:pPr>
        <w:pStyle w:val="Heading3"/>
      </w:pPr>
      <w:r>
        <w:t xml:space="preserve">2.1 Código fuente</w:t>
      </w:r>
    </w:p>
    <w:p>
      <w:pPr>
        <w:pStyle w:val="Compact"/>
        <w:numPr>
          <w:ilvl w:val="0"/>
          <w:numId w:val="1002"/>
        </w:numPr>
      </w:pPr>
      <w:r>
        <w:t xml:space="preserve">Repositorio Git completo con: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admin-back/</w:t>
      </w:r>
      <w:r>
        <w:t xml:space="preserve"> </w:t>
      </w:r>
      <w:r>
        <w:t xml:space="preserve">— API REST en Laravel 12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admin-front/</w:t>
      </w:r>
      <w:r>
        <w:t xml:space="preserve"> </w:t>
      </w:r>
      <w:r>
        <w:t xml:space="preserve">— SPA en Vue 3 + Vuetify 3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deploy.sh</w:t>
      </w:r>
      <w:r>
        <w:t xml:space="preserve"> </w:t>
      </w:r>
      <w:r>
        <w:t xml:space="preserve">— script de despliegue blue-green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docs/</w:t>
      </w:r>
      <w:r>
        <w:t xml:space="preserve"> </w:t>
      </w:r>
      <w:r>
        <w:t xml:space="preserve">— documentación técnica versionada</w:t>
      </w:r>
    </w:p>
    <w:bookmarkEnd w:id="23"/>
    <w:bookmarkStart w:id="24" w:name="Xc5195b4f6ba204c22ae9dcab098a24d3a988862"/>
    <w:p>
      <w:pPr>
        <w:pStyle w:val="Heading3"/>
      </w:pPr>
      <w:r>
        <w:t xml:space="preserve">2.2 Documentación técnica (en repositorio, formato Markdown)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docs/INSTALACION.md</w:t>
            </w:r>
          </w:p>
        </w:tc>
        <w:tc>
          <w:tcPr/>
          <w:p>
            <w:pPr>
              <w:pStyle w:val="Compact"/>
            </w:pPr>
            <w:r>
              <w:t xml:space="preserve">Manual de instalación dev y producción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docs/CONFIGURACION.md</w:t>
            </w:r>
          </w:p>
        </w:tc>
        <w:tc>
          <w:tcPr/>
          <w:p>
            <w:pPr>
              <w:pStyle w:val="Compact"/>
            </w:pPr>
            <w:r>
              <w:t xml:space="preserve">Variables de entorno, JWT, 2FA, roles y permisos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docs/MODELO_BD.md</w:t>
            </w:r>
          </w:p>
        </w:tc>
        <w:tc>
          <w:tcPr/>
          <w:p>
            <w:pPr>
              <w:pStyle w:val="Compact"/>
            </w:pPr>
            <w:r>
              <w:t xml:space="preserve">Esquema relacional y diccionario de datos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docs/API.md</w:t>
            </w:r>
          </w:p>
        </w:tc>
        <w:tc>
          <w:tcPr/>
          <w:p>
            <w:pPr>
              <w:pStyle w:val="Compact"/>
            </w:pPr>
            <w:r>
              <w:t xml:space="preserve">Catálogo de endpoints REST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docs/ARQUITECTURA.md</w:t>
            </w:r>
          </w:p>
        </w:tc>
        <w:tc>
          <w:tcPr/>
          <w:p>
            <w:pPr>
              <w:pStyle w:val="Compact"/>
            </w:pPr>
            <w:r>
              <w:t xml:space="preserve">Visión técnica integral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docs/SEGURIDAD.md</w:t>
            </w:r>
          </w:p>
        </w:tc>
        <w:tc>
          <w:tcPr/>
          <w:p>
            <w:pPr>
              <w:pStyle w:val="Compact"/>
            </w:pPr>
            <w:r>
              <w:t xml:space="preserve">Controles, hallazgos y hardening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docs/OPERACIONES.md</w:t>
            </w:r>
          </w:p>
        </w:tc>
        <w:tc>
          <w:tcPr/>
          <w:p>
            <w:pPr>
              <w:pStyle w:val="Compact"/>
            </w:pPr>
            <w:r>
              <w:t xml:space="preserve">Runbook: backups, logs, monitoreo, rollback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docs/PLAN_QA.md</w:t>
            </w:r>
          </w:p>
        </w:tc>
        <w:tc>
          <w:tcPr/>
          <w:p>
            <w:pPr>
              <w:pStyle w:val="Compact"/>
            </w:pPr>
            <w:r>
              <w:t xml:space="preserve">Plan y reportes de pruebas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docs/MANUAL_USUARIO.md</w:t>
            </w:r>
          </w:p>
        </w:tc>
        <w:tc>
          <w:tcPr/>
          <w:p>
            <w:pPr>
              <w:pStyle w:val="Compact"/>
            </w:pPr>
            <w:r>
              <w:t xml:space="preserve">Guía de uso por módulo con capturas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docs/CONTRIBUCION.md</w:t>
            </w:r>
          </w:p>
        </w:tc>
        <w:tc>
          <w:tcPr/>
          <w:p>
            <w:pPr>
              <w:pStyle w:val="Compact"/>
            </w:pPr>
            <w:r>
              <w:t xml:space="preserve">Convenciones para futuros desarrolladores</w:t>
            </w:r>
          </w:p>
        </w:tc>
      </w:tr>
    </w:tbl>
    <w:bookmarkEnd w:id="24"/>
    <w:bookmarkStart w:id="25" w:name="Xb601ed1cfaeff2e4aaaa60558de917ee31400f7"/>
    <w:p>
      <w:pPr>
        <w:pStyle w:val="Heading3"/>
      </w:pPr>
      <w:r>
        <w:t xml:space="preserve">2.3 Documentación para el cliente (Word)</w:t>
      </w:r>
    </w:p>
    <w:p>
      <w:pPr>
        <w:pStyle w:val="FirstParagraph"/>
      </w:pPr>
      <w:r>
        <w:t xml:space="preserve">Carpeta</w:t>
      </w:r>
      <w:r>
        <w:t xml:space="preserve"> </w:t>
      </w:r>
      <w:r>
        <w:rPr>
          <w:rStyle w:val="VerbatimChar"/>
        </w:rPr>
        <w:t xml:space="preserve">entrega_cliente/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01_Manual_de_Instalacion.docx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02_Manual_de_Configuracion.docx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03_Modelo_de_Base_de_Datos.docx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04_Manual_de_Usuario.docx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05_Manual_Tecnico_Arquitectura.docx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06_Manual_de_Operaciones.docx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07_Plan_y_Reporte_de_QA.docx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08_Checklist_de_Seguridad.docx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09_API_REST.docx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10_Licencias_y_Dependencias.docx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11_Acta_de_Entrega.docx</w:t>
      </w:r>
      <w:r>
        <w:t xml:space="preserve"> </w:t>
      </w:r>
      <w:r>
        <w:t xml:space="preserve">(este documento)</w:t>
      </w:r>
    </w:p>
    <w:bookmarkEnd w:id="25"/>
    <w:bookmarkStart w:id="26" w:name="Xea023f1186280c41437c4355858188774aa915f"/>
    <w:p>
      <w:pPr>
        <w:pStyle w:val="Heading3"/>
      </w:pPr>
      <w:r>
        <w:t xml:space="preserve">2.4 Recursos adicionales</w:t>
      </w:r>
    </w:p>
    <w:p>
      <w:pPr>
        <w:pStyle w:val="Compact"/>
        <w:numPr>
          <w:ilvl w:val="0"/>
          <w:numId w:val="1005"/>
        </w:numPr>
      </w:pPr>
      <w:r>
        <w:t xml:space="preserve">Plantilla de importación de productos:</w:t>
      </w:r>
      <w:r>
        <w:t xml:space="preserve"> </w:t>
      </w:r>
      <w:r>
        <w:rPr>
          <w:rStyle w:val="VerbatimChar"/>
        </w:rPr>
        <w:t xml:space="preserve">ejemplo_import.xlsx</w:t>
      </w:r>
    </w:p>
    <w:p>
      <w:pPr>
        <w:pStyle w:val="Compact"/>
        <w:numPr>
          <w:ilvl w:val="0"/>
          <w:numId w:val="1005"/>
        </w:numPr>
      </w:pPr>
      <w:r>
        <w:t xml:space="preserve">Capturas del sistema:</w:t>
      </w:r>
      <w:r>
        <w:t xml:space="preserve"> </w:t>
      </w:r>
      <w:r>
        <w:rPr>
          <w:rStyle w:val="VerbatimChar"/>
        </w:rPr>
        <w:t xml:space="preserve">entrega_cliente/recursos/</w:t>
      </w:r>
    </w:p>
    <w:p>
      <w:pPr>
        <w:pStyle w:val="Compact"/>
        <w:numPr>
          <w:ilvl w:val="0"/>
          <w:numId w:val="1005"/>
        </w:numPr>
      </w:pPr>
      <w:r>
        <w:t xml:space="preserve">Documentos legacy consolidados:</w:t>
      </w:r>
      <w:r>
        <w:t xml:space="preserve"> </w:t>
      </w:r>
      <w:r>
        <w:rPr>
          <w:rStyle w:val="VerbatimChar"/>
        </w:rPr>
        <w:t xml:space="preserve">docs/_archivo/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d04eb856af91940a215567ac74c71e29d4052c0"/>
    <w:p>
      <w:pPr>
        <w:pStyle w:val="Heading2"/>
      </w:pPr>
      <w:r>
        <w:t xml:space="preserve">3. Credenciales de acceso</w:t>
      </w:r>
    </w:p>
    <w:p>
      <w:pPr>
        <w:pStyle w:val="BlockText"/>
      </w:pPr>
      <w:r>
        <w:rPr>
          <w:b/>
          <w:bCs/>
        </w:rPr>
        <w:t xml:space="preserve">Las credenciales se entregan por canal seguro separado</w:t>
      </w:r>
      <w:r>
        <w:t xml:space="preserve"> </w:t>
      </w:r>
      <w:r>
        <w:t xml:space="preserve">(sobre cerrado, gestor de contraseñas o correo cifrado), NO en este documento.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 administrador inicial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superadmin@sitecsas.com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Super-Admin (todos los permisos)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del sistema</w:t>
            </w:r>
          </w:p>
        </w:tc>
        <w:tc>
          <w:tcPr/>
          <w:p>
            <w:pPr>
              <w:pStyle w:val="Compact"/>
            </w:pPr>
            <w:r>
              <w:t xml:space="preserve">A definir según ambiente</w:t>
            </w:r>
          </w:p>
        </w:tc>
      </w:tr>
    </w:tbl>
    <w:p>
      <w:pPr>
        <w:pStyle w:val="BlockText"/>
      </w:pPr>
      <w:r>
        <w:rPr>
          <w:b/>
          <w:bCs/>
        </w:rPr>
        <w:t xml:space="preserve">Es responsabilidad del cliente cambiar la contraseña del usuario administrador inicial inmediatamente después de la primera sesión y activar la autenticación de dos factores (2FA) en todos los usuarios administrativos.</w:t>
      </w:r>
    </w:p>
    <w:p>
      <w:r>
        <w:pict>
          <v:rect style="width:0;height:1.5pt" o:hralign="center" o:hrstd="t" o:hr="t"/>
        </w:pict>
      </w:r>
    </w:p>
    <w:bookmarkEnd w:id="28"/>
    <w:bookmarkStart w:id="29" w:name="X9bb4e1356bfda5637ff2ce1b15b7907ed6e20ee"/>
    <w:p>
      <w:pPr>
        <w:pStyle w:val="Heading2"/>
      </w:pPr>
      <w:r>
        <w:t xml:space="preserve">4. Pruebas ejecutadas</w:t>
      </w:r>
    </w:p>
    <w:p>
      <w:pPr>
        <w:pStyle w:val="FirstParagraph"/>
      </w:pPr>
      <w:r>
        <w:t xml:space="preserve">Se ejecutaron y aprobaron las siguientes baterías de pruebas: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Sprint 1 (API local)</w:t>
      </w:r>
      <w:r>
        <w:t xml:space="preserve"> </w:t>
      </w:r>
      <w:r>
        <w:t xml:space="preserve">— autenticación, compras, ventas, conversiones, traslados, kardex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Sprint 1.2 (parche HTTP)</w:t>
      </w:r>
      <w:r>
        <w:t xml:space="preserve"> </w:t>
      </w:r>
      <w:r>
        <w:t xml:space="preserve">— corrección de códigos HTTP en endpoints transaccionales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Smoke E2E (Playwright)</w:t>
      </w:r>
      <w:r>
        <w:t xml:space="preserve"> </w:t>
      </w:r>
      <w:r>
        <w:t xml:space="preserve">— acceso a módulos críticos desde el frontend</w:t>
      </w:r>
    </w:p>
    <w:p>
      <w:pPr>
        <w:pStyle w:val="FirstParagraph"/>
      </w:pPr>
      <w:r>
        <w:t xml:space="preserve">Detalle completo:</w:t>
      </w:r>
      <w:r>
        <w:t xml:space="preserve"> </w:t>
      </w:r>
      <w:r>
        <w:rPr>
          <w:rStyle w:val="VerbatimChar"/>
        </w:rPr>
        <w:t xml:space="preserve">docs/PLAN_QA.md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3" w:name="Xb355a9af13a1118e3b97c8efb567212bafad449"/>
    <w:p>
      <w:pPr>
        <w:pStyle w:val="Heading2"/>
      </w:pPr>
      <w:r>
        <w:t xml:space="preserve">5. Soporte y garantía</w:t>
      </w:r>
    </w:p>
    <w:bookmarkStart w:id="30" w:name="X0794c5423acfb9afebe6b3ccf5f9193a1cbce85"/>
    <w:p>
      <w:pPr>
        <w:pStyle w:val="Heading3"/>
      </w:pPr>
      <w:r>
        <w:t xml:space="preserve">5.1 Garantía</w:t>
      </w:r>
    </w:p>
    <w:p>
      <w:pPr>
        <w:pStyle w:val="BlockText"/>
      </w:pPr>
      <w:r>
        <w:rPr>
          <w:b/>
          <w:bCs/>
        </w:rPr>
        <w:t xml:space="preserve">Completar según términos comerciales acordados.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Período de garantía</w:t>
            </w:r>
          </w:p>
        </w:tc>
        <w:tc>
          <w:tcPr/>
          <w:p>
            <w:pPr>
              <w:pStyle w:val="Compact"/>
            </w:pPr>
            <w:r>
              <w:t xml:space="preserve">_____________ meses desde la fecha de entrega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</w:t>
            </w:r>
          </w:p>
        </w:tc>
        <w:tc>
          <w:tcPr/>
          <w:p>
            <w:pPr>
              <w:pStyle w:val="Compact"/>
            </w:pPr>
            <w:r>
              <w:t xml:space="preserve">Bugs reproducibles que afecten funcionalidad descrita en este acta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Exclusiones</w:t>
            </w:r>
          </w:p>
        </w:tc>
        <w:tc>
          <w:tcPr/>
          <w:p>
            <w:pPr>
              <w:pStyle w:val="Compact"/>
            </w:pPr>
            <w:r>
              <w:t xml:space="preserve">Cambios no acordados, modificaciones post-entrega por terceros, problemas de infraestructura del cliente</w:t>
            </w:r>
          </w:p>
        </w:tc>
      </w:tr>
    </w:tbl>
    <w:bookmarkEnd w:id="30"/>
    <w:bookmarkStart w:id="31" w:name="X3495adab93fd053908c35fba789cf46dbec7ce7"/>
    <w:p>
      <w:pPr>
        <w:pStyle w:val="Heading3"/>
      </w:pPr>
      <w:r>
        <w:t xml:space="preserve">5.2 Soporte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Cobertura</w:t>
            </w:r>
          </w:p>
        </w:tc>
        <w:tc>
          <w:tcPr/>
          <w:p>
            <w:pPr>
              <w:pStyle w:val="Compac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— Soporte usuario</w:t>
            </w:r>
          </w:p>
        </w:tc>
        <w:tc>
          <w:tcPr/>
          <w:p>
            <w:pPr>
              <w:pStyle w:val="Compact"/>
            </w:pPr>
            <w:r>
              <w:t xml:space="preserve">Mesa de ayuda interna del cliente</w:t>
            </w:r>
          </w:p>
        </w:tc>
        <w:tc>
          <w:tcPr/>
          <w:p>
            <w:pPr>
              <w:pStyle w:val="Compact"/>
            </w:pPr>
            <w:r>
              <w:t xml:space="preserve">A cargo del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— Operaciones TI</w:t>
            </w:r>
          </w:p>
        </w:tc>
        <w:tc>
          <w:tcPr/>
          <w:p>
            <w:pPr>
              <w:pStyle w:val="Compact"/>
            </w:pPr>
            <w:r>
              <w:t xml:space="preserve">Administración del sistema</w:t>
            </w:r>
          </w:p>
        </w:tc>
        <w:tc>
          <w:tcPr/>
          <w:p>
            <w:pPr>
              <w:pStyle w:val="Compact"/>
            </w:pPr>
            <w:r>
              <w:t xml:space="preserve">A cargo del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— Desarrollo y proveedor</w:t>
            </w:r>
          </w:p>
        </w:tc>
        <w:tc>
          <w:tcPr/>
          <w:p>
            <w:pPr>
              <w:pStyle w:val="Compact"/>
            </w:pPr>
            <w:r>
              <w:t xml:space="preserve">Bugs reproducibles, mejoras, garantía</w:t>
            </w:r>
          </w:p>
        </w:tc>
        <w:tc>
          <w:tcPr/>
          <w:p>
            <w:pPr>
              <w:pStyle w:val="Compact"/>
            </w:pPr>
            <w:r>
              <w:t xml:space="preserve">SI Sistemas Informáticos y Tecnología SAS</w:t>
            </w:r>
          </w:p>
        </w:tc>
      </w:tr>
    </w:tbl>
    <w:bookmarkEnd w:id="31"/>
    <w:bookmarkStart w:id="32" w:name="X85ec83d4ff378157e275356acf82906b4b634dd"/>
    <w:p>
      <w:pPr>
        <w:pStyle w:val="Heading3"/>
      </w:pPr>
      <w:r>
        <w:t xml:space="preserve">5.3 SLA recomendado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Tiempo de respuesta</w:t>
            </w:r>
          </w:p>
        </w:tc>
        <w:tc>
          <w:tcPr/>
          <w:p>
            <w:pPr>
              <w:pStyle w:val="Compact"/>
            </w:pPr>
            <w:r>
              <w:t xml:space="preserve">Tiempo de resolución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Crítica (sistema caído)</w:t>
            </w:r>
          </w:p>
        </w:tc>
        <w:tc>
          <w:tcPr/>
          <w:p>
            <w:pPr>
              <w:pStyle w:val="Compact"/>
            </w:pPr>
            <w:r>
              <w:t xml:space="preserve">&lt; 1 hora</w:t>
            </w:r>
          </w:p>
        </w:tc>
        <w:tc>
          <w:tcPr/>
          <w:p>
            <w:pPr>
              <w:pStyle w:val="Compact"/>
            </w:pPr>
            <w:r>
              <w:t xml:space="preserve">&lt; 1 día hábil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 (función crítica afectada)</w:t>
            </w:r>
          </w:p>
        </w:tc>
        <w:tc>
          <w:tcPr/>
          <w:p>
            <w:pPr>
              <w:pStyle w:val="Compact"/>
            </w:pPr>
            <w:r>
              <w:t xml:space="preserve">&lt; 4 horas</w:t>
            </w:r>
          </w:p>
        </w:tc>
        <w:tc>
          <w:tcPr/>
          <w:p>
            <w:pPr>
              <w:pStyle w:val="Compact"/>
            </w:pPr>
            <w:r>
              <w:t xml:space="preserve">&lt; 3 días hábiles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(función no crítica)</w:t>
            </w:r>
          </w:p>
        </w:tc>
        <w:tc>
          <w:tcPr/>
          <w:p>
            <w:pPr>
              <w:pStyle w:val="Compact"/>
            </w:pPr>
            <w:r>
              <w:t xml:space="preserve">&lt; 1 día hábil</w:t>
            </w:r>
          </w:p>
        </w:tc>
        <w:tc>
          <w:tcPr/>
          <w:p>
            <w:pPr>
              <w:pStyle w:val="Compact"/>
            </w:pPr>
            <w:r>
              <w:t xml:space="preserve">Próxima iteración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Baja (mejora, duda)</w:t>
            </w:r>
          </w:p>
        </w:tc>
        <w:tc>
          <w:tcPr/>
          <w:p>
            <w:pPr>
              <w:pStyle w:val="Compact"/>
            </w:pPr>
            <w:r>
              <w:t xml:space="preserve">&lt; 2 días hábiles</w:t>
            </w:r>
          </w:p>
        </w:tc>
        <w:tc>
          <w:tcPr/>
          <w:p>
            <w:pPr>
              <w:pStyle w:val="Compact"/>
            </w:pPr>
            <w:r>
              <w:t xml:space="preserve">Backlog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X61b60b19ec05d098d568c21ece4629223db2ce5"/>
    <w:p>
      <w:pPr>
        <w:pStyle w:val="Heading2"/>
      </w:pPr>
      <w:r>
        <w:t xml:space="preserve">6. Limitaciones conocidas</w:t>
      </w:r>
    </w:p>
    <w:p>
      <w:pPr>
        <w:pStyle w:val="FirstParagraph"/>
      </w:pPr>
      <w:r>
        <w:t xml:space="preserve">Se entregan documentadas en</w:t>
      </w:r>
      <w:r>
        <w:t xml:space="preserve"> </w:t>
      </w:r>
      <w:r>
        <w:rPr>
          <w:rStyle w:val="VerbatimChar"/>
        </w:rPr>
        <w:t xml:space="preserve">docs/SEGURIDAD.md §6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docs/PLAN_QA.md §9</w:t>
      </w:r>
      <w:r>
        <w:t xml:space="preserve">. Resumen: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Hallazgo</w:t>
            </w:r>
          </w:p>
        </w:tc>
        <w:tc>
          <w:tcPr/>
          <w:p>
            <w:pPr>
              <w:pStyle w:val="Compact"/>
            </w:pPr>
            <w:r>
              <w:t xml:space="preserve">Plan acordado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H-01</w:t>
            </w:r>
          </w:p>
        </w:tc>
        <w:tc>
          <w:tcPr/>
          <w:p>
            <w:pPr>
              <w:pStyle w:val="Compact"/>
            </w:pPr>
            <w:r>
              <w:t xml:space="preserve">Token JWT en localStorage (riesgo XSS)</w:t>
            </w:r>
          </w:p>
        </w:tc>
        <w:tc>
          <w:tcPr/>
          <w:p>
            <w:pPr>
              <w:pStyle w:val="Compact"/>
            </w:pPr>
            <w:r>
              <w:t xml:space="preserve">Migración a cookies HttpOnly — fuera de alcance de garantía estándar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H-03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  <w:r>
              <w:t xml:space="preserve"> </w:t>
            </w:r>
            <w:r>
              <w:rPr>
                <w:rStyle w:val="VerbatimChar"/>
              </w:rPr>
              <w:t xml:space="preserve">POST /refurbish/start/{id}</w:t>
            </w:r>
            <w:r>
              <w:t xml:space="preserve"> </w:t>
            </w:r>
            <w:r>
              <w:t xml:space="preserve">sin método</w:t>
            </w:r>
          </w:p>
        </w:tc>
        <w:tc>
          <w:tcPr/>
          <w:p>
            <w:pPr>
              <w:pStyle w:val="Compact"/>
            </w:pPr>
            <w:r>
              <w:t xml:space="preserve">Implementación o eliminación — siguiente sprint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H-04</w:t>
            </w:r>
          </w:p>
        </w:tc>
        <w:tc>
          <w:tcPr/>
          <w:p>
            <w:pPr>
              <w:pStyle w:val="Compact"/>
            </w:pPr>
            <w:r>
              <w:t xml:space="preserve">Typos en</w:t>
            </w:r>
            <w:r>
              <w:t xml:space="preserve"> </w:t>
            </w:r>
            <w:r>
              <w:rPr>
                <w:rStyle w:val="VerbatimChar"/>
              </w:rPr>
              <w:t xml:space="preserve">ConversionController</w:t>
            </w:r>
          </w:p>
        </w:tc>
        <w:tc>
          <w:tcPr/>
          <w:p>
            <w:pPr>
              <w:pStyle w:val="Compact"/>
            </w:pPr>
            <w:r>
              <w:t xml:space="preserve">Corrección — siguiente sprint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H-05</w:t>
            </w:r>
          </w:p>
        </w:tc>
        <w:tc>
          <w:tcPr/>
          <w:p>
            <w:pPr>
              <w:pStyle w:val="Compact"/>
            </w:pPr>
            <w:r>
              <w:t xml:space="preserve">Riesgo null en</w:t>
            </w:r>
            <w:r>
              <w:t xml:space="preserve"> </w:t>
            </w:r>
            <w:r>
              <w:rPr>
                <w:rStyle w:val="VerbatimChar"/>
              </w:rPr>
              <w:t xml:space="preserve">TransportDetailController::attentionDelivery</w:t>
            </w:r>
          </w:p>
        </w:tc>
        <w:tc>
          <w:tcPr/>
          <w:p>
            <w:pPr>
              <w:pStyle w:val="Compact"/>
            </w:pPr>
            <w:r>
              <w:t xml:space="preserve">Refactor — siguiente sprint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Naming legacy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puchase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warehause</w:t>
            </w:r>
            <w:r>
              <w:t xml:space="preserve">, etc.</w:t>
            </w:r>
          </w:p>
        </w:tc>
        <w:tc>
          <w:tcPr/>
          <w:p>
            <w:pPr>
              <w:pStyle w:val="Compact"/>
            </w:pPr>
            <w:r>
              <w:t xml:space="preserve">Aceptado — plan de migración a futuro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X8cf8d583d35f4b5ed02a69187aad8797b1f2a06"/>
    <w:p>
      <w:pPr>
        <w:pStyle w:val="Heading2"/>
      </w:pPr>
      <w:r>
        <w:t xml:space="preserve">7. Recomendaciones</w:t>
      </w:r>
    </w:p>
    <w:p>
      <w:pPr>
        <w:pStyle w:val="FirstParagraph"/>
      </w:pPr>
      <w:r>
        <w:t xml:space="preserve">Para asegurar continuidad operativa, el proveedor recomienda al cliente: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Activar 2FA</w:t>
      </w:r>
      <w:r>
        <w:t xml:space="preserve"> </w:t>
      </w:r>
      <w:r>
        <w:t xml:space="preserve">en todos los usuarios administrativos antes de salir a producción.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Cambiar la contraseña del Super-Admin demo</w:t>
      </w:r>
      <w:r>
        <w:t xml:space="preserve"> </w:t>
      </w:r>
      <w:r>
        <w:t xml:space="preserve">inmediatamente.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Configurar backups automáticos</w:t>
      </w:r>
      <w:r>
        <w:t xml:space="preserve"> </w:t>
      </w:r>
      <w:r>
        <w:t xml:space="preserve">de PostgreSQL siguiendo</w:t>
      </w:r>
      <w:r>
        <w:t xml:space="preserve"> </w:t>
      </w:r>
      <w:r>
        <w:rPr>
          <w:rStyle w:val="VerbatimChar"/>
        </w:rPr>
        <w:t xml:space="preserve">docs/OPERACIONES.md §3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Implementar monitoreo de uptime</w:t>
      </w:r>
      <w:r>
        <w:t xml:space="preserve"> </w:t>
      </w:r>
      <w:r>
        <w:t xml:space="preserve">con alertas (UptimeRobot, BetterUptime u otro).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Configurar HTTPS</w:t>
      </w:r>
      <w:r>
        <w:t xml:space="preserve"> </w:t>
      </w:r>
      <w:r>
        <w:t xml:space="preserve">con certificado válido (Let's Encrypt o comercial).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Aplicar el checklist de hardening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docs/SEGURIDAD.md §7</w:t>
      </w:r>
      <w:r>
        <w:t xml:space="preserve"> </w:t>
      </w:r>
      <w:r>
        <w:t xml:space="preserve">antes de exponer el sistema a internet.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Capacitar al equipo de soporte L1</w:t>
      </w:r>
      <w:r>
        <w:t xml:space="preserve"> </w:t>
      </w:r>
      <w:r>
        <w:t xml:space="preserve">usando el</w:t>
      </w:r>
      <w:r>
        <w:t xml:space="preserve"> </w:t>
      </w:r>
      <w:r>
        <w:rPr>
          <w:rStyle w:val="VerbatimChar"/>
        </w:rPr>
        <w:t xml:space="preserve">docs/MANUAL_USUARIO.md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Mantener actualizadas</w:t>
      </w:r>
      <w:r>
        <w:t xml:space="preserve"> </w:t>
      </w:r>
      <w:r>
        <w:t xml:space="preserve">las dependencias (composer y pnpm) con auditoría trimestral.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Programar pruebas de Disaster Recovery</w:t>
      </w:r>
      <w:r>
        <w:t xml:space="preserve"> </w:t>
      </w:r>
      <w:r>
        <w:t xml:space="preserve">semestrales — restaurar desde backup en servidor frío.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Considerar pruebas de penetración</w:t>
      </w:r>
      <w:r>
        <w:t xml:space="preserve"> </w:t>
      </w:r>
      <w:r>
        <w:t xml:space="preserve">(pentest) antes de exponer datos sensibles.</w:t>
      </w:r>
    </w:p>
    <w:p>
      <w:r>
        <w:pict>
          <v:rect style="width:0;height:1.5pt" o:hralign="center" o:hrstd="t" o:hr="t"/>
        </w:pict>
      </w:r>
    </w:p>
    <w:bookmarkEnd w:id="35"/>
    <w:bookmarkStart w:id="36" w:name="X2241e8965b9b21421fd2713e2e20d887847bec4"/>
    <w:p>
      <w:pPr>
        <w:pStyle w:val="Heading2"/>
      </w:pPr>
      <w:r>
        <w:t xml:space="preserve">8. Conformidad y firmas</w:t>
      </w:r>
    </w:p>
    <w:p>
      <w:pPr>
        <w:pStyle w:val="FirstParagraph"/>
      </w:pPr>
      <w:r>
        <w:t xml:space="preserve">Las partes manifiestan conformidad con el contenido entregado y suscriben la presente acta como evidencia de la entrega.</w:t>
      </w:r>
    </w:p>
    <w:p>
      <w:pPr>
        <w:pStyle w:val="BodyText"/>
      </w:pPr>
      <w:r>
        <w:t xml:space="preserve">\</w:t>
      </w:r>
    </w:p>
    <w:p>
      <w:pPr>
        <w:pStyle w:val="BodyText"/>
      </w:pPr>
      <w:r>
        <w:rPr>
          <w:b/>
          <w:bCs/>
        </w:rPr>
        <w:t xml:space="preserve">Por SI SISTEMAS INFORMATICOS Y TECNOLOGIA SAS:</w:t>
      </w:r>
    </w:p>
    <w:p>
      <w:pPr>
        <w:pStyle w:val="BodyText"/>
      </w:pPr>
      <w:r>
        <w:br/>
      </w:r>
      <w:r>
        <w:br/>
      </w:r>
      <w:r>
        <w:t xml:space="preserve">\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Nombre: _________________________________</w:t>
      </w:r>
      <w:r>
        <w:t xml:space="preserve"> </w:t>
      </w:r>
      <w:r>
        <w:t xml:space="preserve">Cargo: _________________________________</w:t>
      </w:r>
      <w:r>
        <w:t xml:space="preserve"> </w:t>
      </w:r>
      <w:r>
        <w:t xml:space="preserve">Fecha: _________________________________</w:t>
      </w:r>
    </w:p>
    <w:p>
      <w:pPr>
        <w:pStyle w:val="BodyText"/>
      </w:pPr>
      <w:r>
        <w:br/>
      </w:r>
      <w:r>
        <w:t xml:space="preserve">\</w:t>
      </w:r>
    </w:p>
    <w:p>
      <w:pPr>
        <w:pStyle w:val="BodyText"/>
      </w:pPr>
      <w:r>
        <w:rPr>
          <w:b/>
          <w:bCs/>
        </w:rPr>
        <w:t xml:space="preserve">Por el cliente:</w:t>
      </w:r>
    </w:p>
    <w:p>
      <w:pPr>
        <w:pStyle w:val="BodyText"/>
      </w:pPr>
      <w:r>
        <w:br/>
      </w:r>
      <w:r>
        <w:br/>
      </w:r>
      <w:r>
        <w:t xml:space="preserve">\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Nombre: _________________________________</w:t>
      </w:r>
      <w:r>
        <w:t xml:space="preserve"> </w:t>
      </w:r>
      <w:r>
        <w:t xml:space="preserve">Cargo: _________________________________</w:t>
      </w:r>
      <w:r>
        <w:t xml:space="preserve"> </w:t>
      </w:r>
      <w:r>
        <w:t xml:space="preserve">Fecha: 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generado el 2026-05-09 como parte de la entrega documental del proyecto Sistema de Inventario Pro.</w:t>
      </w:r>
    </w:p>
    <w:bookmarkEnd w:id="36"/>
    <w:bookmarkEnd w:id="37"/>
    <w:sectPr>
      <w:headerReference r:id="rId9" w:type="default"/>
      <w:footerReference r:id="rId10" w:type="default"/>
      <w:footnotePr>
        <w:numRestart w:val="eachSect"/>
      </w:footnotePr>
      <w:pgMar w:bottom="1417" w:footer="567" w:header="56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1" w:color="1F3864"/>
      </w:pBdr>
    </w:pPr>
    <w:r>
      <w:rPr>
        <w:rFonts w:ascii="Calibri" w:hAnsi="Calibri"/>
        <w:color w:val="333333"/>
        <w:sz w:val="18"/>
      </w:rPr>
      <w:t xml:space="preserve">NIT 900.583.147-1    |    Confidencial    |    </w:t>
    </w:r>
    <w:r>
      <w:rPr>
        <w:rFonts w:ascii="Calibri" w:hAnsi="Calibri"/>
        <w:color w:val="333333"/>
        <w:sz w:val="18"/>
      </w:rPr>
      <w:fldChar w:fldCharType="begin"/>
      <w:instrText>PAGE</w:instrText>
      <w:fldChar w:fldCharType="end"/>
    </w:r>
    <w:r>
      <w:rPr>
        <w:rFonts w:ascii="Calibri" w:hAnsi="Calibri"/>
        <w:color w:val="333333"/>
        <w:sz w:val="18"/>
      </w:rPr>
      <w:t xml:space="preserve"> de </w:t>
    </w:r>
    <w:r>
      <w:rPr>
        <w:rFonts w:ascii="Calibri" w:hAnsi="Calibri"/>
        <w:color w:val="333333"/>
        <w:sz w:val="18"/>
      </w:rPr>
      <w:fldChar w:fldCharType="begin"/>
      <w:instrText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1F3864"/>
      </w:pBdr>
    </w:pPr>
    <w:r>
      <w:rPr>
        <w:rFonts w:ascii="Calibri" w:hAnsi="Calibri"/>
        <w:b/>
        <w:color w:val="1F3864"/>
        <w:sz w:val="18"/>
      </w:rPr>
      <w:t>Sistema de Inventario Pro  |  SI SISTEMAS INFORMATICOS Y TECNOLOGIA SAS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1F3864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b/>
      <w:color w:val="1F3864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b/>
      <w:color w:val="1F3864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b/>
      <w:color w:val="1F3864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Theme="majorEastAsia" w:hAnsi="Calibri"/>
      <w:b/>
      <w:i/>
      <w:iCs/>
      <w:color w:val="333333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Calibri" w:cstheme="majorBidi" w:eastAsiaTheme="majorEastAsia" w:hAnsi="Calibri"/>
      <w:b w:val="0"/>
      <w:color w:val="333333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" w:cstheme="majorBidi" w:eastAsiaTheme="majorEastAsia" w:hAnsi="Calibri"/>
      <w:b w:val="0"/>
      <w:i/>
      <w:iCs/>
      <w:color w:val="333333"/>
      <w:sz w:val="2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2026-05-09T17:20:32Z</dcterms:created>
  <dcterms:modified xsi:type="dcterms:W3CDTF">2026-05-09T17:20:32Z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