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Corpus</w:t>
      </w:r>
      <w:r>
        <w:t xml:space="preserve"> </w:t>
      </w:r>
      <w:r>
        <w:t xml:space="preserve">des</w:t>
      </w:r>
      <w:r>
        <w:t xml:space="preserve"> </w:t>
      </w:r>
      <w:r>
        <w:t xml:space="preserve">recommandations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SFAR</w:t>
      </w:r>
    </w:p>
    <w:p>
      <w:pPr>
        <w:pStyle w:val="Subtitle"/>
      </w:pPr>
      <w:r>
        <w:t xml:space="preserve">Un</w:t>
      </w:r>
      <w:r>
        <w:t xml:space="preserve"> </w:t>
      </w:r>
      <w:r>
        <w:t xml:space="preserve">jeu</w:t>
      </w:r>
      <w:r>
        <w:t xml:space="preserve"> </w:t>
      </w:r>
      <w:r>
        <w:t xml:space="preserve">de</w:t>
      </w:r>
      <w:r>
        <w:t xml:space="preserve"> </w:t>
      </w:r>
      <w:r>
        <w:t xml:space="preserve">données</w:t>
      </w:r>
      <w:r>
        <w:t xml:space="preserve"> </w:t>
      </w:r>
      <w:r>
        <w:t xml:space="preserve">exploitable</w:t>
      </w:r>
      <w:r>
        <w:t xml:space="preserve"> </w:t>
      </w:r>
      <w:r>
        <w:t xml:space="preserve">par</w:t>
      </w:r>
      <w:r>
        <w:t xml:space="preserve"> </w:t>
      </w:r>
      <w:r>
        <w:t xml:space="preserve">machine</w:t>
      </w:r>
      <w:r>
        <w:t xml:space="preserve"> </w:t>
      </w:r>
      <w:r>
        <w:t xml:space="preserve">en</w:t>
      </w:r>
      <w:r>
        <w:t xml:space="preserve"> </w:t>
      </w:r>
      <w:r>
        <w:t xml:space="preserve">vue</w:t>
      </w:r>
      <w:r>
        <w:t xml:space="preserve"> </w:t>
      </w:r>
      <w:r>
        <w:t xml:space="preserve">du</w:t>
      </w:r>
      <w:r>
        <w:t xml:space="preserve"> </w:t>
      </w:r>
      <w:r>
        <w:t xml:space="preserve">Datathon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i/>
          <w:iCs/>
        </w:rPr>
        <w:t xml:space="preserve">Un jeu de données exploitable par machine pour un data challenge LLM.</w:t>
      </w:r>
    </w:p>
    <w:bookmarkStart w:id="23" w:name="ce-que-fait-ce-projet"/>
    <w:p>
      <w:pPr>
        <w:pStyle w:val="Heading1"/>
      </w:pPr>
      <w:r>
        <w:t xml:space="preserve">1. Ce que fait ce projet</w:t>
      </w:r>
    </w:p>
    <w:p>
      <w:pPr>
        <w:pStyle w:val="FirstParagraph"/>
      </w:pPr>
      <w:r>
        <w:t xml:space="preserve">La</w:t>
      </w:r>
      <w:r>
        <w:t xml:space="preserve"> </w:t>
      </w:r>
      <w:hyperlink r:id="rId20">
        <w:r>
          <w:rPr>
            <w:rStyle w:val="Hyperlink"/>
          </w:rPr>
          <w:t xml:space="preserve">SFAR</w:t>
        </w:r>
      </w:hyperlink>
      <w:r>
        <w:t xml:space="preserve"> </w:t>
      </w:r>
      <w:r>
        <w:t xml:space="preserve">(Société Française d’Anesthésie-Réanimation) publie les</w:t>
      </w:r>
      <w:r>
        <w:t xml:space="preserve"> </w:t>
      </w:r>
      <w:r>
        <w:t xml:space="preserve">recommandations de référence pour l’anesthésie, la réanimation et la médecine d’urgence en France.</w:t>
      </w:r>
    </w:p>
    <w:p>
      <w:pPr>
        <w:pStyle w:val="BodyText"/>
      </w:pPr>
      <w:r>
        <w:t xml:space="preserve">Ce dépôt contient un pipeline qui transforme ce site en un corpus sur lequel on peut calculer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Découverte</w:t>
      </w:r>
      <w:r>
        <w:t xml:space="preserve"> </w:t>
      </w:r>
      <w:r>
        <w:t xml:space="preserve">: récupération de l’index en ligne (</w:t>
      </w:r>
      <w:r>
        <w:rPr>
          <w:rStyle w:val="VerbatimChar"/>
        </w:rPr>
        <w:t xml:space="preserve">https://sfar.org/recommandations/</w:t>
      </w:r>
      <w:r>
        <w:t xml:space="preserve">),</w:t>
      </w:r>
      <w:r>
        <w:t xml:space="preserve"> </w:t>
      </w:r>
      <w:r>
        <w:t xml:space="preserve">parcours des quatre onglets (Chronologie, Anesthésie, Réanimation, Urgences) et résolution de</w:t>
      </w:r>
      <w:r>
        <w:t xml:space="preserve"> </w:t>
      </w:r>
      <w:r>
        <w:t xml:space="preserve">chaque ligne vers le ou les documents réels. Une ligne peut être un lien PDF direct, un paquet</w:t>
      </w:r>
      <w:r>
        <w:t xml:space="preserve"> </w:t>
      </w:r>
      <w:r>
        <w:t xml:space="preserve">WP Download Manager (la véritable URL est cachée dans</w:t>
      </w:r>
      <w:r>
        <w:t xml:space="preserve"> </w:t>
      </w:r>
      <w:r>
        <w:rPr>
          <w:rStyle w:val="VerbatimChar"/>
        </w:rPr>
        <w:t xml:space="preserve">data-downloadurl</w:t>
      </w:r>
      <w:r>
        <w:t xml:space="preserve">), ou une page de</w:t>
      </w:r>
      <w:r>
        <w:t xml:space="preserve"> </w:t>
      </w:r>
      <w:r>
        <w:t xml:space="preserve">présentation exposant plusieurs fichiers (version courte, version longue, argumentaire, aides</w:t>
      </w:r>
      <w:r>
        <w:t xml:space="preserve"> </w:t>
      </w:r>
      <w:r>
        <w:t xml:space="preserve">cognitives).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Téléchargement</w:t>
      </w:r>
      <w:r>
        <w:t xml:space="preserve"> </w:t>
      </w:r>
      <w:r>
        <w:t xml:space="preserve">: enregistrement de chaque document dans</w:t>
      </w:r>
      <w:r>
        <w:t xml:space="preserve"> </w:t>
      </w:r>
      <w:r>
        <w:rPr>
          <w:rStyle w:val="VerbatimChar"/>
        </w:rPr>
        <w:t xml:space="preserve">output/pdfs/&lt;année&gt;/</w:t>
      </w:r>
      <w:r>
        <w:t xml:space="preserve">, avec sa</w:t>
      </w:r>
      <w:r>
        <w:t xml:space="preserve"> </w:t>
      </w:r>
      <w:r>
        <w:t xml:space="preserve">taille, son empreinte SHA-256, son type de contenu et l’URL d’origine.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</w:t>
      </w:r>
      <w:r>
        <w:t xml:space="preserve"> </w:t>
      </w:r>
      <w:r>
        <w:t xml:space="preserve">: OCR de chaque PDF vers Markdown et HTML avec</w:t>
      </w:r>
      <w:r>
        <w:t xml:space="preserve"> </w:t>
      </w:r>
      <w:hyperlink r:id="rId21">
        <w:r>
          <w:rPr>
            <w:rStyle w:val="Hyperlink"/>
          </w:rPr>
          <w:t xml:space="preserve">Chandra OCR 2</w:t>
        </w:r>
      </w:hyperlink>
      <w:r>
        <w:t xml:space="preserve">, un modèle de langage visuel exécuté</w:t>
      </w:r>
      <w:r>
        <w:t xml:space="preserve"> </w:t>
      </w:r>
      <w:r>
        <w:t xml:space="preserve">localement sur le GPU, dans</w:t>
      </w:r>
      <w:r>
        <w:t xml:space="preserve"> </w:t>
      </w:r>
      <w:r>
        <w:rPr>
          <w:rStyle w:val="VerbatimChar"/>
        </w:rPr>
        <w:t xml:space="preserve">output/chandra/&lt;année&gt;/&lt;nom&gt;/</w:t>
      </w:r>
      <w:r>
        <w:t xml:space="preserve">, images comprises.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Publication</w:t>
      </w:r>
      <w:r>
        <w:t xml:space="preserve"> </w:t>
      </w:r>
      <w:r>
        <w:t xml:space="preserve">: production d’un manifeste de curation (</w:t>
      </w:r>
      <w:r>
        <w:rPr>
          <w:rStyle w:val="VerbatimChar"/>
        </w:rPr>
        <w:t xml:space="preserve">manifest.xlsx</w:t>
      </w:r>
      <w:r>
        <w:t xml:space="preserve">), des métadonnées</w:t>
      </w:r>
      <w:r>
        <w:t xml:space="preserve"> </w:t>
      </w:r>
      <w:r>
        <w:t xml:space="preserve">brutes résolues (</w:t>
      </w:r>
      <w:r>
        <w:rPr>
          <w:rStyle w:val="VerbatimChar"/>
        </w:rPr>
        <w:t xml:space="preserve">discovery.json</w:t>
      </w:r>
      <w:r>
        <w:t xml:space="preserve">), d’un rapport d’exhaustivité et d’un flux Atom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feed.xml</w:t>
      </w:r>
      <w:r>
        <w:t xml:space="preserve">) permettant de surveiller les nouvelles recommandations.</w:t>
      </w:r>
    </w:p>
    <w:p>
      <w:pPr>
        <w:pStyle w:val="FirstParagraph"/>
      </w:pPr>
      <w:r>
        <w:t xml:space="preserve">L’ensemble est idempotent : un document déjà enregistré et présent sur le disque est ignoré sans</w:t>
      </w:r>
      <w:r>
        <w:t xml:space="preserve"> </w:t>
      </w:r>
      <w:r>
        <w:t xml:space="preserve">aucune requête HTTP, de sorte qu’une nouvelle exécution ne coûte que ce qui est réellement nouveau.</w:t>
      </w:r>
    </w:p>
    <w:bookmarkStart w:id="22" w:name="état-du-corpus-au-30-septembre-2026"/>
    <w:p>
      <w:pPr>
        <w:pStyle w:val="Heading2"/>
      </w:pPr>
      <w:r>
        <w:t xml:space="preserve">1.1 État du corpus au 30 septembre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Documents résolus depuis l’index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téléchargés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(40 Mo de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océrisés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 (58 Mo de Markdown, HTML et images)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Mots de texte extrait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3,2 millions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Années couvertes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à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 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RFE 227, RPP 22, Préconisation 18, HAS 5</w:t>
            </w:r>
          </w:p>
        </w:tc>
      </w:tr>
    </w:tbl>
    <w:p>
      <w:pPr>
        <w:pStyle w:val="BodyText"/>
      </w:pPr>
      <w:r>
        <w:t xml:space="preserve">Les cinq téléchargements en échec et les sept lignes non résolues correspondent à des</w:t>
      </w:r>
      <w:r>
        <w:t xml:space="preserve"> </w:t>
      </w:r>
      <w:r>
        <w:rPr>
          <w:b/>
          <w:bCs/>
        </w:rPr>
        <w:t xml:space="preserve">liens morts</w:t>
      </w:r>
      <w:r>
        <w:rPr>
          <w:b/>
          <w:bCs/>
        </w:rPr>
        <w:t xml:space="preserve"> </w:t>
      </w:r>
      <w:r>
        <w:rPr>
          <w:b/>
          <w:bCs/>
        </w:rPr>
        <w:t xml:space="preserve">en amont</w:t>
      </w:r>
      <w:r>
        <w:t xml:space="preserve"> </w:t>
      </w:r>
      <w:r>
        <w:t xml:space="preserve">: pages de portail HAS retirées, erreurs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versions WP Download Manager remplacées.</w:t>
      </w:r>
      <w:r>
        <w:t xml:space="preserve"> </w:t>
      </w:r>
      <w:r>
        <w:t xml:space="preserve">Ils sont signalés plutôt que masqués, afin que la lacune soit documentée au lieu d’être silencieuse.</w:t>
      </w:r>
    </w:p>
    <w:bookmarkEnd w:id="22"/>
    <w:bookmarkEnd w:id="23"/>
    <w:bookmarkStart w:id="24" w:name="pourquoi-préparer-un-data-challenge-llm"/>
    <w:p>
      <w:pPr>
        <w:pStyle w:val="Heading1"/>
      </w:pPr>
      <w:r>
        <w:t xml:space="preserve">2. Pourquoi : préparer un data challenge LLM</w:t>
      </w:r>
    </w:p>
    <w:p>
      <w:pPr>
        <w:pStyle w:val="FirstParagraph"/>
      </w:pPr>
      <w:r>
        <w:t xml:space="preserve">Ces recommandations forment un</w:t>
      </w:r>
      <w:r>
        <w:t xml:space="preserve"> </w:t>
      </w:r>
      <w:r>
        <w:t xml:space="preserve">substrat particulièrement adapté à l’évaluation des modèles de langage sur un travail de</w:t>
      </w:r>
      <w:r>
        <w:t xml:space="preserve"> </w:t>
      </w:r>
      <w:r>
        <w:t xml:space="preserve">connaissance clinique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 français, spécialisé et authentique.</w:t>
      </w:r>
      <w:r>
        <w:t xml:space="preserve"> </w:t>
      </w:r>
      <w:r>
        <w:t xml:space="preserve">Le texte est de la prose médicale professionnelle</w:t>
      </w:r>
      <w:r>
        <w:t xml:space="preserve"> </w:t>
      </w:r>
      <w:r>
        <w:t xml:space="preserve">française, ni traduite ni synthétique. Il mobilise une terminologie que les jeux d’évaluation</w:t>
      </w:r>
      <w:r>
        <w:t xml:space="preserve"> </w:t>
      </w:r>
      <w:r>
        <w:t xml:space="preserve">généralistes n’abordent jamais.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Une structure graduée.</w:t>
      </w:r>
      <w:r>
        <w:t xml:space="preserve"> </w:t>
      </w:r>
      <w:r>
        <w:t xml:space="preserve">Chaque recommandation porte explicitement un grade de recommandation</w:t>
      </w:r>
      <w:r>
        <w:t xml:space="preserve"> </w:t>
      </w:r>
      <w:r>
        <w:t xml:space="preserve">et un niveau de preuve (GRADE), le plus souvent avec le taux d’accord des experts. Cela fournit</w:t>
      </w:r>
      <w:r>
        <w:t xml:space="preserve"> </w:t>
      </w:r>
      <w:r>
        <w:t xml:space="preserve">une vérité de référence déjà écrite, donc des questions notables sans qu’un annotateur ait à</w:t>
      </w:r>
      <w:r>
        <w:t xml:space="preserve"> </w:t>
      </w:r>
      <w:r>
        <w:t xml:space="preserve">inventer la réponse.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Une dimension longitudinale.</w:t>
      </w:r>
      <w:r>
        <w:t xml:space="preserve"> </w:t>
      </w:r>
      <w:r>
        <w:t xml:space="preserve">Un même sujet est réactualisé sur 25 ans (antibioprophylaxie,</w:t>
      </w:r>
      <w:r>
        <w:t xml:space="preserve"> </w:t>
      </w:r>
      <w:r>
        <w:t xml:space="preserve">gestion des voies aériennes, anticoagulation périopératoire). On peut demander à un modèle ce qui</w:t>
      </w:r>
      <w:r>
        <w:t xml:space="preserve"> </w:t>
      </w:r>
      <w:r>
        <w:t xml:space="preserve">a changé entre deux éditions : tâche de recherche et de raisonnement réellement difficile, et</w:t>
      </w:r>
      <w:r>
        <w:t xml:space="preserve"> </w:t>
      </w:r>
      <w:r>
        <w:t xml:space="preserve">test naturel de sa tendance à réciter une version périmée mémorisée à l’entraînement.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 multimodal et du désordre.</w:t>
      </w:r>
      <w:r>
        <w:t xml:space="preserve"> </w:t>
      </w:r>
      <w:r>
        <w:t xml:space="preserve">Les algorithmes décisionnels, les aides cognitives et les</w:t>
      </w:r>
      <w:r>
        <w:t xml:space="preserve"> </w:t>
      </w:r>
      <w:r>
        <w:t xml:space="preserve">tableaux de posologie vivent dans des figures. Savoir si l’OCR les conserve exploitables fait</w:t>
      </w:r>
      <w:r>
        <w:t xml:space="preserve"> </w:t>
      </w:r>
      <w:r>
        <w:t xml:space="preserve">partie du défi.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 publications récentes.</w:t>
      </w:r>
      <w:r>
        <w:t xml:space="preserve"> </w:t>
      </w:r>
      <w:r>
        <w:t xml:space="preserve">Comme le flux suit les nouvelles recommandations, les documents</w:t>
      </w:r>
      <w:r>
        <w:t xml:space="preserve"> </w:t>
      </w:r>
      <w:r>
        <w:t xml:space="preserve">parus après la date de coupure d’un modèle constituent un jeu de test non contaminé.</w:t>
      </w:r>
    </w:p>
    <w:p>
      <w:pPr>
        <w:pStyle w:val="FirstParagraph"/>
      </w:pPr>
      <w:r>
        <w:t xml:space="preserve">Tâches candidates que le corpus permet immédiatement : questions-réponses en livre fermé et avec</w:t>
      </w:r>
      <w:r>
        <w:t xml:space="preserve"> </w:t>
      </w:r>
      <w:r>
        <w:t xml:space="preserve">recherche documentaire (RAG), identification de la recommandation qui régit une vignette clinique</w:t>
      </w:r>
      <w:r>
        <w:t xml:space="preserve"> </w:t>
      </w:r>
      <w:r>
        <w:t xml:space="preserve">donnée, extraction de triplets (recommandation, niveau GRADE, taux d’accord), résumé d’une version</w:t>
      </w:r>
      <w:r>
        <w:t xml:space="preserve"> </w:t>
      </w:r>
      <w:r>
        <w:t xml:space="preserve">longue vers sa version courte, et détection de réponses contredisant l’édition en vigueur.</w:t>
      </w:r>
    </w:p>
    <w:p>
      <w:pPr>
        <w:pStyle w:val="BodyText"/>
      </w:pPr>
      <w:r>
        <w:t xml:space="preserve">Ce que le pipeline apporte à ce travail est la partie ingrate mais nécessaire : un ensemble de</w:t>
      </w:r>
      <w:r>
        <w:t xml:space="preserve"> </w:t>
      </w:r>
      <w:r>
        <w:t xml:space="preserve">documents stable, la traçabilité par document (URL, année, type, spécialité, empreinte) permettant</w:t>
      </w:r>
      <w:r>
        <w:t xml:space="preserve"> </w:t>
      </w:r>
      <w:r>
        <w:t xml:space="preserve">de justifier une partition apprentissage/test, du texte brut au lieu de PDF, et un processus</w:t>
      </w:r>
      <w:r>
        <w:t xml:space="preserve"> </w:t>
      </w:r>
      <w:r>
        <w:t xml:space="preserve">réexécutable pour rafraîchir et versionner le corpus au lieu de le figer dans le dossier de</w:t>
      </w:r>
      <w:r>
        <w:t xml:space="preserve"> </w:t>
      </w:r>
      <w:r>
        <w:t xml:space="preserve">téléchargement de quelqu’un.</w:t>
      </w:r>
    </w:p>
    <w:bookmarkEnd w:id="24"/>
    <w:bookmarkStart w:id="34" w:name="comment-lutiliser"/>
    <w:p>
      <w:pPr>
        <w:pStyle w:val="Heading1"/>
      </w:pPr>
      <w:r>
        <w:t xml:space="preserve">3. Comment l’utiliser</w:t>
      </w:r>
    </w:p>
    <w:bookmarkStart w:id="26" w:name="installation"/>
    <w:p>
      <w:pPr>
        <w:pStyle w:val="Heading2"/>
      </w:pPr>
      <w:r>
        <w:t xml:space="preserve">3.1 Installation</w:t>
      </w:r>
    </w:p>
    <w:p>
      <w:pPr>
        <w:pStyle w:val="FirstParagraph"/>
      </w:pPr>
      <w:r>
        <w:t xml:space="preserve">Le projet est un projet</w:t>
      </w:r>
      <w:r>
        <w:t xml:space="preserve"> </w:t>
      </w:r>
      <w:hyperlink r:id="rId25">
        <w:r>
          <w:rPr>
            <w:rStyle w:val="Hyperlink"/>
          </w:rPr>
          <w:t xml:space="preserve">uv</w:t>
        </w:r>
      </w:hyperlink>
      <w:r>
        <w:t xml:space="preserve">. Depuis la racine du dépôt 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L’OCR requiert</w:t>
      </w:r>
      <w:r>
        <w:t xml:space="preserve"> </w:t>
      </w:r>
      <w:r>
        <w:rPr>
          <w:rStyle w:val="VerbatimChar"/>
        </w:rPr>
        <w:t xml:space="preserve">chandra.sh</w:t>
      </w:r>
      <w:r>
        <w:t xml:space="preserve"> </w:t>
      </w:r>
      <w:r>
        <w:t xml:space="preserve">dans le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(ou l’option</w:t>
      </w:r>
      <w:r>
        <w:t xml:space="preserve"> </w:t>
      </w:r>
      <w:r>
        <w:rPr>
          <w:rStyle w:val="VerbatimChar"/>
        </w:rPr>
        <w:t xml:space="preserve">--chandra-cmd</w:t>
      </w:r>
      <w:r>
        <w:t xml:space="preserve">), appelé sous la forme</w:t>
      </w:r>
      <w:r>
        <w:t xml:space="preserve"> </w:t>
      </w:r>
      <w:r>
        <w:rPr>
          <w:rStyle w:val="VerbatimChar"/>
        </w:rPr>
        <w:t xml:space="preserve">chandra.sh &lt;répertoire-entrée&gt; &lt;répertoire-sortie&gt;</w:t>
      </w:r>
      <w:r>
        <w:t xml:space="preserve">. Sans GPU, on peut sauter l’étape de</w:t>
      </w:r>
      <w:r>
        <w:t xml:space="preserve"> </w:t>
      </w:r>
      <w:r>
        <w:t xml:space="preserve">conversion.</w:t>
      </w:r>
    </w:p>
    <w:p>
      <w:pPr>
        <w:pStyle w:val="BodyText"/>
      </w:pPr>
      <w:r>
        <w:t xml:space="preserve">Toutes les commandes s’exécutent depuis la racine du dépôt, les chemins par défaut lui étant</w:t>
      </w:r>
      <w:r>
        <w:t xml:space="preserve"> </w:t>
      </w:r>
      <w:r>
        <w:t xml:space="preserve">relatifs.</w:t>
      </w:r>
    </w:p>
    <w:bookmarkEnd w:id="26"/>
    <w:bookmarkStart w:id="27" w:name="le-pipeline-complet"/>
    <w:p>
      <w:pPr>
        <w:pStyle w:val="Heading2"/>
      </w:pPr>
      <w:r>
        <w:t xml:space="preserve">3.2 Le pipeline complet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sfar-pipeline</w:t>
      </w:r>
    </w:p>
    <w:p>
      <w:pPr>
        <w:pStyle w:val="FirstParagraph"/>
      </w:pPr>
      <w:r>
        <w:t xml:space="preserve">Collecte, puis conversion, puis reconstruction du flux, en ne traitant que les nouveautés. Une</w:t>
      </w:r>
      <w:r>
        <w:t xml:space="preserve"> </w:t>
      </w:r>
      <w:r>
        <w:t xml:space="preserve">collecte qui aboutit sans être exhaustive (les liens morts connus) n’interrompt pas le pipeline ;</w:t>
      </w:r>
      <w:r>
        <w:t xml:space="preserve"> </w:t>
      </w:r>
      <w:r>
        <w:t xml:space="preserve">un échec franc (index injoignable, aucune entrée découverte) l’interrompt.</w:t>
      </w:r>
    </w:p>
    <w:bookmarkEnd w:id="27"/>
    <w:bookmarkStart w:id="31" w:name="les-étapes-séparées"/>
    <w:p>
      <w:pPr>
        <w:pStyle w:val="Heading2"/>
      </w:pPr>
      <w:r>
        <w:t xml:space="preserve">3.3 Les étapes séparées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sfar-scrape                </w:t>
      </w:r>
      <w:r>
        <w:rPr>
          <w:rStyle w:val="CommentTok"/>
        </w:rPr>
        <w:t xml:space="preserve"># découverte, résolution, téléchargement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sfar-scrape </w:t>
      </w:r>
      <w:r>
        <w:rPr>
          <w:rStyle w:val="AttributeTok"/>
        </w:rPr>
        <w:t xml:space="preserve">--verify-only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revérifier l'exhaustivité (hors ligne)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sfar-convert               </w:t>
      </w:r>
      <w:r>
        <w:rPr>
          <w:rStyle w:val="CommentTok"/>
        </w:rPr>
        <w:t xml:space="preserve"># océriser les PDF sans sortie chandra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sfar-convert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lister ce qui serait converti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sfar-feed                  </w:t>
      </w:r>
      <w:r>
        <w:rPr>
          <w:rStyle w:val="CommentTok"/>
        </w:rPr>
        <w:t xml:space="preserve"># reconstruire feed.xml</w:t>
      </w:r>
    </w:p>
    <w:p>
      <w:pPr>
        <w:pStyle w:val="FirstParagraph"/>
      </w:pPr>
      <w:r>
        <w:t xml:space="preserve">Options utiles :</w:t>
      </w:r>
      <w:r>
        <w:t xml:space="preserve"> </w:t>
      </w:r>
      <w:r>
        <w:rPr>
          <w:rStyle w:val="VerbatimChar"/>
        </w:rPr>
        <w:t xml:space="preserve">--index-html CHEMIN</w:t>
      </w:r>
      <w:r>
        <w:t xml:space="preserve"> </w:t>
      </w:r>
      <w:r>
        <w:t xml:space="preserve">pour travailler depuis l’instantané hors ligne de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 </w:t>
      </w:r>
      <w:r>
        <w:t xml:space="preserve">plutôt que depuis le site en ligne,</w:t>
      </w:r>
      <w:r>
        <w:t xml:space="preserve"> </w:t>
      </w:r>
      <w:r>
        <w:rPr>
          <w:rStyle w:val="VerbatimChar"/>
        </w:rPr>
        <w:t xml:space="preserve">--output RÉP</w:t>
      </w:r>
      <w:r>
        <w:t xml:space="preserve">,</w:t>
      </w:r>
      <w:r>
        <w:t xml:space="preserve"> </w:t>
      </w:r>
      <w:r>
        <w:rPr>
          <w:rStyle w:val="VerbatimChar"/>
        </w:rPr>
        <w:t xml:space="preserve">--workers N</w:t>
      </w:r>
      <w:r>
        <w:t xml:space="preserve"> </w:t>
      </w:r>
      <w:r>
        <w:t xml:space="preserve">(6 par défaut),</w:t>
      </w:r>
      <w:r>
        <w:t xml:space="preserve"> </w:t>
      </w:r>
      <w:r>
        <w:rPr>
          <w:rStyle w:val="VerbatimChar"/>
        </w:rPr>
        <w:t xml:space="preserve">--delay SECONDES</w:t>
      </w:r>
      <w:r>
        <w:t xml:space="preserve"> </w:t>
      </w:r>
      <w:r>
        <w:t xml:space="preserve">(0,5 par défaut),</w:t>
      </w:r>
      <w:r>
        <w:t xml:space="preserve"> </w:t>
      </w:r>
      <w:r>
        <w:rPr>
          <w:rStyle w:val="VerbatimChar"/>
        </w:rPr>
        <w:t xml:space="preserve">--chandra-cmd CMD</w:t>
      </w:r>
      <w:r>
        <w:t xml:space="preserve">. Chaque commande accepte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stow/quarto-1.5.57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Avertissement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sfar-scrape --dry-run</w:t>
            </w:r>
            <w:r>
              <w:t xml:space="preserve"> </w:t>
            </w:r>
            <w:r>
              <w:t xml:space="preserve">réécrit</w:t>
            </w:r>
            <w:r>
              <w:t xml:space="preserve"> </w:t>
            </w:r>
            <w:r>
              <w:rPr>
                <w:rStyle w:val="VerbatimChar"/>
              </w:rPr>
              <w:t xml:space="preserve">discovery.json</w:t>
            </w:r>
            <w:r>
              <w:t xml:space="preserve"> </w:t>
            </w:r>
            <w:r>
              <w:t xml:space="preserve">sans les noms de fichiers, ce qui détruit l’état</w:t>
            </w:r>
            <w:r>
              <w:t xml:space="preserve"> </w:t>
            </w:r>
            <w:r>
              <w:t xml:space="preserve">qui rend les réexécutions peu coûteuses. Prévisualiser dans un répertoire temporaire à la place :</w:t>
            </w:r>
            <w:r>
              <w:t xml:space="preserve"> </w:t>
            </w:r>
            <w:r>
              <w:rPr>
                <w:rStyle w:val="VerbatimChar"/>
              </w:rPr>
              <w:t xml:space="preserve">uv run sfar-scrape --dry-run --output /tmp/sfar-dry</w:t>
            </w:r>
            <w:r>
              <w:t xml:space="preserve">.</w:t>
            </w:r>
          </w:p>
        </w:tc>
      </w:tr>
    </w:tbl>
    <w:bookmarkEnd w:id="31"/>
    <w:bookmarkStart w:id="32" w:name="ce-que-lon-obtient"/>
    <w:p>
      <w:pPr>
        <w:pStyle w:val="Heading2"/>
      </w:pPr>
      <w:r>
        <w:t xml:space="preserve">3.4 Ce que l’on obtient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output/pdfs/&lt;année&gt;/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documents tels que publiés (surtout des PDF, parfois un fichier bureautique)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output/chandra/&lt;année&gt;/&lt;nom&gt;/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&lt;nom&gt;.md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&lt;nom&gt;.html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&lt;nom&gt;_metadata.json</w:t>
            </w:r>
            <w:r>
              <w:t xml:space="preserve">, images extraites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output/discovery.json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documents résolus et les lignes non résolues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output/manifest.xlsx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manifeste filtrable, avec une colonne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vide pour la curation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output/completeness_report.txt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manques, échecs de téléchargement, couverture par année, hébergeurs externes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output/feed.xml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Atom des recommandations présentes sur le disque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l’index en ligne tel que vu par la dernière exécution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discovery.json</w:t>
      </w:r>
      <w:r>
        <w:t xml:space="preserve"> </w:t>
      </w:r>
      <w:r>
        <w:t xml:space="preserve">est le point d’entrée pour le travail sur le jeu de données. Chaque document porte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wpdmdl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source_tabs</w:t>
      </w:r>
      <w:r>
        <w:t xml:space="preserve">, ce qui suffit à relier le texte</w:t>
      </w:r>
      <w:r>
        <w:t xml:space="preserve"> </w:t>
      </w:r>
      <w:r>
        <w:t xml:space="preserve">océrisé à sa provenance et à stratifier les partitions par année ou par spécialité.</w:t>
      </w:r>
    </w:p>
    <w:bookmarkEnd w:id="32"/>
    <w:bookmarkStart w:id="33" w:name="rafraîchir-le-corpus"/>
    <w:p>
      <w:pPr>
        <w:pStyle w:val="Heading2"/>
      </w:pPr>
      <w:r>
        <w:t xml:space="preserve">3.5 Rafraîchir le corpus</w:t>
      </w:r>
    </w:p>
    <w:p>
      <w:pPr>
        <w:pStyle w:val="FirstParagraph"/>
      </w:pPr>
      <w:r>
        <w:t xml:space="preserve">Réexécuter</w:t>
      </w:r>
      <w:r>
        <w:t xml:space="preserve"> </w:t>
      </w:r>
      <w:r>
        <w:rPr>
          <w:rStyle w:val="VerbatimChar"/>
        </w:rPr>
        <w:t xml:space="preserve">uv run sfar-pipeline</w:t>
      </w:r>
      <w:r>
        <w:t xml:space="preserve">. Seuls les nouveaux documents sont téléchargés et océrisés.</w:t>
      </w:r>
      <w:r>
        <w:t xml:space="preserve"> </w:t>
      </w:r>
      <w:r>
        <w:t xml:space="preserve">Vérifier ensuite</w:t>
      </w:r>
      <w:r>
        <w:t xml:space="preserve"> </w:t>
      </w:r>
      <w:r>
        <w:rPr>
          <w:rStyle w:val="VerbatimChar"/>
        </w:rPr>
        <w:t xml:space="preserve">output/completeness_report.txt</w:t>
      </w:r>
      <w:r>
        <w:t xml:space="preserve"> </w:t>
      </w:r>
      <w:r>
        <w:t xml:space="preserve">: le nombre de documents uniques doit augmenter,</w:t>
      </w:r>
      <w:r>
        <w:t xml:space="preserve"> </w:t>
      </w:r>
      <w:r>
        <w:t xml:space="preserve">et les blocs MISS et ERROR doivent rester identiques à l’exécution précédente. Une nouvelle entrée</w:t>
      </w:r>
      <w:r>
        <w:t xml:space="preserve"> </w:t>
      </w:r>
      <w:r>
        <w:t xml:space="preserve">dans ces blocs signifie que le site amont a changé et que le résolveur mérite un examen.</w:t>
      </w:r>
    </w:p>
    <w:bookmarkEnd w:id="33"/>
    <w:bookmarkEnd w:id="34"/>
    <w:bookmarkStart w:id="35" w:name="X03fe2214220d6be826ca8e7da3f61f4cae1e73c"/>
    <w:p>
      <w:pPr>
        <w:pStyle w:val="Heading1"/>
      </w:pPr>
      <w:r>
        <w:t xml:space="preserve">4. Précautions pour les utilisateurs du corpus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L’OCR n’est pas une vérité de référence.</w:t>
      </w:r>
      <w:r>
        <w:t xml:space="preserve"> </w:t>
      </w:r>
      <w:r>
        <w:t xml:space="preserve">La sortie de chandra est bonne mais imparfaite, en</w:t>
      </w:r>
      <w:r>
        <w:t xml:space="preserve"> </w:t>
      </w:r>
      <w:r>
        <w:t xml:space="preserve">particulier dans les tableaux et les aides cognitives riches en figures. Tout texte servant à la</w:t>
      </w:r>
      <w:r>
        <w:t xml:space="preserve"> </w:t>
      </w:r>
      <w:r>
        <w:t xml:space="preserve">notation doit être contrôlé par échantillonnage.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 même recommandation peut donner plusieurs documents.</w:t>
      </w:r>
      <w:r>
        <w:t xml:space="preserve"> </w:t>
      </w:r>
      <w:r>
        <w:t xml:space="preserve">Version courte, version longue, figures, aides cognitives. Il faut dédoublonner au niveau de la</w:t>
      </w:r>
      <w:r>
        <w:t xml:space="preserve"> </w:t>
      </w:r>
      <w:r>
        <w:t xml:space="preserve">recommandation, et non du fichier, avant tout décompte.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Droits d’utilisation.</w:t>
      </w:r>
      <w:r>
        <w:t xml:space="preserve"> </w:t>
      </w:r>
      <w:r>
        <w:t xml:space="preserve">Les documents appartiennent à la SFAR. Ce dépôt automatise l’accès à</w:t>
      </w:r>
      <w:r>
        <w:t xml:space="preserve"> </w:t>
      </w:r>
      <w:r>
        <w:t xml:space="preserve">des fichiers publics ; il ne dit rien du droit de les rediffuser, question qu’il vaut mieux</w:t>
      </w:r>
      <w:r>
        <w:t xml:space="preserve"> </w:t>
      </w:r>
      <w:r>
        <w:t xml:space="preserve">trancher avant de publier un jeu de données.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25" Target="https://docs.astral.sh/uv/" TargetMode="External" /><Relationship Type="http://schemas.openxmlformats.org/officeDocument/2006/relationships/hyperlink" Id="rId21" Target="https://github.com/datalab-to/chandra" TargetMode="External" /><Relationship Type="http://schemas.openxmlformats.org/officeDocument/2006/relationships/hyperlink" Id="rId20" Target="https://sfar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cs.astral.sh/uv/" TargetMode="External" /><Relationship Type="http://schemas.openxmlformats.org/officeDocument/2006/relationships/hyperlink" Id="rId21" Target="https://github.com/datalab-to/chandra" TargetMode="External" /><Relationship Type="http://schemas.openxmlformats.org/officeDocument/2006/relationships/hyperlink" Id="rId20" Target="https://sfar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 des recommandations de la SFAR</dc:title>
  <dc:creator/>
  <dc:language>fr</dc:language>
  <cp:keywords/>
  <dcterms:created xsi:type="dcterms:W3CDTF">2026-09-30T11:44:01Z</dcterms:created>
  <dcterms:modified xsi:type="dcterms:W3CDTF">2026-09-30T11:44:01Z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30 septembre 2026</vt:lpwstr>
  </property>
  <property fmtid="{D5CDD505-2E9C-101B-9397-08002B2CF9AE}" pid="4" name="date-format">
    <vt:lpwstr>D MMMM YYYY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Un jeu de données exploitable par machine en vue du Datathon</vt:lpwstr>
  </property>
  <property fmtid="{D5CDD505-2E9C-101B-9397-08002B2CF9AE}" pid="10" name="toc-title">
    <vt:lpwstr>Table des matières</vt:lpwstr>
  </property>
</Properties>
</file>