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56"/>
          <w:szCs w:val="56"/>
        </w:rPr>
      </w:pPr>
      <w:bookmarkStart w:colFirst="0" w:colLast="0" w:name="_zcnk1evlul53" w:id="0"/>
      <w:bookmarkEnd w:id="0"/>
      <w:r w:rsidDel="00000000" w:rsidR="00000000" w:rsidRPr="00000000">
        <w:rPr>
          <w:sz w:val="56"/>
          <w:szCs w:val="56"/>
          <w:rtl w:val="0"/>
        </w:rPr>
        <w:t xml:space="preserve">Fabrication of Aluminum Hall Contacts using Photolithography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84a1fof8aikl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fabricate high-precision aluminum (Al) thin-film Hall bar contacts on a glass substrate using photolithography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37265516myhi" w:id="2"/>
      <w:bookmarkEnd w:id="2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Apparatus and Materials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Substrate:</w:t>
      </w:r>
      <w:r w:rsidDel="00000000" w:rsidR="00000000" w:rsidRPr="00000000">
        <w:rPr>
          <w:sz w:val="26"/>
          <w:szCs w:val="26"/>
          <w:rtl w:val="0"/>
        </w:rPr>
        <w:t xml:space="preserve"> Silicon wafer (with a SiO2​ insulating layer).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Photoresist:</w:t>
      </w:r>
      <w:r w:rsidDel="00000000" w:rsidR="00000000" w:rsidRPr="00000000">
        <w:rPr>
          <w:sz w:val="26"/>
          <w:szCs w:val="26"/>
          <w:rtl w:val="0"/>
        </w:rPr>
        <w:t xml:space="preserve"> PMMA (typically 950k or 495k molecular weight in Anisole).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Chemicals:</w:t>
      </w:r>
      <w:r w:rsidDel="00000000" w:rsidR="00000000" w:rsidRPr="00000000">
        <w:rPr>
          <w:sz w:val="26"/>
          <w:szCs w:val="26"/>
          <w:rtl w:val="0"/>
        </w:rPr>
        <w:t xml:space="preserve"> Acetone, Isopropanol (IPA), MIBK:IPA (1:3) developer solution, DI water.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Equipment: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Spin Coater.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Hot Plate (capable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Mask Aligner (UV Exposure system).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Photomask (with Hall bar geometry).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Thermal Evaporator or E-beam Evaporator.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Ultrasonic Cleaner.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z3rc4wc6guxu" w:id="3"/>
      <w:bookmarkEnd w:id="3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Theory </w:t>
      </w:r>
    </w:p>
    <w:p w:rsidR="00000000" w:rsidDel="00000000" w:rsidP="00000000" w:rsidRDefault="00000000" w:rsidRPr="00000000" w14:paraId="0000001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Photolithography is a high-precision optical process used to transfer complex geometric patterns from a master template, or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photomask</w:t>
      </w:r>
      <w:r w:rsidDel="00000000" w:rsidR="00000000" w:rsidRPr="00000000">
        <w:rPr>
          <w:sz w:val="26"/>
          <w:szCs w:val="26"/>
          <w:rtl w:val="0"/>
        </w:rPr>
        <w:t xml:space="preserve">, onto a thin film of light-sensitive material called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photoresist</w:t>
      </w:r>
      <w:r w:rsidDel="00000000" w:rsidR="00000000" w:rsidRPr="00000000">
        <w:rPr>
          <w:sz w:val="26"/>
          <w:szCs w:val="26"/>
          <w:rtl w:val="0"/>
        </w:rPr>
        <w:t xml:space="preserve">. This technique is the foundational pillar of semiconductor manufacturing, enabling the fabrication of integrated circuits, micro-sensors, and quantum devices such as Hall bar structures.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2c7p76y2i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Physics of Optical Patterning and Resolution</w:t>
      </w:r>
    </w:p>
    <w:p w:rsidR="00000000" w:rsidDel="00000000" w:rsidP="00000000" w:rsidRDefault="00000000" w:rsidRPr="00000000" w14:paraId="0000001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ability of a lithographic system to resolve fine features is fundamentally limited by the wave nature of light, specifically the phenomenon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diffraction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yrz7ufykk8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Rayleigh Criterion</w:t>
      </w:r>
    </w:p>
    <w:p w:rsidR="00000000" w:rsidDel="00000000" w:rsidP="00000000" w:rsidRDefault="00000000" w:rsidRPr="00000000" w14:paraId="0000001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Critical Dimension ( </w:t>
      </w:r>
      <w:hyperlink r:id="rId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27000"/>
              <wp:effectExtent b="0" l="0" r="0" t="0"/>
              <wp:docPr id="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), representing the smallest feature size a system can reliably resolve, is governed by the Rayleigh equation:</w:t>
      </w:r>
    </w:p>
    <w:p w:rsidR="00000000" w:rsidDel="00000000" w:rsidP="00000000" w:rsidRDefault="00000000" w:rsidRPr="00000000" w14:paraId="0000001A">
      <w:pPr>
        <w:spacing w:after="240" w:lineRule="auto"/>
        <w:rPr>
          <w:sz w:val="26"/>
          <w:szCs w:val="26"/>
        </w:rPr>
      </w:pPr>
      <w:hyperlink r:id="rId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016000" cy="381000"/>
              <wp:effectExtent b="0" l="0" r="0" t="0"/>
              <wp:docPr id="28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Here, </w:t>
      </w:r>
      <w:hyperlink r:id="rId1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1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wavelength of the light source and </w:t>
      </w:r>
      <w:hyperlink r:id="rId1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79400" cy="127000"/>
              <wp:effectExtent b="0" l="0" r="0" t="0"/>
              <wp:docPr id="17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Numerical Aperture (</w:t>
      </w:r>
      <w:hyperlink r:id="rId1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457200" cy="127000"/>
              <wp:effectExtent b="0" l="0" r="0" t="0"/>
              <wp:docPr id="20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). The constant </w:t>
      </w:r>
      <w:hyperlink r:id="rId1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39700" cy="152400"/>
              <wp:effectExtent b="0" l="0" r="0" t="0"/>
              <wp:docPr id="27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represents process capability; while lab scale near UV systems (</w:t>
      </w:r>
      <w:hyperlink r:id="rId1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" cy="114300"/>
              <wp:effectExtent b="0" l="0" r="0" t="0"/>
              <wp:docPr id="33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-line at 365 nm) typically operate with a </w:t>
      </w:r>
      <w:hyperlink r:id="rId2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66700" cy="127000"/>
              <wp:effectExtent b="0" l="0" r="0" t="0"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6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 around </w:t>
      </w:r>
      <w:hyperlink r:id="rId21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03200" cy="114300"/>
              <wp:effectExtent b="0" l="0" r="0" t="0"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to </w:t>
      </w:r>
      <w:hyperlink r:id="rId23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81000" cy="152400"/>
              <wp:effectExtent b="0" l="0" r="0" t="0"/>
              <wp:docPr id="2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industrial Extreme Ultraviolet (EUV) systems using </w:t>
      </w:r>
      <w:hyperlink r:id="rId25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47700" cy="127000"/>
              <wp:effectExtent b="0" l="0" r="0" t="0"/>
              <wp:docPr id="24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77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 can achieve resolutions below </w:t>
      </w:r>
      <w:hyperlink r:id="rId27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2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j23kwu8emc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Depth of Focus (DOF)</w:t>
      </w:r>
    </w:p>
    <w:p w:rsidR="00000000" w:rsidDel="00000000" w:rsidP="00000000" w:rsidRDefault="00000000" w:rsidRPr="00000000" w14:paraId="0000001D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While increasing the </w:t>
      </w:r>
      <w:hyperlink r:id="rId29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79400" cy="127000"/>
              <wp:effectExtent b="0" l="0" r="0" t="0"/>
              <wp:docPr id="23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4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improves resolution, it causes a mathematical decrease in the Depth of Focus:</w:t>
      </w:r>
    </w:p>
    <w:p w:rsidR="00000000" w:rsidDel="00000000" w:rsidP="00000000" w:rsidRDefault="00000000" w:rsidRPr="00000000" w14:paraId="0000001E">
      <w:pPr>
        <w:spacing w:after="240" w:lineRule="auto"/>
        <w:rPr>
          <w:sz w:val="26"/>
          <w:szCs w:val="26"/>
        </w:rPr>
      </w:pPr>
      <w:hyperlink r:id="rId3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31900" cy="381000"/>
              <wp:effectExtent b="0" l="0" r="0" t="0"/>
              <wp:docPr id="7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3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19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inverse-square relationship means that as features get smaller, the "window" in which the image remains sharp becomes extremely narrow, requiring substrates to be polished to atomic flatness.</w:t>
      </w:r>
    </w:p>
    <w:p w:rsidR="00000000" w:rsidDel="00000000" w:rsidP="00000000" w:rsidRDefault="00000000" w:rsidRPr="00000000" w14:paraId="00000020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d5cqjuecg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Advanced Optical Systems: Magnification, EUV, and Reflective Optics</w:t>
      </w:r>
    </w:p>
    <w:p w:rsidR="00000000" w:rsidDel="00000000" w:rsidP="00000000" w:rsidRDefault="00000000" w:rsidRPr="00000000" w14:paraId="00000022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modern industrial fabrication, the optical setup has evolved from simple 1:1 contact printing to complex projection systems.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iocfvpcwms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Projection and Reduction</w:t>
      </w:r>
    </w:p>
    <w:p w:rsidR="00000000" w:rsidDel="00000000" w:rsidP="00000000" w:rsidRDefault="00000000" w:rsidRPr="00000000" w14:paraId="00000024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Unlike research-grade mask aligners that place the mask in direct contact with the wafer, industrial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Steppers and Scanners</w:t>
      </w:r>
      <w:r w:rsidDel="00000000" w:rsidR="00000000" w:rsidRPr="00000000">
        <w:rPr>
          <w:sz w:val="26"/>
          <w:szCs w:val="26"/>
          <w:rtl w:val="0"/>
        </w:rPr>
        <w:t xml:space="preserve"> utilize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4:1 or 5:1 reduction lens system</w:t>
      </w:r>
      <w:r w:rsidDel="00000000" w:rsidR="00000000" w:rsidRPr="00000000">
        <w:rPr>
          <w:sz w:val="26"/>
          <w:szCs w:val="26"/>
          <w:rtl w:val="0"/>
        </w:rPr>
        <w:t xml:space="preserve">. The pattern on the reticle (mask) is significantly larger than the final feature on the wafer, which increases defect tolerance and allows for more precise mask manufacturing.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4gyqr7evvbr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EUV Catoptric Systems</w:t>
      </w:r>
    </w:p>
    <w:p w:rsidR="00000000" w:rsidDel="00000000" w:rsidP="00000000" w:rsidRDefault="00000000" w:rsidRPr="00000000" w14:paraId="0000002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At the </w:t>
      </w:r>
      <w:hyperlink r:id="rId3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92100" cy="114300"/>
              <wp:effectExtent b="0" l="0" r="0" t="0"/>
              <wp:docPr id="3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1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nm wavelength used in EUV lithography, traditional refractive glass lenses are unusable because nearly all materials absorb EUV radiation. Instead, these systems utilize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all reflective catoptric optics</w:t>
      </w:r>
      <w:r w:rsidDel="00000000" w:rsidR="00000000" w:rsidRPr="00000000">
        <w:rPr>
          <w:sz w:val="26"/>
          <w:szCs w:val="26"/>
          <w:rtl w:val="0"/>
        </w:rPr>
        <w:t xml:space="preserve">. These mirrors are composed of ultra-smooth, multi-layer stacks of Molybdenum and Silicon that utilize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Bragg Reflection</w:t>
      </w:r>
      <w:r w:rsidDel="00000000" w:rsidR="00000000" w:rsidRPr="00000000">
        <w:rPr>
          <w:sz w:val="26"/>
          <w:szCs w:val="26"/>
          <w:rtl w:val="0"/>
        </w:rPr>
        <w:t xml:space="preserve"> to guide light. Similarly, the masks must be reflective rather than transmissive, consisting of a patterned absorber layer atop a reflective multilayer stack.</w:t>
      </w:r>
    </w:p>
    <w:p w:rsidR="00000000" w:rsidDel="00000000" w:rsidP="00000000" w:rsidRDefault="00000000" w:rsidRPr="00000000" w14:paraId="00000027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lh8kmotyp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Chemistry and Kinetics of Photoresists</w:t>
      </w:r>
    </w:p>
    <w:p w:rsidR="00000000" w:rsidDel="00000000" w:rsidP="00000000" w:rsidRDefault="00000000" w:rsidRPr="00000000" w14:paraId="00000029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Photoresists are organic polymers designed to undergo a chemical transformation when exposed to specific wavelengths of radiation.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Positive Resists (e.g., PMMA, DNQ-Novolac):</w:t>
      </w:r>
      <w:r w:rsidDel="00000000" w:rsidR="00000000" w:rsidRPr="00000000">
        <w:rPr>
          <w:sz w:val="26"/>
          <w:szCs w:val="26"/>
          <w:rtl w:val="0"/>
        </w:rPr>
        <w:t xml:space="preserve"> Exposure causes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chain scission</w:t>
      </w:r>
      <w:r w:rsidDel="00000000" w:rsidR="00000000" w:rsidRPr="00000000">
        <w:rPr>
          <w:sz w:val="26"/>
          <w:szCs w:val="26"/>
          <w:rtl w:val="0"/>
        </w:rPr>
        <w:t xml:space="preserve">, where long polymer bonds break into smaller, more soluble fragments. In the case of PMMA, this reduction in molecular weight allows the exposed regions to dissolve rapidly in a developer.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Negative Resists (e.g., SU-8):</w:t>
      </w:r>
      <w:r w:rsidDel="00000000" w:rsidR="00000000" w:rsidRPr="00000000">
        <w:rPr>
          <w:sz w:val="26"/>
          <w:szCs w:val="26"/>
          <w:rtl w:val="0"/>
        </w:rPr>
        <w:t xml:space="preserve"> Exposure triggers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cross-linking</w:t>
      </w:r>
      <w:r w:rsidDel="00000000" w:rsidR="00000000" w:rsidRPr="00000000">
        <w:rPr>
          <w:sz w:val="26"/>
          <w:szCs w:val="26"/>
          <w:rtl w:val="0"/>
        </w:rPr>
        <w:t xml:space="preserve">, where polymer chains bond together to form an insoluble network.</w:t>
      </w:r>
    </w:p>
    <w:p w:rsidR="00000000" w:rsidDel="00000000" w:rsidP="00000000" w:rsidRDefault="00000000" w:rsidRPr="00000000" w14:paraId="0000002C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absorption of light through the resist layer is modeled by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Dill Equations</w:t>
      </w:r>
      <w:r w:rsidDel="00000000" w:rsidR="00000000" w:rsidRPr="00000000">
        <w:rPr>
          <w:sz w:val="26"/>
          <w:szCs w:val="26"/>
          <w:rtl w:val="0"/>
        </w:rPr>
        <w:t xml:space="preserve">, which account for "bleaching" (the change in transparency as the resist reacts):</w:t>
      </w:r>
    </w:p>
    <w:p w:rsidR="00000000" w:rsidDel="00000000" w:rsidP="00000000" w:rsidRDefault="00000000" w:rsidRPr="00000000" w14:paraId="0000002D">
      <w:pPr>
        <w:spacing w:after="240" w:lineRule="auto"/>
        <w:rPr>
          <w:sz w:val="26"/>
          <w:szCs w:val="26"/>
        </w:rPr>
      </w:pPr>
      <w:hyperlink r:id="rId3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2870200" cy="381000"/>
              <wp:effectExtent b="0" l="0" r="0" t="0"/>
              <wp:docPr id="18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3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70200" cy="381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</w:t>
      </w:r>
      <w:hyperlink r:id="rId3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14300" cy="127000"/>
              <wp:effectExtent b="0" l="0" r="0" t="0"/>
              <wp:docPr id="1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and </w:t>
      </w:r>
      <w:hyperlink r:id="rId3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are absorption coefficients and </w:t>
      </w:r>
      <w:hyperlink r:id="rId4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77800" cy="114300"/>
              <wp:effectExtent b="0" l="0" r="0" t="0"/>
              <wp:docPr id="29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4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the concentration of the unreacted photoactive compound at depth </w:t>
      </w:r>
      <w:hyperlink r:id="rId4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76200"/>
              <wp:effectExtent b="0" l="0" r="0" t="0"/>
              <wp:docPr id="26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4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ocv9at1d1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The Lithographic Pipeline: Process Engineering</w:t>
      </w:r>
    </w:p>
    <w:p w:rsidR="00000000" w:rsidDel="00000000" w:rsidP="00000000" w:rsidRDefault="00000000" w:rsidRPr="00000000" w14:paraId="00000031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transition from a raw substrate to a patterned device follows a rigorous sequence of controlled steps.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s1govdwxy3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I. Surface Preparation and Coating</w:t>
      </w:r>
    </w:p>
    <w:p w:rsidR="00000000" w:rsidDel="00000000" w:rsidP="00000000" w:rsidRDefault="00000000" w:rsidRPr="00000000" w14:paraId="00000033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substrate (typically Silicon with an insulating </w:t>
      </w:r>
      <w:hyperlink r:id="rId4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368300" cy="152400"/>
              <wp:effectExtent b="0" l="0" r="0" t="0"/>
              <wp:docPr id="13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4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layer) is cleaned and dehydrated at </w:t>
      </w:r>
      <w:hyperlink r:id="rId4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635000" cy="139700"/>
              <wp:effectExtent b="0" l="0" r="0" t="0"/>
              <wp:docPr id="8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4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. A primer like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HMDS</w:t>
      </w:r>
      <w:r w:rsidDel="00000000" w:rsidR="00000000" w:rsidRPr="00000000">
        <w:rPr>
          <w:sz w:val="26"/>
          <w:szCs w:val="26"/>
          <w:rtl w:val="0"/>
        </w:rPr>
        <w:t xml:space="preserve"> is often applied to ensure the resist adheres. The resist thickness (</w:t>
      </w:r>
      <w:hyperlink r:id="rId4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27000"/>
              <wp:effectExtent b="0" l="0" r="0" t="0"/>
              <wp:docPr id="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4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is then defined during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Spin Coating</w:t>
      </w:r>
      <w:r w:rsidDel="00000000" w:rsidR="00000000" w:rsidRPr="00000000">
        <w:rPr>
          <w:sz w:val="26"/>
          <w:szCs w:val="26"/>
          <w:rtl w:val="0"/>
        </w:rPr>
        <w:t xml:space="preserve">, governed by the relationship </w:t>
      </w:r>
      <w:hyperlink r:id="rId5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825500" cy="215900"/>
              <wp:effectExtent b="0" l="0" r="0" t="0"/>
              <wp:docPr id="10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5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, where </w:t>
      </w:r>
      <w:hyperlink r:id="rId5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1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5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viscosity and </w:t>
      </w:r>
      <w:hyperlink r:id="rId54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01600" cy="76200"/>
              <wp:effectExtent b="0" l="0" r="0" t="0"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1600" cy="76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 is angular velocity.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Soft Bake</w:t>
      </w:r>
      <w:r w:rsidDel="00000000" w:rsidR="00000000" w:rsidRPr="00000000">
        <w:rPr>
          <w:sz w:val="26"/>
          <w:szCs w:val="26"/>
          <w:rtl w:val="0"/>
        </w:rPr>
        <w:t xml:space="preserve"> follows to solidify the film.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12ttsgd68mk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II. Exposure and Development</w:t>
      </w:r>
    </w:p>
    <w:p w:rsidR="00000000" w:rsidDel="00000000" w:rsidP="00000000" w:rsidRDefault="00000000" w:rsidRPr="00000000" w14:paraId="00000035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Exposure Dose (</w:t>
      </w:r>
      <w:hyperlink r:id="rId56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14300"/>
              <wp:effectExtent b="0" l="0" r="0" t="0"/>
              <wp:docPr id="30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defined as the product of intensity (</w:t>
      </w:r>
      <w:hyperlink r:id="rId58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76200" cy="114300"/>
              <wp:effectExtent b="0" l="0" r="0" t="0"/>
              <wp:docPr id="6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 and time (</w:t>
      </w:r>
      <w:hyperlink r:id="rId60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50800" cy="114300"/>
              <wp:effectExtent b="0" l="0" r="0" t="0"/>
              <wp:docPr id="16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is delivered through the mask. Following exposure, the substrate is immersed in a developer solution.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Mack Model</w:t>
      </w:r>
      <w:r w:rsidDel="00000000" w:rsidR="00000000" w:rsidRPr="00000000">
        <w:rPr>
          <w:sz w:val="26"/>
          <w:szCs w:val="26"/>
          <w:rtl w:val="0"/>
        </w:rPr>
        <w:t xml:space="preserve"> describes the dissolution rate (</w:t>
      </w:r>
      <w:hyperlink r:id="rId62">
        <w:r w:rsidDel="00000000" w:rsidR="00000000" w:rsidRPr="00000000">
          <w:rPr>
            <w:sz w:val="26"/>
            <w:szCs w:val="26"/>
          </w:rPr>
          <w:drawing>
            <wp:inline distB="19050" distT="19050" distL="19050" distR="19050">
              <wp:extent cx="127000" cy="127000"/>
              <wp:effectExtent b="0" l="0" r="0" t="0"/>
              <wp:docPr id="3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6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0" cy="12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6"/>
          <w:szCs w:val="26"/>
          <w:rtl w:val="0"/>
        </w:rPr>
        <w:t xml:space="preserve">), ensuring a high contrast between the solubility of exposed and unexposed regions, which is critical for achieving sharp, vertical sidewalls in the pattern.</w:t>
      </w:r>
    </w:p>
    <w:p w:rsidR="00000000" w:rsidDel="00000000" w:rsidP="00000000" w:rsidRDefault="00000000" w:rsidRPr="00000000" w14:paraId="00000036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clgckd8ue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Pattern Transfer: Etching vs. Lift-Off</w:t>
      </w:r>
    </w:p>
    <w:p w:rsidR="00000000" w:rsidDel="00000000" w:rsidP="00000000" w:rsidRDefault="00000000" w:rsidRPr="00000000" w14:paraId="00000038">
      <w:pPr>
        <w:spacing w:after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final stage involves using the resist pattern to define the functional material of the device.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Etching (Subtractive):</w:t>
      </w:r>
      <w:r w:rsidDel="00000000" w:rsidR="00000000" w:rsidRPr="00000000">
        <w:rPr>
          <w:sz w:val="26"/>
          <w:szCs w:val="26"/>
          <w:rtl w:val="0"/>
        </w:rPr>
        <w:t xml:space="preserve"> A thin film is deposited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before</w:t>
      </w:r>
      <w:r w:rsidDel="00000000" w:rsidR="00000000" w:rsidRPr="00000000">
        <w:rPr>
          <w:sz w:val="26"/>
          <w:szCs w:val="26"/>
          <w:rtl w:val="0"/>
        </w:rPr>
        <w:t xml:space="preserve"> the lithography process. The resist acts as a shield, protecting the desired geometry while the unprotected material is removed via chemical acids (Wet Etching) or reactive plasma (Dry Etching).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Lift-Off (Additive):</w:t>
      </w:r>
      <w:r w:rsidDel="00000000" w:rsidR="00000000" w:rsidRPr="00000000">
        <w:rPr>
          <w:sz w:val="26"/>
          <w:szCs w:val="26"/>
          <w:rtl w:val="0"/>
        </w:rPr>
        <w:t xml:space="preserve"> This is the preferred method for high-resolution Hall contacts. Lithography is performed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first</w:t>
      </w:r>
      <w:r w:rsidDel="00000000" w:rsidR="00000000" w:rsidRPr="00000000">
        <w:rPr>
          <w:sz w:val="26"/>
          <w:szCs w:val="26"/>
          <w:rtl w:val="0"/>
        </w:rPr>
        <w:t xml:space="preserve"> to create windows in the resist. Metal is then evaporated over the entire surface. Finally, the substrate is soaked in a solvent like Acetone, which dissolves the resist and "lifts off" the metal on top of it, leaving only the material deposited directly onto the substrate.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dwhzy7w00l5r" w:id="15"/>
      <w:bookmarkEnd w:id="15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Procedure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sjutbbmdc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Substrate Cleaning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Clean the Si/SiO2​ substrate using an ultrasonic bath in Acetone, followed by IPA.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Blow-dry with Nitrogen (N2​) and perform a dehydration bake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120°C</w:t>
      </w:r>
      <w:r w:rsidDel="00000000" w:rsidR="00000000" w:rsidRPr="00000000">
        <w:rPr>
          <w:sz w:val="26"/>
          <w:szCs w:val="26"/>
          <w:rtl w:val="0"/>
        </w:rPr>
        <w:t xml:space="preserve"> for 5 minutes.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633663" cy="2701628"/>
            <wp:effectExtent b="0" l="0" r="0" t="0"/>
            <wp:docPr id="31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64"/>
                    <a:srcRect b="11246" l="0" r="5288" t="15625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701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Figure : Hot Plate with parameters 180 c , Heating time:1:35.46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vv4ym2r7h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Spin Coating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Dispense PMMA onto the substrate.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Spin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3000–5000 RPM</w:t>
      </w:r>
      <w:r w:rsidDel="00000000" w:rsidR="00000000" w:rsidRPr="00000000">
        <w:rPr>
          <w:sz w:val="26"/>
          <w:szCs w:val="26"/>
          <w:rtl w:val="0"/>
        </w:rPr>
        <w:t xml:space="preserve"> for 60 seconds </w:t>
        <w:br w:type="textWrapping"/>
        <w:t xml:space="preserve">to achieve the desired thickness.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Hard Bake:</w:t>
      </w:r>
      <w:r w:rsidDel="00000000" w:rsidR="00000000" w:rsidRPr="00000000">
        <w:rPr>
          <w:sz w:val="26"/>
          <w:szCs w:val="26"/>
          <w:rtl w:val="0"/>
        </w:rPr>
        <w:t xml:space="preserve"> Place on a hot plate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 for 90 seconds.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color w:val="000000"/>
          <w:sz w:val="26"/>
          <w:szCs w:val="26"/>
        </w:rPr>
      </w:pPr>
      <w:bookmarkStart w:colFirst="0" w:colLast="0" w:name="_nfzlkpx738ub" w:id="18"/>
      <w:bookmarkEnd w:id="18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2852738" cy="3055699"/>
            <wp:effectExtent b="0" l="0" r="0" t="0"/>
            <wp:docPr id="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65"/>
                    <a:srcRect b="0" l="0" r="0" t="19289"/>
                    <a:stretch>
                      <a:fillRect/>
                    </a:stretch>
                  </pic:blipFill>
                  <pic:spPr>
                    <a:xfrm>
                      <a:off x="0" y="0"/>
                      <a:ext cx="2852738" cy="3055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sz w:val="26"/>
          <w:szCs w:val="26"/>
        </w:rPr>
      </w:pPr>
      <w:bookmarkStart w:colFirst="0" w:colLast="0" w:name="_dua77eulj4m6" w:id="19"/>
      <w:bookmarkEnd w:id="19"/>
      <w:r w:rsidDel="00000000" w:rsidR="00000000" w:rsidRPr="00000000">
        <w:rPr>
          <w:sz w:val="26"/>
          <w:szCs w:val="26"/>
          <w:rtl w:val="0"/>
        </w:rPr>
        <w:t xml:space="preserve">Figure: spin coat parameters: 4000 rpm , 40 seconds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/>
      </w:pPr>
      <w:bookmarkStart w:colFirst="0" w:colLast="0" w:name="_jsxum4yja37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Align the Hall bar photomask with the substrate in the Mask Aligner.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576513" cy="2891820"/>
            <wp:effectExtent b="0" l="0" r="0" t="0"/>
            <wp:docPr id="2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66"/>
                    <a:srcRect b="29674" l="35897" r="15385" t="29216"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289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color w:val="666666"/>
          <w:sz w:val="26"/>
          <w:szCs w:val="26"/>
        </w:rPr>
      </w:pPr>
      <w:r w:rsidDel="00000000" w:rsidR="00000000" w:rsidRPr="00000000">
        <w:rPr>
          <w:color w:val="666666"/>
          <w:sz w:val="26"/>
          <w:szCs w:val="26"/>
          <w:rtl w:val="0"/>
        </w:rPr>
        <w:t xml:space="preserve">Figure : diy chart photomask mounted on holder / aligner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Expose to UV light. The UV radiation breaks the PMMA polymer chains in the shape of the Hall bar and contact pads.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zhelxuajv9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Development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Immerse the substrate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MIBK:IPA (1:3)</w:t>
      </w:r>
      <w:r w:rsidDel="00000000" w:rsidR="00000000" w:rsidRPr="00000000">
        <w:rPr>
          <w:sz w:val="26"/>
          <w:szCs w:val="26"/>
          <w:rtl w:val="0"/>
        </w:rPr>
        <w:t xml:space="preserve"> for 60 seconds.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Rinse in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IPA</w:t>
      </w:r>
      <w:r w:rsidDel="00000000" w:rsidR="00000000" w:rsidRPr="00000000">
        <w:rPr>
          <w:sz w:val="26"/>
          <w:szCs w:val="26"/>
          <w:rtl w:val="0"/>
        </w:rPr>
        <w:t xml:space="preserve"> for 30 seconds to stop the development process.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Dry with N2​. At this stage, the substrate is visible through the "windows" in the PMMA.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9joacb542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Metal Deposition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sample into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Thermal Evaporator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Deposit a thin layer of Aluminum (e.g., 50nm – 100nm) under high vacuum (≈10−6 Torr).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7l7cfeo44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Lift-Off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Submerge the sample in a beaker of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Acetone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Leave for several hours or use a gentle ultrasonic bath to accelerate the process.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PMMA dissolves, and the excess aluminum flakes off.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Rinse with IPA and dry.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hksydj2zrbe" w:id="24"/>
      <w:bookmarkEnd w:id="24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Observations and Results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ib23vvcffe4" w:id="25"/>
      <w:bookmarkEnd w:id="25"/>
      <w:r w:rsidDel="00000000" w:rsidR="00000000" w:rsidRPr="00000000">
        <w:rPr>
          <w:color w:val="000000"/>
          <w:sz w:val="26"/>
          <w:szCs w:val="26"/>
        </w:rPr>
        <w:drawing>
          <wp:inline distB="114300" distT="114300" distL="114300" distR="114300">
            <wp:extent cx="2512419" cy="2296801"/>
            <wp:effectExtent b="0" l="0" r="0" t="0"/>
            <wp:docPr id="1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7"/>
                    <a:srcRect b="39551" l="37688" r="42064" t="46494"/>
                    <a:stretch>
                      <a:fillRect/>
                    </a:stretch>
                  </pic:blipFill>
                  <pic:spPr>
                    <a:xfrm>
                      <a:off x="0" y="0"/>
                      <a:ext cx="2512419" cy="229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Figure : Final fabricated thin film Al Hall bar contacts on glass substrate (6mm x 6mm)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Microscopic Inspection:</w:t>
      </w:r>
      <w:r w:rsidDel="00000000" w:rsidR="00000000" w:rsidRPr="00000000">
        <w:rPr>
          <w:sz w:val="26"/>
          <w:szCs w:val="26"/>
          <w:rtl w:val="0"/>
        </w:rPr>
        <w:t xml:space="preserve"> Use an optical microscope to ensure the Hall bar edges are sharp and no residual aluminum "flags" remain at the edges.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Continuity Check:</w:t>
      </w:r>
      <w:r w:rsidDel="00000000" w:rsidR="00000000" w:rsidRPr="00000000">
        <w:rPr>
          <w:sz w:val="26"/>
          <w:szCs w:val="26"/>
          <w:rtl w:val="0"/>
        </w:rPr>
        <w:t xml:space="preserve"> Use a multimeter or probe station to verify electrical continuity between the contact pads.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0"/>
          <w:szCs w:val="30"/>
          <w:u w:val="single"/>
        </w:rPr>
      </w:pPr>
      <w:bookmarkStart w:colFirst="0" w:colLast="0" w:name="_q889ka15x7ha" w:id="26"/>
      <w:bookmarkEnd w:id="26"/>
      <w:r w:rsidDel="00000000" w:rsidR="00000000" w:rsidRPr="00000000">
        <w:rPr>
          <w:b w:val="1"/>
          <w:bCs w:val="1"/>
          <w:color w:val="000000"/>
          <w:sz w:val="30"/>
          <w:szCs w:val="30"/>
          <w:u w:val="single"/>
          <w:rtl w:val="0"/>
        </w:rPr>
        <w:t xml:space="preserve">Precautions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Baking Temperature:</w:t>
      </w:r>
      <w:r w:rsidDel="00000000" w:rsidR="00000000" w:rsidRPr="00000000">
        <w:rPr>
          <w:sz w:val="26"/>
          <w:szCs w:val="26"/>
          <w:rtl w:val="0"/>
        </w:rPr>
        <w:t xml:space="preserve"> Ensure the hot plate is exactly at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180°C</w:t>
      </w:r>
      <w:r w:rsidDel="00000000" w:rsidR="00000000" w:rsidRPr="00000000">
        <w:rPr>
          <w:sz w:val="26"/>
          <w:szCs w:val="26"/>
          <w:rtl w:val="0"/>
        </w:rPr>
        <w:t xml:space="preserve">; under-baking PMMA leads to poor adhesion, while over-baking makes lift-off difficult.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Environment:</w:t>
      </w:r>
      <w:r w:rsidDel="00000000" w:rsidR="00000000" w:rsidRPr="00000000">
        <w:rPr>
          <w:sz w:val="26"/>
          <w:szCs w:val="26"/>
          <w:rtl w:val="0"/>
        </w:rPr>
        <w:t xml:space="preserve"> Perform the process in a Cleanroom (Yellow light) to prevent premature resist exposure and dust contamination.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Evaporation Rate:</w:t>
      </w:r>
      <w:r w:rsidDel="00000000" w:rsidR="00000000" w:rsidRPr="00000000">
        <w:rPr>
          <w:sz w:val="26"/>
          <w:szCs w:val="26"/>
          <w:rtl w:val="0"/>
        </w:rPr>
        <w:t xml:space="preserve"> Keep the aluminum deposition rate slow to prevent the PMMA from melting due to radiant heat.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odecogs.com/eqnedit.php?latex=M#0" TargetMode="External"/><Relationship Id="rId42" Type="http://schemas.openxmlformats.org/officeDocument/2006/relationships/hyperlink" Target="https://www.codecogs.com/eqnedit.php?latex=z#0" TargetMode="External"/><Relationship Id="rId41" Type="http://schemas.openxmlformats.org/officeDocument/2006/relationships/image" Target="media/image31.png"/><Relationship Id="rId44" Type="http://schemas.openxmlformats.org/officeDocument/2006/relationships/hyperlink" Target="https://www.codecogs.com/eqnedit.php?latex=SiO_2#0" TargetMode="External"/><Relationship Id="rId43" Type="http://schemas.openxmlformats.org/officeDocument/2006/relationships/image" Target="media/image18.png"/><Relationship Id="rId46" Type="http://schemas.openxmlformats.org/officeDocument/2006/relationships/hyperlink" Target="https://www.codecogs.com/eqnedit.php?latex=%3E100%5E%5Ccirc%5Ctext%7BC%7D#0" TargetMode="External"/><Relationship Id="rId45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48" Type="http://schemas.openxmlformats.org/officeDocument/2006/relationships/hyperlink" Target="https://www.codecogs.com/eqnedit.php?latex=h#0" TargetMode="External"/><Relationship Id="rId47" Type="http://schemas.openxmlformats.org/officeDocument/2006/relationships/image" Target="media/image20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www.codecogs.com/eqnedit.php?latex=%20CD%20#0" TargetMode="External"/><Relationship Id="rId7" Type="http://schemas.openxmlformats.org/officeDocument/2006/relationships/image" Target="media/image8.png"/><Relationship Id="rId8" Type="http://schemas.openxmlformats.org/officeDocument/2006/relationships/hyperlink" Target="https://www.codecogs.com/eqnedit.php?latex=CD%20%3D%20k_1%20%5Cfrac%7B%5Clambda%7D%7BNA%7D#0" TargetMode="External"/><Relationship Id="rId31" Type="http://schemas.openxmlformats.org/officeDocument/2006/relationships/image" Target="media/image9.png"/><Relationship Id="rId30" Type="http://schemas.openxmlformats.org/officeDocument/2006/relationships/hyperlink" Target="https://www.codecogs.com/eqnedit.php?latex=DOF%20%3D%20k_2%20%5Cfrac%7B%5Clambda%7D%7BNA%5E2%7D#0" TargetMode="External"/><Relationship Id="rId33" Type="http://schemas.openxmlformats.org/officeDocument/2006/relationships/image" Target="media/image16.png"/><Relationship Id="rId32" Type="http://schemas.openxmlformats.org/officeDocument/2006/relationships/hyperlink" Target="https://www.codecogs.com/eqnedit.php?latex=13.5#0" TargetMode="External"/><Relationship Id="rId35" Type="http://schemas.openxmlformats.org/officeDocument/2006/relationships/image" Target="media/image33.png"/><Relationship Id="rId34" Type="http://schemas.openxmlformats.org/officeDocument/2006/relationships/hyperlink" Target="https://www.codecogs.com/eqnedit.php?latex=%5Cfrac%7BdI(z%2Ct)%7D%7Bdz%7D%20%3D%20-%5BA%20%5Ccdot%20M(z%2Ct)%20%2B%20B%5D%20%5Ccdot%20I(z%2Ct)#0" TargetMode="External"/><Relationship Id="rId37" Type="http://schemas.openxmlformats.org/officeDocument/2006/relationships/image" Target="media/image6.png"/><Relationship Id="rId36" Type="http://schemas.openxmlformats.org/officeDocument/2006/relationships/hyperlink" Target="https://www.codecogs.com/eqnedit.php?latex=%20A%20#0" TargetMode="External"/><Relationship Id="rId39" Type="http://schemas.openxmlformats.org/officeDocument/2006/relationships/image" Target="media/image5.png"/><Relationship Id="rId38" Type="http://schemas.openxmlformats.org/officeDocument/2006/relationships/hyperlink" Target="https://www.codecogs.com/eqnedit.php?latex=%20B%20#0" TargetMode="External"/><Relationship Id="rId62" Type="http://schemas.openxmlformats.org/officeDocument/2006/relationships/hyperlink" Target="https://www.codecogs.com/eqnedit.php?latex=R#0" TargetMode="External"/><Relationship Id="rId61" Type="http://schemas.openxmlformats.org/officeDocument/2006/relationships/image" Target="media/image1.png"/><Relationship Id="rId20" Type="http://schemas.openxmlformats.org/officeDocument/2006/relationships/hyperlink" Target="https://www.codecogs.com/eqnedit.php?latex=CD#0" TargetMode="External"/><Relationship Id="rId64" Type="http://schemas.openxmlformats.org/officeDocument/2006/relationships/image" Target="media/image34.jpg"/><Relationship Id="rId63" Type="http://schemas.openxmlformats.org/officeDocument/2006/relationships/image" Target="media/image24.png"/><Relationship Id="rId22" Type="http://schemas.openxmlformats.org/officeDocument/2006/relationships/image" Target="media/image32.png"/><Relationship Id="rId66" Type="http://schemas.openxmlformats.org/officeDocument/2006/relationships/image" Target="media/image21.jpg"/><Relationship Id="rId21" Type="http://schemas.openxmlformats.org/officeDocument/2006/relationships/hyperlink" Target="https://www.codecogs.com/eqnedit.php?latex=%200.5%20#0" TargetMode="External"/><Relationship Id="rId65" Type="http://schemas.openxmlformats.org/officeDocument/2006/relationships/image" Target="media/image22.jpg"/><Relationship Id="rId24" Type="http://schemas.openxmlformats.org/officeDocument/2006/relationships/image" Target="media/image10.png"/><Relationship Id="rId68" Type="http://schemas.openxmlformats.org/officeDocument/2006/relationships/footer" Target="footer1.xml"/><Relationship Id="rId23" Type="http://schemas.openxmlformats.org/officeDocument/2006/relationships/hyperlink" Target="https://www.codecogs.com/eqnedit.php?latex=%201%5C%20%5Cmu%5Ctext%7Bm%7D#0" TargetMode="External"/><Relationship Id="rId67" Type="http://schemas.openxmlformats.org/officeDocument/2006/relationships/image" Target="media/image12.jpg"/><Relationship Id="rId60" Type="http://schemas.openxmlformats.org/officeDocument/2006/relationships/hyperlink" Target="https://www.codecogs.com/eqnedit.php?latex=t#0" TargetMode="External"/><Relationship Id="rId26" Type="http://schemas.openxmlformats.org/officeDocument/2006/relationships/image" Target="media/image23.png"/><Relationship Id="rId25" Type="http://schemas.openxmlformats.org/officeDocument/2006/relationships/hyperlink" Target="https://www.codecogs.com/eqnedit.php?latex=%5Clambda%20%3D%2013.5#0" TargetMode="External"/><Relationship Id="rId28" Type="http://schemas.openxmlformats.org/officeDocument/2006/relationships/image" Target="media/image25.png"/><Relationship Id="rId27" Type="http://schemas.openxmlformats.org/officeDocument/2006/relationships/hyperlink" Target="https://www.codecogs.com/eqnedit.php?latex=7#0" TargetMode="External"/><Relationship Id="rId29" Type="http://schemas.openxmlformats.org/officeDocument/2006/relationships/hyperlink" Target="https://www.codecogs.com/eqnedit.php?latex=NA#0" TargetMode="External"/><Relationship Id="rId51" Type="http://schemas.openxmlformats.org/officeDocument/2006/relationships/image" Target="media/image14.png"/><Relationship Id="rId50" Type="http://schemas.openxmlformats.org/officeDocument/2006/relationships/hyperlink" Target="https://www.codecogs.com/eqnedit.php?latex=h%20%5Cpropto%20%5Csqrt%7B%5Ceta%2F%5Comega%7D#0" TargetMode="External"/><Relationship Id="rId53" Type="http://schemas.openxmlformats.org/officeDocument/2006/relationships/image" Target="media/image2.png"/><Relationship Id="rId52" Type="http://schemas.openxmlformats.org/officeDocument/2006/relationships/hyperlink" Target="https://www.codecogs.com/eqnedit.php?latex=%5Ceta#0" TargetMode="External"/><Relationship Id="rId11" Type="http://schemas.openxmlformats.org/officeDocument/2006/relationships/image" Target="media/image3.png"/><Relationship Id="rId55" Type="http://schemas.openxmlformats.org/officeDocument/2006/relationships/image" Target="media/image19.png"/><Relationship Id="rId10" Type="http://schemas.openxmlformats.org/officeDocument/2006/relationships/hyperlink" Target="https://www.codecogs.com/eqnedit.php?latex=%5Clambda#0" TargetMode="External"/><Relationship Id="rId54" Type="http://schemas.openxmlformats.org/officeDocument/2006/relationships/hyperlink" Target="https://www.codecogs.com/eqnedit.php?latex=%5Comega#0" TargetMode="External"/><Relationship Id="rId13" Type="http://schemas.openxmlformats.org/officeDocument/2006/relationships/image" Target="media/image28.png"/><Relationship Id="rId57" Type="http://schemas.openxmlformats.org/officeDocument/2006/relationships/image" Target="media/image15.png"/><Relationship Id="rId12" Type="http://schemas.openxmlformats.org/officeDocument/2006/relationships/hyperlink" Target="https://www.codecogs.com/eqnedit.php?latex=NA#0" TargetMode="External"/><Relationship Id="rId56" Type="http://schemas.openxmlformats.org/officeDocument/2006/relationships/hyperlink" Target="https://www.codecogs.com/eqnedit.php?latex=D#0" TargetMode="External"/><Relationship Id="rId15" Type="http://schemas.openxmlformats.org/officeDocument/2006/relationships/image" Target="media/image11.png"/><Relationship Id="rId59" Type="http://schemas.openxmlformats.org/officeDocument/2006/relationships/image" Target="media/image4.png"/><Relationship Id="rId14" Type="http://schemas.openxmlformats.org/officeDocument/2006/relationships/hyperlink" Target="https://www.codecogs.com/eqnedit.php?latex=%20n%20%5Csin%20%5Ctheta%20#0" TargetMode="External"/><Relationship Id="rId58" Type="http://schemas.openxmlformats.org/officeDocument/2006/relationships/hyperlink" Target="https://www.codecogs.com/eqnedit.php?latex=I#0" TargetMode="External"/><Relationship Id="rId17" Type="http://schemas.openxmlformats.org/officeDocument/2006/relationships/image" Target="media/image26.png"/><Relationship Id="rId16" Type="http://schemas.openxmlformats.org/officeDocument/2006/relationships/hyperlink" Target="https://www.codecogs.com/eqnedit.php?latex=k_1#0" TargetMode="External"/><Relationship Id="rId19" Type="http://schemas.openxmlformats.org/officeDocument/2006/relationships/image" Target="media/image30.png"/><Relationship Id="rId18" Type="http://schemas.openxmlformats.org/officeDocument/2006/relationships/hyperlink" Target="https://www.codecogs.com/eqnedit.php?latex=i#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