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89" w:rsidRDefault="00B03C89">
      <w:pPr>
        <w:rPr>
          <w:rFonts w:ascii="Adobe Caslon Pro" w:hAnsi="Adobe Caslon Pro"/>
        </w:rPr>
      </w:pPr>
      <w:r>
        <w:rPr>
          <w:rFonts w:ascii="Adobe Caslon Pro" w:hAnsi="Adobe Caslon Pro"/>
        </w:rPr>
        <w:t>1. jakies wazne terminy i pojecia</w:t>
      </w:r>
    </w:p>
    <w:p w:rsidR="00847C98" w:rsidRPr="00847C98" w:rsidRDefault="00DA603E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2</w:t>
      </w:r>
      <w:r w:rsidR="00847C98" w:rsidRPr="00847C98">
        <w:rPr>
          <w:rFonts w:ascii="Adobe Caslon Pro" w:hAnsi="Adobe Caslon Pro"/>
        </w:rPr>
        <w:t xml:space="preserve"> rozdziale jak jest zaimplementowana lua</w:t>
      </w:r>
      <w:r w:rsidR="00997BF6">
        <w:rPr>
          <w:rFonts w:ascii="Adobe Caslon Pro" w:hAnsi="Adobe Caslon Pro"/>
        </w:rPr>
        <w:t xml:space="preserve"> (to chyba polaczyc z 3 bo w 3 bedzie chyba malo)</w:t>
      </w:r>
    </w:p>
    <w:p w:rsidR="00847C98" w:rsidRPr="00847C98" w:rsidRDefault="00847C98">
      <w:pPr>
        <w:rPr>
          <w:rFonts w:ascii="Adobe Caslon Pro" w:hAnsi="Adobe Caslon Pro"/>
        </w:rPr>
      </w:pPr>
      <w:r w:rsidRPr="00847C98"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3</w:t>
      </w:r>
      <w:r w:rsidRPr="00847C98">
        <w:rPr>
          <w:rFonts w:ascii="Adobe Caslon Pro" w:hAnsi="Adobe Caslon Pro"/>
        </w:rPr>
        <w:t xml:space="preserve"> jak ona dziala (wazne informacje powiazane z moim programem)</w:t>
      </w:r>
    </w:p>
    <w:p w:rsidR="00847C98" w:rsidRDefault="00847C98">
      <w:pPr>
        <w:rPr>
          <w:rFonts w:ascii="Adobe Caslon Pro" w:hAnsi="Adobe Caslon Pro"/>
        </w:rPr>
      </w:pPr>
      <w:r w:rsidRPr="00847C98">
        <w:rPr>
          <w:rFonts w:ascii="Adobe Caslon Pro" w:hAnsi="Adobe Caslon Pro"/>
        </w:rPr>
        <w:t xml:space="preserve">w </w:t>
      </w:r>
      <w:r w:rsidR="00B03C89">
        <w:rPr>
          <w:rFonts w:ascii="Adobe Caslon Pro" w:hAnsi="Adobe Caslon Pro"/>
        </w:rPr>
        <w:t>4</w:t>
      </w:r>
      <w:r w:rsidRPr="00847C98">
        <w:rPr>
          <w:rFonts w:ascii="Adobe Caslon Pro" w:hAnsi="Adobe Caslon Pro"/>
        </w:rPr>
        <w:t xml:space="preserve"> moze byc juz o moim programie</w:t>
      </w:r>
    </w:p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>
        <w:rPr>
          <w:rFonts w:ascii="Adobe Caslon Pro" w:hAnsi="Adobe Caslon Pro"/>
        </w:rPr>
        <w:t xml:space="preserve"> mają także miejsce w systemie komputerowym</w:t>
      </w:r>
      <w:r w:rsidR="006C70B7">
        <w:rPr>
          <w:rFonts w:ascii="Adobe Caslon Pro" w:hAnsi="Adobe Caslon Pro"/>
        </w:rPr>
        <w:t>.</w:t>
      </w:r>
      <w:r w:rsidR="00BF3093">
        <w:rPr>
          <w:rFonts w:ascii="Adobe Caslon Pro" w:hAnsi="Adobe Caslon Pro"/>
        </w:rPr>
        <w:t xml:space="preserve"> 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94631C">
        <w:rPr>
          <w:rFonts w:ascii="Adobe Caslon Pro" w:hAnsi="Adobe Caslon Pro"/>
        </w:rPr>
        <w:t xml:space="preserve"> a.k.a.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A84889" w:rsidRPr="00923191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6C5384" w:rsidRPr="00DE52A1" w:rsidRDefault="006C5384" w:rsidP="00A84889">
      <w:pPr>
        <w:pStyle w:val="Akapitzlist"/>
        <w:ind w:left="1068"/>
        <w:jc w:val="both"/>
        <w:rPr>
          <w:rFonts w:ascii="Adobe Caslon Pro" w:hAnsi="Adobe Caslon Pro"/>
        </w:rPr>
      </w:pP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212A84" w:rsidRDefault="00212A84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lastRenderedPageBreak/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 xml:space="preserve">łymi i zmiennymi jest </w:t>
      </w:r>
      <w:r w:rsidR="00482285">
        <w:rPr>
          <w:rFonts w:ascii="Adobe Caslon Pro" w:hAnsi="Adobe Caslon Pro"/>
        </w:rPr>
        <w:lastRenderedPageBreak/>
        <w:t>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1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1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1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lastRenderedPageBreak/>
        <w:t>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</w:t>
      </w:r>
      <w:r>
        <w:rPr>
          <w:rFonts w:ascii="Adobe Caslon Pro" w:hAnsi="Adobe Caslon Pro"/>
        </w:rPr>
        <w:lastRenderedPageBreak/>
        <w:t xml:space="preserve">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C054B6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C054B6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lastRenderedPageBreak/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1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1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 xml:space="preserve">może nie </w:t>
      </w:r>
      <w:r>
        <w:rPr>
          <w:rFonts w:ascii="Adobe Caslon Pro" w:hAnsi="Adobe Caslon Pro" w:cs="Courier New"/>
        </w:rPr>
        <w:lastRenderedPageBreak/>
        <w:t>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>ędą to sposoby, które zostały zaimplementowane w programie 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</w:t>
      </w:r>
      <w:r w:rsidR="00C457FE">
        <w:rPr>
          <w:rFonts w:ascii="Adobe Caslon Pro" w:hAnsi="Adobe Caslon Pro" w:cs="Courier New"/>
        </w:rPr>
        <w:lastRenderedPageBreak/>
        <w:t xml:space="preserve">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2BA" w:rsidRDefault="007762BA" w:rsidP="001C4617">
      <w:pPr>
        <w:spacing w:after="0" w:line="240" w:lineRule="auto"/>
      </w:pPr>
      <w:r>
        <w:separator/>
      </w:r>
    </w:p>
  </w:endnote>
  <w:endnote w:type="continuationSeparator" w:id="1">
    <w:p w:rsidR="007762BA" w:rsidRDefault="007762BA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2BA" w:rsidRDefault="007762BA" w:rsidP="001C4617">
      <w:pPr>
        <w:spacing w:after="0" w:line="240" w:lineRule="auto"/>
      </w:pPr>
      <w:r>
        <w:separator/>
      </w:r>
    </w:p>
  </w:footnote>
  <w:footnote w:type="continuationSeparator" w:id="1">
    <w:p w:rsidR="007762BA" w:rsidRDefault="007762BA" w:rsidP="001C4617">
      <w:pPr>
        <w:spacing w:after="0" w:line="240" w:lineRule="auto"/>
      </w:pPr>
      <w:r>
        <w:continuationSeparator/>
      </w:r>
    </w:p>
  </w:footnote>
  <w:footnote w:id="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2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3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4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6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8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1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13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14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1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15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E26"/>
    <w:rsid w:val="000108B6"/>
    <w:rsid w:val="00015DAD"/>
    <w:rsid w:val="00020371"/>
    <w:rsid w:val="00020EB3"/>
    <w:rsid w:val="00024336"/>
    <w:rsid w:val="0002439B"/>
    <w:rsid w:val="00035C41"/>
    <w:rsid w:val="00036578"/>
    <w:rsid w:val="000367E3"/>
    <w:rsid w:val="00037522"/>
    <w:rsid w:val="00040F37"/>
    <w:rsid w:val="00046F5B"/>
    <w:rsid w:val="000512AD"/>
    <w:rsid w:val="0005392C"/>
    <w:rsid w:val="00056A83"/>
    <w:rsid w:val="00070039"/>
    <w:rsid w:val="00070599"/>
    <w:rsid w:val="000717A2"/>
    <w:rsid w:val="00074306"/>
    <w:rsid w:val="00075D3D"/>
    <w:rsid w:val="00076A60"/>
    <w:rsid w:val="0007788E"/>
    <w:rsid w:val="00081973"/>
    <w:rsid w:val="000832B9"/>
    <w:rsid w:val="00084DAA"/>
    <w:rsid w:val="00091929"/>
    <w:rsid w:val="000919FE"/>
    <w:rsid w:val="00091E74"/>
    <w:rsid w:val="000A17F5"/>
    <w:rsid w:val="000A23BB"/>
    <w:rsid w:val="000A57CA"/>
    <w:rsid w:val="000B32D8"/>
    <w:rsid w:val="000B5879"/>
    <w:rsid w:val="000C0B3B"/>
    <w:rsid w:val="000C566D"/>
    <w:rsid w:val="000C6399"/>
    <w:rsid w:val="000D0FA3"/>
    <w:rsid w:val="000E5C15"/>
    <w:rsid w:val="000F2355"/>
    <w:rsid w:val="000F75C6"/>
    <w:rsid w:val="00103215"/>
    <w:rsid w:val="00105A2C"/>
    <w:rsid w:val="001070DD"/>
    <w:rsid w:val="0011147C"/>
    <w:rsid w:val="00111C01"/>
    <w:rsid w:val="001158DC"/>
    <w:rsid w:val="001234AF"/>
    <w:rsid w:val="001272F3"/>
    <w:rsid w:val="00133CDE"/>
    <w:rsid w:val="00134CEE"/>
    <w:rsid w:val="0013531A"/>
    <w:rsid w:val="00137F90"/>
    <w:rsid w:val="001477E1"/>
    <w:rsid w:val="00150C2E"/>
    <w:rsid w:val="00151162"/>
    <w:rsid w:val="00152E9C"/>
    <w:rsid w:val="00160E2B"/>
    <w:rsid w:val="00163DB4"/>
    <w:rsid w:val="00164A8F"/>
    <w:rsid w:val="0016790E"/>
    <w:rsid w:val="00167C00"/>
    <w:rsid w:val="0017379A"/>
    <w:rsid w:val="0017435D"/>
    <w:rsid w:val="00174C45"/>
    <w:rsid w:val="001833AB"/>
    <w:rsid w:val="0019227E"/>
    <w:rsid w:val="0019295C"/>
    <w:rsid w:val="00197671"/>
    <w:rsid w:val="001A10A3"/>
    <w:rsid w:val="001A3E91"/>
    <w:rsid w:val="001A54CA"/>
    <w:rsid w:val="001A60A9"/>
    <w:rsid w:val="001B0E48"/>
    <w:rsid w:val="001B3813"/>
    <w:rsid w:val="001C23FB"/>
    <w:rsid w:val="001C4617"/>
    <w:rsid w:val="001D1CE0"/>
    <w:rsid w:val="001D253D"/>
    <w:rsid w:val="001D553D"/>
    <w:rsid w:val="001D6090"/>
    <w:rsid w:val="001D788A"/>
    <w:rsid w:val="001E2566"/>
    <w:rsid w:val="001E358B"/>
    <w:rsid w:val="001E4ED4"/>
    <w:rsid w:val="001E588A"/>
    <w:rsid w:val="001F128F"/>
    <w:rsid w:val="001F18C3"/>
    <w:rsid w:val="001F5602"/>
    <w:rsid w:val="001F73F0"/>
    <w:rsid w:val="00202953"/>
    <w:rsid w:val="00207B5D"/>
    <w:rsid w:val="0021017D"/>
    <w:rsid w:val="00212110"/>
    <w:rsid w:val="00212A84"/>
    <w:rsid w:val="00213F04"/>
    <w:rsid w:val="002259A2"/>
    <w:rsid w:val="002269A4"/>
    <w:rsid w:val="00227BEC"/>
    <w:rsid w:val="002340AE"/>
    <w:rsid w:val="00234143"/>
    <w:rsid w:val="0023529E"/>
    <w:rsid w:val="002406C7"/>
    <w:rsid w:val="00240DC8"/>
    <w:rsid w:val="00253402"/>
    <w:rsid w:val="002559C6"/>
    <w:rsid w:val="00255D99"/>
    <w:rsid w:val="0025782C"/>
    <w:rsid w:val="00264BAE"/>
    <w:rsid w:val="002765C8"/>
    <w:rsid w:val="00281367"/>
    <w:rsid w:val="00284C66"/>
    <w:rsid w:val="00293C28"/>
    <w:rsid w:val="00294248"/>
    <w:rsid w:val="002A100B"/>
    <w:rsid w:val="002A135C"/>
    <w:rsid w:val="002A467A"/>
    <w:rsid w:val="002A6FA4"/>
    <w:rsid w:val="002A7912"/>
    <w:rsid w:val="002B4560"/>
    <w:rsid w:val="002B72B4"/>
    <w:rsid w:val="002C1D42"/>
    <w:rsid w:val="002C2988"/>
    <w:rsid w:val="002D016E"/>
    <w:rsid w:val="002D6CB2"/>
    <w:rsid w:val="002E004F"/>
    <w:rsid w:val="002E314B"/>
    <w:rsid w:val="002E581C"/>
    <w:rsid w:val="002E7C56"/>
    <w:rsid w:val="002F1B33"/>
    <w:rsid w:val="003014AF"/>
    <w:rsid w:val="00301E29"/>
    <w:rsid w:val="003044FD"/>
    <w:rsid w:val="00317FD4"/>
    <w:rsid w:val="00320266"/>
    <w:rsid w:val="0032152D"/>
    <w:rsid w:val="003224BC"/>
    <w:rsid w:val="00325BF7"/>
    <w:rsid w:val="00327BC2"/>
    <w:rsid w:val="003335C2"/>
    <w:rsid w:val="00340CC7"/>
    <w:rsid w:val="00340EFB"/>
    <w:rsid w:val="00343573"/>
    <w:rsid w:val="00344EA6"/>
    <w:rsid w:val="00345884"/>
    <w:rsid w:val="003468BE"/>
    <w:rsid w:val="00347DCD"/>
    <w:rsid w:val="00356DD7"/>
    <w:rsid w:val="003671B6"/>
    <w:rsid w:val="00371120"/>
    <w:rsid w:val="00373A81"/>
    <w:rsid w:val="00375C47"/>
    <w:rsid w:val="00381023"/>
    <w:rsid w:val="00382721"/>
    <w:rsid w:val="00387B7E"/>
    <w:rsid w:val="00392838"/>
    <w:rsid w:val="00392B90"/>
    <w:rsid w:val="003A252E"/>
    <w:rsid w:val="003A284F"/>
    <w:rsid w:val="003A7325"/>
    <w:rsid w:val="003A7D10"/>
    <w:rsid w:val="003B1081"/>
    <w:rsid w:val="003B2F12"/>
    <w:rsid w:val="003B3250"/>
    <w:rsid w:val="003B5662"/>
    <w:rsid w:val="003C16AF"/>
    <w:rsid w:val="003C3779"/>
    <w:rsid w:val="003D3498"/>
    <w:rsid w:val="003D4BA5"/>
    <w:rsid w:val="003E288D"/>
    <w:rsid w:val="003F011F"/>
    <w:rsid w:val="003F0D38"/>
    <w:rsid w:val="00405D02"/>
    <w:rsid w:val="004159C0"/>
    <w:rsid w:val="00416318"/>
    <w:rsid w:val="004200DD"/>
    <w:rsid w:val="0042212B"/>
    <w:rsid w:val="0042413C"/>
    <w:rsid w:val="004256B9"/>
    <w:rsid w:val="0042588C"/>
    <w:rsid w:val="0042767D"/>
    <w:rsid w:val="004277D7"/>
    <w:rsid w:val="00430B9F"/>
    <w:rsid w:val="004314A4"/>
    <w:rsid w:val="00432206"/>
    <w:rsid w:val="00445B1E"/>
    <w:rsid w:val="00445D95"/>
    <w:rsid w:val="004508EC"/>
    <w:rsid w:val="004510A1"/>
    <w:rsid w:val="00453AA0"/>
    <w:rsid w:val="004546B9"/>
    <w:rsid w:val="004546D3"/>
    <w:rsid w:val="00471634"/>
    <w:rsid w:val="00473F10"/>
    <w:rsid w:val="00482285"/>
    <w:rsid w:val="00483D6F"/>
    <w:rsid w:val="00484973"/>
    <w:rsid w:val="0048693E"/>
    <w:rsid w:val="00496D86"/>
    <w:rsid w:val="00496DC6"/>
    <w:rsid w:val="004A3C23"/>
    <w:rsid w:val="004B5B8A"/>
    <w:rsid w:val="004C5D12"/>
    <w:rsid w:val="004C7BDE"/>
    <w:rsid w:val="004D264A"/>
    <w:rsid w:val="004D516A"/>
    <w:rsid w:val="004E476C"/>
    <w:rsid w:val="004E6580"/>
    <w:rsid w:val="004F2E1D"/>
    <w:rsid w:val="004F4A84"/>
    <w:rsid w:val="004F5317"/>
    <w:rsid w:val="00500D90"/>
    <w:rsid w:val="00506238"/>
    <w:rsid w:val="00511FC8"/>
    <w:rsid w:val="00517F32"/>
    <w:rsid w:val="00523BAA"/>
    <w:rsid w:val="00526010"/>
    <w:rsid w:val="0052782B"/>
    <w:rsid w:val="005303DA"/>
    <w:rsid w:val="00540582"/>
    <w:rsid w:val="0054144A"/>
    <w:rsid w:val="00543B20"/>
    <w:rsid w:val="00544E4A"/>
    <w:rsid w:val="00547878"/>
    <w:rsid w:val="00553C6A"/>
    <w:rsid w:val="00564140"/>
    <w:rsid w:val="0056645A"/>
    <w:rsid w:val="00577EC4"/>
    <w:rsid w:val="00583820"/>
    <w:rsid w:val="00584810"/>
    <w:rsid w:val="00584ACD"/>
    <w:rsid w:val="005866A0"/>
    <w:rsid w:val="0059084D"/>
    <w:rsid w:val="00593450"/>
    <w:rsid w:val="00593615"/>
    <w:rsid w:val="00593FCE"/>
    <w:rsid w:val="00596A7B"/>
    <w:rsid w:val="0059795D"/>
    <w:rsid w:val="005A5959"/>
    <w:rsid w:val="005A69C6"/>
    <w:rsid w:val="005A6E8A"/>
    <w:rsid w:val="005B1A25"/>
    <w:rsid w:val="005C1C6C"/>
    <w:rsid w:val="005C4608"/>
    <w:rsid w:val="005C513A"/>
    <w:rsid w:val="005C7F1E"/>
    <w:rsid w:val="005D05FD"/>
    <w:rsid w:val="005D4826"/>
    <w:rsid w:val="005D65E8"/>
    <w:rsid w:val="005E012D"/>
    <w:rsid w:val="005E0ADE"/>
    <w:rsid w:val="005E78BC"/>
    <w:rsid w:val="005F2D16"/>
    <w:rsid w:val="005F612A"/>
    <w:rsid w:val="0060082D"/>
    <w:rsid w:val="00602CCE"/>
    <w:rsid w:val="00613B25"/>
    <w:rsid w:val="006151D0"/>
    <w:rsid w:val="0062651F"/>
    <w:rsid w:val="00643F57"/>
    <w:rsid w:val="00644C55"/>
    <w:rsid w:val="00647BC6"/>
    <w:rsid w:val="00650768"/>
    <w:rsid w:val="00660ED9"/>
    <w:rsid w:val="0067302F"/>
    <w:rsid w:val="00687394"/>
    <w:rsid w:val="00691933"/>
    <w:rsid w:val="00691B90"/>
    <w:rsid w:val="0069215F"/>
    <w:rsid w:val="00692FAD"/>
    <w:rsid w:val="006935AE"/>
    <w:rsid w:val="006A0B4F"/>
    <w:rsid w:val="006A2C8E"/>
    <w:rsid w:val="006A31AE"/>
    <w:rsid w:val="006A38D8"/>
    <w:rsid w:val="006A399B"/>
    <w:rsid w:val="006A4713"/>
    <w:rsid w:val="006B0D18"/>
    <w:rsid w:val="006B212F"/>
    <w:rsid w:val="006B4D97"/>
    <w:rsid w:val="006B7117"/>
    <w:rsid w:val="006B7C03"/>
    <w:rsid w:val="006C067A"/>
    <w:rsid w:val="006C4B70"/>
    <w:rsid w:val="006C5384"/>
    <w:rsid w:val="006C70B7"/>
    <w:rsid w:val="006D2C21"/>
    <w:rsid w:val="006D587D"/>
    <w:rsid w:val="006D7790"/>
    <w:rsid w:val="006D78EE"/>
    <w:rsid w:val="006E2FF8"/>
    <w:rsid w:val="006F48C2"/>
    <w:rsid w:val="0070361E"/>
    <w:rsid w:val="007060CD"/>
    <w:rsid w:val="007133D9"/>
    <w:rsid w:val="0072203C"/>
    <w:rsid w:val="007232D2"/>
    <w:rsid w:val="00724A92"/>
    <w:rsid w:val="00724F17"/>
    <w:rsid w:val="007266EC"/>
    <w:rsid w:val="00726C1C"/>
    <w:rsid w:val="007305F5"/>
    <w:rsid w:val="00733982"/>
    <w:rsid w:val="00737E75"/>
    <w:rsid w:val="00742B99"/>
    <w:rsid w:val="00743D61"/>
    <w:rsid w:val="00752C50"/>
    <w:rsid w:val="00753242"/>
    <w:rsid w:val="00761C0C"/>
    <w:rsid w:val="007626ED"/>
    <w:rsid w:val="007719DF"/>
    <w:rsid w:val="00774414"/>
    <w:rsid w:val="00774C8D"/>
    <w:rsid w:val="007757CB"/>
    <w:rsid w:val="007762BA"/>
    <w:rsid w:val="00786FC4"/>
    <w:rsid w:val="00787821"/>
    <w:rsid w:val="00790615"/>
    <w:rsid w:val="00790C1B"/>
    <w:rsid w:val="0079311C"/>
    <w:rsid w:val="00796FF7"/>
    <w:rsid w:val="007A5BB3"/>
    <w:rsid w:val="007A68E6"/>
    <w:rsid w:val="007A7285"/>
    <w:rsid w:val="007B0DC3"/>
    <w:rsid w:val="007B1146"/>
    <w:rsid w:val="007B1339"/>
    <w:rsid w:val="007B626B"/>
    <w:rsid w:val="007C0682"/>
    <w:rsid w:val="007C2386"/>
    <w:rsid w:val="007D43E9"/>
    <w:rsid w:val="007D730E"/>
    <w:rsid w:val="007E58D6"/>
    <w:rsid w:val="007E76BA"/>
    <w:rsid w:val="007E7B35"/>
    <w:rsid w:val="007E7C11"/>
    <w:rsid w:val="007F192B"/>
    <w:rsid w:val="007F1C0D"/>
    <w:rsid w:val="007F68E7"/>
    <w:rsid w:val="007F72C2"/>
    <w:rsid w:val="00800502"/>
    <w:rsid w:val="00801E20"/>
    <w:rsid w:val="0082172E"/>
    <w:rsid w:val="00823CDF"/>
    <w:rsid w:val="00824774"/>
    <w:rsid w:val="00824BF9"/>
    <w:rsid w:val="008273A9"/>
    <w:rsid w:val="00833DEF"/>
    <w:rsid w:val="00845388"/>
    <w:rsid w:val="00845816"/>
    <w:rsid w:val="00845C1A"/>
    <w:rsid w:val="00845CBB"/>
    <w:rsid w:val="00846116"/>
    <w:rsid w:val="00847C98"/>
    <w:rsid w:val="00852D5B"/>
    <w:rsid w:val="008557B7"/>
    <w:rsid w:val="008576F9"/>
    <w:rsid w:val="00864DC2"/>
    <w:rsid w:val="008679D6"/>
    <w:rsid w:val="008736A3"/>
    <w:rsid w:val="00877CC5"/>
    <w:rsid w:val="00882C53"/>
    <w:rsid w:val="0088621B"/>
    <w:rsid w:val="0088719B"/>
    <w:rsid w:val="0089344C"/>
    <w:rsid w:val="0089767D"/>
    <w:rsid w:val="008A00DA"/>
    <w:rsid w:val="008A6220"/>
    <w:rsid w:val="008A6502"/>
    <w:rsid w:val="008A786D"/>
    <w:rsid w:val="008B75E9"/>
    <w:rsid w:val="008C63BA"/>
    <w:rsid w:val="008D1A35"/>
    <w:rsid w:val="008D7D45"/>
    <w:rsid w:val="008E79A9"/>
    <w:rsid w:val="008F25EA"/>
    <w:rsid w:val="008F72C9"/>
    <w:rsid w:val="00903F4D"/>
    <w:rsid w:val="009134FE"/>
    <w:rsid w:val="00914B16"/>
    <w:rsid w:val="00921967"/>
    <w:rsid w:val="00923191"/>
    <w:rsid w:val="00925456"/>
    <w:rsid w:val="00926377"/>
    <w:rsid w:val="009328E5"/>
    <w:rsid w:val="009330BC"/>
    <w:rsid w:val="009335F2"/>
    <w:rsid w:val="0093451B"/>
    <w:rsid w:val="00937D5A"/>
    <w:rsid w:val="00941BDD"/>
    <w:rsid w:val="00943132"/>
    <w:rsid w:val="00944151"/>
    <w:rsid w:val="009457F1"/>
    <w:rsid w:val="0094631C"/>
    <w:rsid w:val="00947433"/>
    <w:rsid w:val="00947C83"/>
    <w:rsid w:val="009518A9"/>
    <w:rsid w:val="009607D7"/>
    <w:rsid w:val="009622B3"/>
    <w:rsid w:val="00963F19"/>
    <w:rsid w:val="009640C0"/>
    <w:rsid w:val="00970637"/>
    <w:rsid w:val="00976FBB"/>
    <w:rsid w:val="0098768E"/>
    <w:rsid w:val="00990647"/>
    <w:rsid w:val="00992B4D"/>
    <w:rsid w:val="009968C9"/>
    <w:rsid w:val="00997BF6"/>
    <w:rsid w:val="009A20F7"/>
    <w:rsid w:val="009B1103"/>
    <w:rsid w:val="009B1495"/>
    <w:rsid w:val="009B3ACC"/>
    <w:rsid w:val="009C1370"/>
    <w:rsid w:val="009C64C9"/>
    <w:rsid w:val="009D12A8"/>
    <w:rsid w:val="009D438B"/>
    <w:rsid w:val="009D467C"/>
    <w:rsid w:val="009E0480"/>
    <w:rsid w:val="009E09A5"/>
    <w:rsid w:val="009E0C46"/>
    <w:rsid w:val="009E29C9"/>
    <w:rsid w:val="009E3B3D"/>
    <w:rsid w:val="009E4C8E"/>
    <w:rsid w:val="009E66DB"/>
    <w:rsid w:val="00A037B7"/>
    <w:rsid w:val="00A058B8"/>
    <w:rsid w:val="00A05FF2"/>
    <w:rsid w:val="00A06F3E"/>
    <w:rsid w:val="00A06FD1"/>
    <w:rsid w:val="00A074C4"/>
    <w:rsid w:val="00A12D78"/>
    <w:rsid w:val="00A15A82"/>
    <w:rsid w:val="00A2008A"/>
    <w:rsid w:val="00A22E19"/>
    <w:rsid w:val="00A269C1"/>
    <w:rsid w:val="00A30FE8"/>
    <w:rsid w:val="00A3192F"/>
    <w:rsid w:val="00A32A30"/>
    <w:rsid w:val="00A32D96"/>
    <w:rsid w:val="00A35C83"/>
    <w:rsid w:val="00A37B52"/>
    <w:rsid w:val="00A42841"/>
    <w:rsid w:val="00A42922"/>
    <w:rsid w:val="00A442B2"/>
    <w:rsid w:val="00A51FFD"/>
    <w:rsid w:val="00A56376"/>
    <w:rsid w:val="00A62060"/>
    <w:rsid w:val="00A631AB"/>
    <w:rsid w:val="00A666E9"/>
    <w:rsid w:val="00A70151"/>
    <w:rsid w:val="00A74D1E"/>
    <w:rsid w:val="00A807D3"/>
    <w:rsid w:val="00A84889"/>
    <w:rsid w:val="00A86C69"/>
    <w:rsid w:val="00A903AE"/>
    <w:rsid w:val="00A94540"/>
    <w:rsid w:val="00AA05A5"/>
    <w:rsid w:val="00AA0A99"/>
    <w:rsid w:val="00AA14B6"/>
    <w:rsid w:val="00AB3640"/>
    <w:rsid w:val="00AB4383"/>
    <w:rsid w:val="00AB5184"/>
    <w:rsid w:val="00AB6815"/>
    <w:rsid w:val="00AB6B1F"/>
    <w:rsid w:val="00AC3D93"/>
    <w:rsid w:val="00AD17AB"/>
    <w:rsid w:val="00AD363B"/>
    <w:rsid w:val="00AD7DCF"/>
    <w:rsid w:val="00AE128A"/>
    <w:rsid w:val="00B03418"/>
    <w:rsid w:val="00B03C89"/>
    <w:rsid w:val="00B050EA"/>
    <w:rsid w:val="00B060B5"/>
    <w:rsid w:val="00B11F4E"/>
    <w:rsid w:val="00B1259D"/>
    <w:rsid w:val="00B13136"/>
    <w:rsid w:val="00B1570F"/>
    <w:rsid w:val="00B1668A"/>
    <w:rsid w:val="00B171F2"/>
    <w:rsid w:val="00B21B86"/>
    <w:rsid w:val="00B3088C"/>
    <w:rsid w:val="00B31160"/>
    <w:rsid w:val="00B32577"/>
    <w:rsid w:val="00B33BF7"/>
    <w:rsid w:val="00B353C4"/>
    <w:rsid w:val="00B359C6"/>
    <w:rsid w:val="00B37C33"/>
    <w:rsid w:val="00B37EE8"/>
    <w:rsid w:val="00B41BDD"/>
    <w:rsid w:val="00B42609"/>
    <w:rsid w:val="00B50FAB"/>
    <w:rsid w:val="00B52920"/>
    <w:rsid w:val="00B52A58"/>
    <w:rsid w:val="00B60043"/>
    <w:rsid w:val="00B600E1"/>
    <w:rsid w:val="00B657F6"/>
    <w:rsid w:val="00B70DB7"/>
    <w:rsid w:val="00B7524D"/>
    <w:rsid w:val="00B83262"/>
    <w:rsid w:val="00B86352"/>
    <w:rsid w:val="00B95353"/>
    <w:rsid w:val="00B96275"/>
    <w:rsid w:val="00B96585"/>
    <w:rsid w:val="00BA3DA4"/>
    <w:rsid w:val="00BA418F"/>
    <w:rsid w:val="00BA4D21"/>
    <w:rsid w:val="00BB0366"/>
    <w:rsid w:val="00BB6836"/>
    <w:rsid w:val="00BB6E71"/>
    <w:rsid w:val="00BC37C3"/>
    <w:rsid w:val="00BC406A"/>
    <w:rsid w:val="00BD14C3"/>
    <w:rsid w:val="00BD1524"/>
    <w:rsid w:val="00BE04FA"/>
    <w:rsid w:val="00BE1BA8"/>
    <w:rsid w:val="00BE24F1"/>
    <w:rsid w:val="00BE58D5"/>
    <w:rsid w:val="00BF3093"/>
    <w:rsid w:val="00BF3498"/>
    <w:rsid w:val="00BF793B"/>
    <w:rsid w:val="00C0100A"/>
    <w:rsid w:val="00C054B6"/>
    <w:rsid w:val="00C10464"/>
    <w:rsid w:val="00C105C1"/>
    <w:rsid w:val="00C11353"/>
    <w:rsid w:val="00C16637"/>
    <w:rsid w:val="00C21347"/>
    <w:rsid w:val="00C235E8"/>
    <w:rsid w:val="00C25C5F"/>
    <w:rsid w:val="00C25CFD"/>
    <w:rsid w:val="00C324D3"/>
    <w:rsid w:val="00C37436"/>
    <w:rsid w:val="00C4236C"/>
    <w:rsid w:val="00C441C5"/>
    <w:rsid w:val="00C448B0"/>
    <w:rsid w:val="00C457FE"/>
    <w:rsid w:val="00C468DB"/>
    <w:rsid w:val="00C56D95"/>
    <w:rsid w:val="00C61052"/>
    <w:rsid w:val="00C65209"/>
    <w:rsid w:val="00C7772D"/>
    <w:rsid w:val="00C8487D"/>
    <w:rsid w:val="00C84DFD"/>
    <w:rsid w:val="00C86A5F"/>
    <w:rsid w:val="00C92E4E"/>
    <w:rsid w:val="00C973E4"/>
    <w:rsid w:val="00C97DC1"/>
    <w:rsid w:val="00CA18B4"/>
    <w:rsid w:val="00CA324F"/>
    <w:rsid w:val="00CA5071"/>
    <w:rsid w:val="00CA50BD"/>
    <w:rsid w:val="00CA5BD6"/>
    <w:rsid w:val="00CB3103"/>
    <w:rsid w:val="00CB467B"/>
    <w:rsid w:val="00CB6BF6"/>
    <w:rsid w:val="00CC5CF5"/>
    <w:rsid w:val="00CD23A9"/>
    <w:rsid w:val="00CD7C42"/>
    <w:rsid w:val="00D03E16"/>
    <w:rsid w:val="00D0694F"/>
    <w:rsid w:val="00D107C5"/>
    <w:rsid w:val="00D13174"/>
    <w:rsid w:val="00D14763"/>
    <w:rsid w:val="00D26BD3"/>
    <w:rsid w:val="00D30966"/>
    <w:rsid w:val="00D32382"/>
    <w:rsid w:val="00D329E9"/>
    <w:rsid w:val="00D34057"/>
    <w:rsid w:val="00D34894"/>
    <w:rsid w:val="00D3618A"/>
    <w:rsid w:val="00D44B98"/>
    <w:rsid w:val="00D47CC6"/>
    <w:rsid w:val="00D506BC"/>
    <w:rsid w:val="00D52B17"/>
    <w:rsid w:val="00D531E2"/>
    <w:rsid w:val="00D57070"/>
    <w:rsid w:val="00D62F64"/>
    <w:rsid w:val="00D65582"/>
    <w:rsid w:val="00D66669"/>
    <w:rsid w:val="00D74D3B"/>
    <w:rsid w:val="00D75EEE"/>
    <w:rsid w:val="00D761CE"/>
    <w:rsid w:val="00D82A26"/>
    <w:rsid w:val="00D834FE"/>
    <w:rsid w:val="00D86467"/>
    <w:rsid w:val="00D87EAA"/>
    <w:rsid w:val="00D92E44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D7937"/>
    <w:rsid w:val="00DE0582"/>
    <w:rsid w:val="00DE0ED1"/>
    <w:rsid w:val="00DE11D2"/>
    <w:rsid w:val="00DE2DE2"/>
    <w:rsid w:val="00DE2FD4"/>
    <w:rsid w:val="00DE52A1"/>
    <w:rsid w:val="00DE7152"/>
    <w:rsid w:val="00DE7DC4"/>
    <w:rsid w:val="00DF08A7"/>
    <w:rsid w:val="00E00C97"/>
    <w:rsid w:val="00E06918"/>
    <w:rsid w:val="00E07010"/>
    <w:rsid w:val="00E17C22"/>
    <w:rsid w:val="00E211FF"/>
    <w:rsid w:val="00E24154"/>
    <w:rsid w:val="00E25416"/>
    <w:rsid w:val="00E26645"/>
    <w:rsid w:val="00E32E26"/>
    <w:rsid w:val="00E34053"/>
    <w:rsid w:val="00E35C40"/>
    <w:rsid w:val="00E40AF0"/>
    <w:rsid w:val="00E4249B"/>
    <w:rsid w:val="00E442B2"/>
    <w:rsid w:val="00E464DA"/>
    <w:rsid w:val="00E525B3"/>
    <w:rsid w:val="00E731F5"/>
    <w:rsid w:val="00E7472C"/>
    <w:rsid w:val="00E7546B"/>
    <w:rsid w:val="00E76A8B"/>
    <w:rsid w:val="00E81C3A"/>
    <w:rsid w:val="00E84C36"/>
    <w:rsid w:val="00E95640"/>
    <w:rsid w:val="00EA58E5"/>
    <w:rsid w:val="00EC1931"/>
    <w:rsid w:val="00EC54B7"/>
    <w:rsid w:val="00EC56BD"/>
    <w:rsid w:val="00EC68CD"/>
    <w:rsid w:val="00ED0EE1"/>
    <w:rsid w:val="00ED7588"/>
    <w:rsid w:val="00EE01A8"/>
    <w:rsid w:val="00EE456A"/>
    <w:rsid w:val="00EE77C9"/>
    <w:rsid w:val="00EE7AFD"/>
    <w:rsid w:val="00EF75BF"/>
    <w:rsid w:val="00F00040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307B2"/>
    <w:rsid w:val="00F32139"/>
    <w:rsid w:val="00F35EE7"/>
    <w:rsid w:val="00F4285B"/>
    <w:rsid w:val="00F43E15"/>
    <w:rsid w:val="00F51988"/>
    <w:rsid w:val="00F5352A"/>
    <w:rsid w:val="00F53F43"/>
    <w:rsid w:val="00F5541F"/>
    <w:rsid w:val="00F558A3"/>
    <w:rsid w:val="00F57F96"/>
    <w:rsid w:val="00F67F9C"/>
    <w:rsid w:val="00F70148"/>
    <w:rsid w:val="00F82CDC"/>
    <w:rsid w:val="00F86B3A"/>
    <w:rsid w:val="00F9326E"/>
    <w:rsid w:val="00F93BDD"/>
    <w:rsid w:val="00F947EA"/>
    <w:rsid w:val="00F94ACB"/>
    <w:rsid w:val="00FA4347"/>
    <w:rsid w:val="00FA5CDC"/>
    <w:rsid w:val="00FB4201"/>
    <w:rsid w:val="00FC58FF"/>
    <w:rsid w:val="00FC5EE1"/>
    <w:rsid w:val="00FD2320"/>
    <w:rsid w:val="00FD3D94"/>
    <w:rsid w:val="00FE226F"/>
    <w:rsid w:val="00FE3998"/>
    <w:rsid w:val="00FE4B08"/>
    <w:rsid w:val="00FE5393"/>
    <w:rsid w:val="00FE7B68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preendigital.de/2009/09/28/lua-5-1-for-delphi-2010/" TargetMode="External"/><Relationship Id="rId13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bitsavers.org/pdf/ibm/360/os/R01-08/C28-6539-4_OS_JCL_Mar67.pdf" TargetMode="External"/><Relationship Id="rId7" Type="http://schemas.openxmlformats.org/officeDocument/2006/relationships/hyperlink" Target="http://sourceforge.net/projects/luaj/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publib.boulder.ibm.com/infocenter/%20zos/basics/topic/com.ibm.zos.zconcepts/zconcepts_book.pdf" TargetMode="External"/><Relationship Id="rId1" Type="http://schemas.openxmlformats.org/officeDocument/2006/relationships/hyperlink" Target="http://www.mactech.com/articles/mactech/Vol.15/15.09/ScriptingLanguages/index.html" TargetMode="External"/><Relationship Id="rId6" Type="http://schemas.openxmlformats.org/officeDocument/2006/relationships/hyperlink" Target="http://gdmag.com/blog/2012/01/front-line-award-winners.php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c2.com/cgi/wiki?GlueLanguages" TargetMode="External"/><Relationship Id="rId15" Type="http://schemas.openxmlformats.org/officeDocument/2006/relationships/hyperlink" Target="http://www.lua.org/pil/5.1.html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rakudo.org/2010/07/29/rakudo-star-2010-07/" TargetMode="External"/><Relationship Id="rId9" Type="http://schemas.openxmlformats.org/officeDocument/2006/relationships/hyperlink" Target="http://www.jucs.org/jucs_11_7/the_implementation_of_lua/jucs_11_7_1159_1176_defigueiredo.html" TargetMode="External"/><Relationship Id="rId14" Type="http://schemas.openxmlformats.org/officeDocument/2006/relationships/hyperlink" Target="http://www.lua.org/manual/5.2/manua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1</b:RefOrder>
  </b:Source>
</b:Sources>
</file>

<file path=customXml/itemProps1.xml><?xml version="1.0" encoding="utf-8"?>
<ds:datastoreItem xmlns:ds="http://schemas.openxmlformats.org/officeDocument/2006/customXml" ds:itemID="{7FF3C877-22B1-4E20-82B9-57BD867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14</Pages>
  <Words>3041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708</cp:revision>
  <dcterms:created xsi:type="dcterms:W3CDTF">2012-09-12T16:17:00Z</dcterms:created>
  <dcterms:modified xsi:type="dcterms:W3CDTF">2012-09-23T20:51:00Z</dcterms:modified>
</cp:coreProperties>
</file>