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8spvst19grh" w:id="0"/>
      <w:bookmarkEnd w:id="0"/>
      <w:r w:rsidDel="00000000" w:rsidR="00000000" w:rsidRPr="00000000">
        <w:rPr>
          <w:rtl w:val="0"/>
        </w:rPr>
        <w:t xml:space="preserve">CCAR-P Consolidated Question Bank</w:t>
      </w:r>
    </w:p>
    <w:p w:rsidR="00000000" w:rsidDel="00000000" w:rsidP="00000000" w:rsidRDefault="00000000" w:rsidRPr="00000000" w14:paraId="00000002">
      <w:pPr>
        <w:rPr/>
      </w:pPr>
      <w:r w:rsidDel="00000000" w:rsidR="00000000" w:rsidRPr="00000000">
        <w:rPr>
          <w:rtl w:val="0"/>
        </w:rPr>
        <w:t xml:space="preserve">This document serves as a specialized study resource for the Claude Certified Architect Professional (CCAR-P) certification.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Note on Certification Maturity:</w:t>
      </w:r>
      <w:r w:rsidDel="00000000" w:rsidR="00000000" w:rsidRPr="00000000">
        <w:rPr>
          <w:rtl w:val="0"/>
        </w:rPr>
        <w:t xml:space="preserve"> Since the CCAR-P certification is a relatively new offering, having launched around July/August 2026, the ecosystem of study materials is still developing. Currently, there are not 20 distinct websites with comprehensive, validated test dumps. However, the questions provided below have been meticulously collected and synthesized from the top available industry providers and early-access training materials, including DumpsBase, Pass4Success, CertSafari, TutorialsDojo, Preporato, and the ClaudeCertificationGuide.</w:t>
      </w:r>
    </w:p>
    <w:p w:rsidR="00000000" w:rsidDel="00000000" w:rsidP="00000000" w:rsidRDefault="00000000" w:rsidRPr="00000000" w14:paraId="00000005">
      <w:pPr>
        <w:pStyle w:val="Heading1"/>
        <w:rPr/>
      </w:pPr>
      <w:bookmarkStart w:colFirst="0" w:colLast="0" w:name="_jkhdwlafs5iz" w:id="1"/>
      <w:bookmarkEnd w:id="1"/>
      <w:r w:rsidDel="00000000" w:rsidR="00000000" w:rsidRPr="00000000">
        <w:rPr>
          <w:rtl w:val="0"/>
        </w:rPr>
        <w:t xml:space="preserve">Domain 1: Agent Configuration and Tooling</w:t>
      </w:r>
    </w:p>
    <w:p w:rsidR="00000000" w:rsidDel="00000000" w:rsidP="00000000" w:rsidRDefault="00000000" w:rsidRPr="00000000" w14:paraId="00000006">
      <w:pPr>
        <w:rPr/>
      </w:pPr>
      <w:r w:rsidDel="00000000" w:rsidR="00000000" w:rsidRPr="00000000">
        <w:rPr>
          <w:rtl w:val="0"/>
        </w:rPr>
        <w:t xml:space="preserve">Source: DumpsBase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Question 1: You are reviewing a customer-support agent's configuration. Each candidate tool falls into one of four categories: (1) required to complete defined tasks, (2) frequently used and reduces hand-offs, (3) occasionally useful for unrelated work, (4) speculative future utility. Which categories should typically remain in the agent configuration?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Only category 3</w:t>
        <w:br w:type="textWrapping"/>
        <w:t xml:space="preserve">B. Only category 4</w:t>
        <w:br w:type="textWrapping"/>
        <w:t xml:space="preserve">C. Categories 1 and 2 only, because they map to defined tasks and the agent's regular hand-offs.</w:t>
        <w:br w:type="textWrapping"/>
        <w:t xml:space="preserve">D. All four categories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Explanation:</w:t>
      </w:r>
      <w:r w:rsidDel="00000000" w:rsidR="00000000" w:rsidRPr="00000000">
        <w:rPr>
          <w:rtl w:val="0"/>
        </w:rPr>
        <w:t xml:space="preserve"> Capability bloat adds attack surface and context consumption. Tools should map to documented tasks. Categories 3 and 4 create unnecessary capability bloat and potential security risks without immediate operational value.</w:t>
      </w:r>
    </w:p>
    <w:p w:rsidR="00000000" w:rsidDel="00000000" w:rsidP="00000000" w:rsidRDefault="00000000" w:rsidRPr="00000000" w14:paraId="0000000F">
      <w:pPr>
        <w:pStyle w:val="Heading1"/>
        <w:rPr/>
      </w:pPr>
      <w:bookmarkStart w:colFirst="0" w:colLast="0" w:name="_9202o03h5yi8" w:id="2"/>
      <w:bookmarkEnd w:id="2"/>
      <w:r w:rsidDel="00000000" w:rsidR="00000000" w:rsidRPr="00000000">
        <w:rPr>
          <w:rtl w:val="0"/>
        </w:rPr>
        <w:t xml:space="preserve">Domain 2: Governance and Scalability</w:t>
      </w:r>
    </w:p>
    <w:p w:rsidR="00000000" w:rsidDel="00000000" w:rsidP="00000000" w:rsidRDefault="00000000" w:rsidRPr="00000000" w14:paraId="00000010">
      <w:pPr>
        <w:rPr/>
      </w:pPr>
      <w:r w:rsidDel="00000000" w:rsidR="00000000" w:rsidRPr="00000000">
        <w:rPr>
          <w:b w:val="1"/>
          <w:bCs w:val="1"/>
          <w:rtl w:val="0"/>
        </w:rPr>
        <w:t xml:space="preserve">Source: Pass4Success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Question 2:</w:t>
      </w:r>
      <w:r w:rsidDel="00000000" w:rsidR="00000000" w:rsidRPr="00000000">
        <w:rPr>
          <w:rtl w:val="0"/>
        </w:rPr>
        <w:t xml:space="preserve"> Engineering leadership wants to roll out Claude Skills to 280 developers across 14 teams. Skills will encode internal coding standards, code-review checklists, and incident-postmortem templates. Leadership has asked how to govern Skill authorship so that Skills remain trustworthy without bottlenecking on a single central team. Which governance model should you recommend?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Per-developer authorship across the 280 engineers with no team-level coordination required.</w:t>
        <w:br w:type="textWrapping"/>
        <w:t xml:space="preserve">B. Centralized authorship by a single platform team responsible for every Skill produced.</w:t>
        <w:br w:type="textWrapping"/>
        <w:t xml:space="preserve">C. Fully decentralized authorship across the 14 teams with no review before publication.</w:t>
        <w:br w:type="textWrapping"/>
        <w:t xml:space="preserve">D. Federated authorship across the 14 teams with a central review and publication gate.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Answer:</w:t>
      </w:r>
      <w:r w:rsidDel="00000000" w:rsidR="00000000" w:rsidRPr="00000000">
        <w:rPr>
          <w:rtl w:val="0"/>
        </w:rPr>
        <w:t xml:space="preserve"> 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Explanation:</w:t>
      </w:r>
      <w:r w:rsidDel="00000000" w:rsidR="00000000" w:rsidRPr="00000000">
        <w:rPr>
          <w:rtl w:val="0"/>
        </w:rPr>
        <w:t xml:space="preserve"> Federated authorship allows each domain team to maintain procedural knowledge while preserving organization-wide trust through a central publication gate. This balances velocity with standard compliance.</w:t>
      </w:r>
    </w:p>
    <w:p w:rsidR="00000000" w:rsidDel="00000000" w:rsidP="00000000" w:rsidRDefault="00000000" w:rsidRPr="00000000" w14:paraId="00000019">
      <w:pPr>
        <w:pStyle w:val="Heading1"/>
        <w:rPr/>
      </w:pPr>
      <w:bookmarkStart w:colFirst="0" w:colLast="0" w:name="_ayktl3ooif6p" w:id="3"/>
      <w:bookmarkEnd w:id="3"/>
      <w:r w:rsidDel="00000000" w:rsidR="00000000" w:rsidRPr="00000000">
        <w:rPr>
          <w:rtl w:val="0"/>
        </w:rPr>
        <w:t xml:space="preserve">Domain 3: Performance and Cost Optimization</w:t>
      </w:r>
    </w:p>
    <w:p w:rsidR="00000000" w:rsidDel="00000000" w:rsidP="00000000" w:rsidRDefault="00000000" w:rsidRPr="00000000" w14:paraId="0000001A">
      <w:pPr>
        <w:rPr/>
      </w:pPr>
      <w:r w:rsidDel="00000000" w:rsidR="00000000" w:rsidRPr="00000000">
        <w:rPr>
          <w:rtl w:val="0"/>
        </w:rPr>
        <w:t xml:space="preserve">Source: Pass4Success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Question 3: Which sequence of actions will reduce repeated computation without changing the information or model capability used to generate projections involving a 6,000-token static policy preamble and historical sales chunks? (Select TWO).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Reduce the number of historical sales chunks retrieved across each query run.</w:t>
        <w:br w:type="textWrapping"/>
        <w:t xml:space="preserve">B. Truncate the policy preamble to remove non-essential clauses from the prompt.</w:t>
        <w:br w:type="textWrapping"/>
        <w:t xml:space="preserve">C. Enable prompt caching on the static policy preamble across the recurring calls.</w:t>
        <w:br w:type="textWrapping"/>
        <w:t xml:space="preserve">D. Change the model capability configuration.</w:t>
        <w:br w:type="textWrapping"/>
        <w:t xml:space="preserve">E. Cache frequently reused historical-sales chunks in the retrieval layer.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Answer:</w:t>
      </w:r>
      <w:r w:rsidDel="00000000" w:rsidR="00000000" w:rsidRPr="00000000">
        <w:rPr>
          <w:rtl w:val="0"/>
        </w:rPr>
        <w:t xml:space="preserve"> C, 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Explanation:</w:t>
      </w:r>
      <w:r w:rsidDel="00000000" w:rsidR="00000000" w:rsidRPr="00000000">
        <w:rPr>
          <w:rtl w:val="0"/>
        </w:rPr>
        <w:t xml:space="preserve"> Prompt caching the static 6,000-token policy preamble directly addresses the largest cost contributor while preserving the complete instruction set. Caching frequently reused historical-sales chunks in the retrieval layer eliminates redundant work while maintaining the same evidence.</w:t>
      </w:r>
    </w:p>
    <w:p w:rsidR="00000000" w:rsidDel="00000000" w:rsidP="00000000" w:rsidRDefault="00000000" w:rsidRPr="00000000" w14:paraId="00000023">
      <w:pPr>
        <w:pStyle w:val="Heading1"/>
        <w:rPr/>
      </w:pPr>
      <w:bookmarkStart w:colFirst="0" w:colLast="0" w:name="_ub1aov9xzh83" w:id="4"/>
      <w:bookmarkEnd w:id="4"/>
      <w:r w:rsidDel="00000000" w:rsidR="00000000" w:rsidRPr="00000000">
        <w:rPr>
          <w:rtl w:val="0"/>
        </w:rPr>
        <w:t xml:space="preserve">Domain 4: Integration and Retrieval Strategies</w:t>
      </w:r>
    </w:p>
    <w:p w:rsidR="00000000" w:rsidDel="00000000" w:rsidP="00000000" w:rsidRDefault="00000000" w:rsidRPr="00000000" w14:paraId="00000024">
      <w:pPr>
        <w:rPr/>
      </w:pPr>
      <w:r w:rsidDel="00000000" w:rsidR="00000000" w:rsidRPr="00000000">
        <w:rPr>
          <w:b w:val="1"/>
          <w:bCs w:val="1"/>
          <w:rtl w:val="0"/>
        </w:rPr>
        <w:t xml:space="preserve">Source: Synthesized from CertSafari / TutorialsDojo CCAR-P Objectives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Question 4:</w:t>
      </w:r>
      <w:r w:rsidDel="00000000" w:rsidR="00000000" w:rsidRPr="00000000">
        <w:rPr>
          <w:rtl w:val="0"/>
        </w:rPr>
        <w:t xml:space="preserve"> You are designing an enterprise RAG pipeline that deals with a highly variable data shape and query pattern. Which chunking and indexing strategy is most appropriate for a progressive discovery context strategy?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Monolithic context loading for all queries</w:t>
        <w:br w:type="textWrapping"/>
        <w:t xml:space="preserve">B. Semantic chunking with hierarchical indexing</w:t>
        <w:br w:type="textWrapping"/>
        <w:t xml:space="preserve">C. Fixed-size chunking with solely keyword-based indexing</w:t>
        <w:br w:type="textWrapping"/>
        <w:t xml:space="preserve">D. Passing the entire database into the prompt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Explanation:</w:t>
      </w:r>
      <w:r w:rsidDel="00000000" w:rsidR="00000000" w:rsidRPr="00000000">
        <w:rPr>
          <w:rtl w:val="0"/>
        </w:rPr>
        <w:t xml:space="preserve"> According to CCAR-P integration objectives, matching retrieval strategies to data shape and employing progressive discovery over a monolithic context strategy reduces capability bloat and optimizes context window usage, making semantic chunking with hierarchical indexing the best choice.</w:t>
      </w:r>
    </w:p>
    <w:p w:rsidR="00000000" w:rsidDel="00000000" w:rsidP="00000000" w:rsidRDefault="00000000" w:rsidRPr="00000000" w14:paraId="0000002D">
      <w:pPr>
        <w:pStyle w:val="Heading1"/>
        <w:rPr/>
      </w:pPr>
      <w:bookmarkStart w:colFirst="0" w:colLast="0" w:name="_uz4cezuieil" w:id="5"/>
      <w:bookmarkEnd w:id="5"/>
      <w:r w:rsidDel="00000000" w:rsidR="00000000" w:rsidRPr="00000000">
        <w:rPr>
          <w:rtl w:val="0"/>
        </w:rPr>
        <w:t xml:space="preserve">Domain 5: Governance, Safety, and Risk Management</w:t>
      </w:r>
    </w:p>
    <w:p w:rsidR="00000000" w:rsidDel="00000000" w:rsidP="00000000" w:rsidRDefault="00000000" w:rsidRPr="00000000" w14:paraId="0000002E">
      <w:pPr>
        <w:rPr/>
      </w:pPr>
      <w:r w:rsidDel="00000000" w:rsidR="00000000" w:rsidRPr="00000000">
        <w:rPr>
          <w:rtl w:val="0"/>
        </w:rPr>
        <w:t xml:space="preserve">Source: Synthesized from FlashGenius / ClaudeCertificationGuide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Question 5: When designing a Claude-powered application that handles PII and must comply with HIPAA and GDPR regulations, which architecture component is strictly required before passing data to the LLM?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Providing maximum context via the API to improve model reasoning</w:t>
        <w:br w:type="textWrapping"/>
        <w:t xml:space="preserve">B. Implementing guardrails and safety controls for data anonymization and human-in-the-loop validation</w:t>
        <w:br w:type="textWrapping"/>
        <w:t xml:space="preserve">C. Bypassing human-in-the-loop to meet low-latency performance SLAs</w:t>
        <w:br w:type="textWrapping"/>
        <w:t xml:space="preserve">D. Granting speculative tool capabilities in case the LLM needs to cross-reference public records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Answer: B</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Explanation: Under the Governance, Safety &amp; Risk Management domain, the architect must implement guardrails, safety controls, and human-in-the-loop validation to ensure compliance with strict regulations like GDPR and HIPAA, and apply least-privilege tool access.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Outfit" w:cs="Outfit" w:eastAsia="Outfit" w:hAnsi="Outfit"/>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Outfit" w:cs="Outfit" w:eastAsia="Outfit" w:hAnsi="Outfit"/>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288" w:lineRule="auto"/>
    </w:pPr>
    <w:rPr>
      <w:rFonts w:ascii="Outfit" w:cs="Outfit" w:eastAsia="Outfit" w:hAnsi="Outfit"/>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Outfit" w:cs="Outfit" w:eastAsia="Outfit" w:hAnsi="Outfit"/>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Outfit-regular.ttf"/><Relationship Id="rId6"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