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762C0C" w14:textId="77777777" w:rsidR="00D6369E" w:rsidRPr="00D6369E" w:rsidRDefault="00D6369E" w:rsidP="00D6369E">
      <w:pPr>
        <w:rPr>
          <w:b/>
          <w:bCs/>
        </w:rPr>
      </w:pPr>
      <w:r w:rsidRPr="00D6369E">
        <w:rPr>
          <w:b/>
          <w:bCs/>
        </w:rPr>
        <w:t>Errata for "Understanding Cross-Entropy Loss in Logistic Regression" Video</w:t>
      </w:r>
    </w:p>
    <w:p w14:paraId="2984A3B3" w14:textId="77777777" w:rsidR="00D6369E" w:rsidRPr="00D6369E" w:rsidRDefault="00D6369E" w:rsidP="00D6369E">
      <w:pPr>
        <w:rPr>
          <w:b/>
          <w:bCs/>
        </w:rPr>
      </w:pPr>
      <w:r w:rsidRPr="00D6369E">
        <w:rPr>
          <w:b/>
          <w:bCs/>
        </w:rPr>
        <w:t>Video Content Overview:</w:t>
      </w:r>
    </w:p>
    <w:p w14:paraId="6088CD9C" w14:textId="77777777" w:rsidR="00D6369E" w:rsidRPr="00D6369E" w:rsidRDefault="00D6369E" w:rsidP="00D6369E">
      <w:pPr>
        <w:rPr>
          <w:b/>
          <w:bCs/>
        </w:rPr>
      </w:pPr>
      <w:r w:rsidRPr="00D6369E">
        <w:rPr>
          <w:b/>
          <w:bCs/>
        </w:rPr>
        <w:t>Introduction to Cross-Entropy Loss:</w:t>
      </w:r>
    </w:p>
    <w:p w14:paraId="7B44D3BA" w14:textId="77777777" w:rsidR="00D6369E" w:rsidRPr="00D6369E" w:rsidRDefault="00D6369E" w:rsidP="00D6369E">
      <w:r w:rsidRPr="00D6369E">
        <w:t>The video explained why cross-entropy loss is preferable over MSE in classification problems. MSE can lead to poor model performance when used in classification tasks, especially when misclassification is common. Cross-entropy loss offers a more suitable alternative by better capturing the error for classification problems.</w:t>
      </w:r>
    </w:p>
    <w:p w14:paraId="1A7B82A7" w14:textId="77777777" w:rsidR="00D6369E" w:rsidRPr="00D6369E" w:rsidRDefault="00D6369E" w:rsidP="00D6369E">
      <w:pPr>
        <w:rPr>
          <w:b/>
          <w:bCs/>
        </w:rPr>
      </w:pPr>
      <w:r w:rsidRPr="00D6369E">
        <w:rPr>
          <w:b/>
          <w:bCs/>
        </w:rPr>
        <w:t>Maximum Likelihood Estimation (MLE) to Cross-Entropy Loss:</w:t>
      </w:r>
    </w:p>
    <w:p w14:paraId="0F5012B8" w14:textId="77777777" w:rsidR="00D6369E" w:rsidRPr="00D6369E" w:rsidRDefault="00D6369E" w:rsidP="00D6369E">
      <w:r w:rsidRPr="00D6369E">
        <w:t>This section introduced the concept of MLE, which is used to find the parameters that maximize the likelihood of observing the given data. The video demonstrated the derivation of cross-entropy loss from MLE and explained how it becomes the cost function for logistic regression.</w:t>
      </w:r>
    </w:p>
    <w:p w14:paraId="0DEACC5A" w14:textId="77777777" w:rsidR="00D6369E" w:rsidRPr="00D6369E" w:rsidRDefault="00D6369E" w:rsidP="00D6369E">
      <w:pPr>
        <w:rPr>
          <w:b/>
          <w:bCs/>
        </w:rPr>
      </w:pPr>
      <w:r w:rsidRPr="00D6369E">
        <w:rPr>
          <w:b/>
          <w:bCs/>
        </w:rPr>
        <w:t>Challenges with Threshold Functions:</w:t>
      </w:r>
    </w:p>
    <w:p w14:paraId="03AE5252" w14:textId="77777777" w:rsidR="00D6369E" w:rsidRPr="00D6369E" w:rsidRDefault="00D6369E" w:rsidP="00D6369E">
      <w:r w:rsidRPr="00D6369E">
        <w:t>The video addressed the limitations of using threshold functions in classification, particularly highlighting how they can create flat regions in the loss surface. In these flat regions, gradients are very small or zero, which can prevent the model from effectively updating its parameters during training, thus hindering optimization.</w:t>
      </w:r>
    </w:p>
    <w:p w14:paraId="5198BB0D" w14:textId="77777777" w:rsidR="00D6369E" w:rsidRPr="00D6369E" w:rsidRDefault="00D6369E" w:rsidP="00D6369E">
      <w:pPr>
        <w:rPr>
          <w:b/>
          <w:bCs/>
        </w:rPr>
      </w:pPr>
      <w:r w:rsidRPr="00D6369E">
        <w:rPr>
          <w:b/>
          <w:bCs/>
        </w:rPr>
        <w:t>Advantages of Using the Sigmoid Function:</w:t>
      </w:r>
    </w:p>
    <w:p w14:paraId="6B4CC274" w14:textId="77777777" w:rsidR="00D6369E" w:rsidRPr="00D6369E" w:rsidRDefault="00D6369E" w:rsidP="00D6369E">
      <w:r w:rsidRPr="00D6369E">
        <w:t>To overcome the issues with threshold functions, the video introduced the sigmoid function. The sigmoid function creates a smooth curve for the loss function, which ensures that gradient descent can effectively update the model parameters, even in regions that would otherwise be flat using a threshold function.</w:t>
      </w:r>
    </w:p>
    <w:p w14:paraId="7ACCC915" w14:textId="77777777" w:rsidR="00D6369E" w:rsidRPr="00D6369E" w:rsidRDefault="00D6369E" w:rsidP="00D6369E">
      <w:pPr>
        <w:rPr>
          <w:b/>
          <w:bCs/>
        </w:rPr>
      </w:pPr>
      <w:r w:rsidRPr="00D6369E">
        <w:rPr>
          <w:b/>
          <w:bCs/>
        </w:rPr>
        <w:t>Visualizing Loss Surfaces:</w:t>
      </w:r>
    </w:p>
    <w:p w14:paraId="1D4B2F08" w14:textId="77777777" w:rsidR="00D6369E" w:rsidRPr="00D6369E" w:rsidRDefault="00D6369E" w:rsidP="00D6369E">
      <w:r w:rsidRPr="00D6369E">
        <w:t>The video used plots to visually show the difference between loss surfaces using sigmoid versus threshold functions. The sigmoid curve is smoother and avoids the flat regions present with the threshold function. This smoothness allows for more effective training and parameter updates, ultimately leading to better model performance.</w:t>
      </w:r>
    </w:p>
    <w:p w14:paraId="6857F7E2" w14:textId="77777777" w:rsidR="00D6369E" w:rsidRPr="00D6369E" w:rsidRDefault="00D6369E" w:rsidP="00D6369E">
      <w:pPr>
        <w:rPr>
          <w:b/>
          <w:bCs/>
        </w:rPr>
      </w:pPr>
      <w:r w:rsidRPr="00D6369E">
        <w:rPr>
          <w:b/>
          <w:bCs/>
        </w:rPr>
        <w:t xml:space="preserve">Implementing Logistic Regression with Cross-Entropy Loss in </w:t>
      </w:r>
      <w:proofErr w:type="spellStart"/>
      <w:r w:rsidRPr="00D6369E">
        <w:rPr>
          <w:b/>
          <w:bCs/>
        </w:rPr>
        <w:t>PyTorch</w:t>
      </w:r>
      <w:proofErr w:type="spellEnd"/>
      <w:r w:rsidRPr="00D6369E">
        <w:rPr>
          <w:b/>
          <w:bCs/>
        </w:rPr>
        <w:t>:</w:t>
      </w:r>
    </w:p>
    <w:p w14:paraId="11CD78DD" w14:textId="77777777" w:rsidR="00D6369E" w:rsidRPr="00D6369E" w:rsidRDefault="00D6369E" w:rsidP="00D6369E">
      <w:r w:rsidRPr="00D6369E">
        <w:t xml:space="preserve">In the final section, the video covered the practical steps for implementing logistic regression in </w:t>
      </w:r>
      <w:proofErr w:type="spellStart"/>
      <w:r w:rsidRPr="00D6369E">
        <w:t>PyTorch</w:t>
      </w:r>
      <w:proofErr w:type="spellEnd"/>
      <w:r w:rsidRPr="00D6369E">
        <w:t>. This included:</w:t>
      </w:r>
    </w:p>
    <w:p w14:paraId="12A26F02" w14:textId="77777777" w:rsidR="00D6369E" w:rsidRPr="00D6369E" w:rsidRDefault="00D6369E" w:rsidP="00D6369E">
      <w:pPr>
        <w:numPr>
          <w:ilvl w:val="0"/>
          <w:numId w:val="1"/>
        </w:numPr>
      </w:pPr>
      <w:r w:rsidRPr="00D6369E">
        <w:t xml:space="preserve">Creating a logistic regression model using </w:t>
      </w:r>
      <w:proofErr w:type="spellStart"/>
      <w:r w:rsidRPr="00D6369E">
        <w:t>PyTorch's</w:t>
      </w:r>
      <w:proofErr w:type="spellEnd"/>
      <w:r w:rsidRPr="00D6369E">
        <w:t xml:space="preserve"> </w:t>
      </w:r>
      <w:proofErr w:type="spellStart"/>
      <w:proofErr w:type="gramStart"/>
      <w:r w:rsidRPr="00D6369E">
        <w:t>nn.Module</w:t>
      </w:r>
      <w:proofErr w:type="spellEnd"/>
      <w:proofErr w:type="gramEnd"/>
      <w:r w:rsidRPr="00D6369E">
        <w:t>.</w:t>
      </w:r>
    </w:p>
    <w:p w14:paraId="7C896675" w14:textId="77777777" w:rsidR="00D6369E" w:rsidRPr="00D6369E" w:rsidRDefault="00D6369E" w:rsidP="00D6369E">
      <w:pPr>
        <w:numPr>
          <w:ilvl w:val="0"/>
          <w:numId w:val="1"/>
        </w:numPr>
      </w:pPr>
      <w:r w:rsidRPr="00D6369E">
        <w:t>Defining the forward pass to compute predictions using the sigmoid function.</w:t>
      </w:r>
    </w:p>
    <w:p w14:paraId="3E2C8253" w14:textId="77777777" w:rsidR="00D6369E" w:rsidRPr="00D6369E" w:rsidRDefault="00D6369E" w:rsidP="00D6369E">
      <w:pPr>
        <w:numPr>
          <w:ilvl w:val="0"/>
          <w:numId w:val="1"/>
        </w:numPr>
      </w:pPr>
      <w:r w:rsidRPr="00D6369E">
        <w:t xml:space="preserve">Choosing the appropriate loss function (specifically </w:t>
      </w:r>
      <w:proofErr w:type="spellStart"/>
      <w:proofErr w:type="gramStart"/>
      <w:r w:rsidRPr="00D6369E">
        <w:t>nn.BCELoss</w:t>
      </w:r>
      <w:proofErr w:type="spellEnd"/>
      <w:proofErr w:type="gramEnd"/>
      <w:r w:rsidRPr="00D6369E">
        <w:t xml:space="preserve"> for binary classification).</w:t>
      </w:r>
    </w:p>
    <w:p w14:paraId="4C9092AD" w14:textId="77777777" w:rsidR="00D6369E" w:rsidRPr="00D6369E" w:rsidRDefault="00D6369E" w:rsidP="00D6369E">
      <w:pPr>
        <w:numPr>
          <w:ilvl w:val="0"/>
          <w:numId w:val="1"/>
        </w:numPr>
      </w:pPr>
      <w:r w:rsidRPr="00D6369E">
        <w:t>Training the model with stochastic gradient descent (SGD), which updates the parameters based on computed gradients.</w:t>
      </w:r>
    </w:p>
    <w:p w14:paraId="6157DF98" w14:textId="77777777" w:rsidR="00D6369E" w:rsidRPr="00D6369E" w:rsidRDefault="00D6369E" w:rsidP="00D6369E">
      <w:r w:rsidRPr="00D6369E">
        <w:pict w14:anchorId="6C26F447">
          <v:rect id="_x0000_i1031" style="width:0;height:1.5pt" o:hralign="center" o:hrstd="t" o:hr="t" fillcolor="#a0a0a0" stroked="f"/>
        </w:pict>
      </w:r>
    </w:p>
    <w:p w14:paraId="0329C7E1" w14:textId="77777777" w:rsidR="00D6369E" w:rsidRPr="00D6369E" w:rsidRDefault="00D6369E" w:rsidP="00D6369E">
      <w:pPr>
        <w:rPr>
          <w:b/>
          <w:bCs/>
        </w:rPr>
      </w:pPr>
      <w:r w:rsidRPr="00D6369E">
        <w:rPr>
          <w:b/>
          <w:bCs/>
        </w:rPr>
        <w:t>Suggested Corrections and Enhancements:</w:t>
      </w:r>
    </w:p>
    <w:p w14:paraId="74E5A74D" w14:textId="77777777" w:rsidR="00D6369E" w:rsidRPr="00D6369E" w:rsidRDefault="00D6369E" w:rsidP="00D6369E">
      <w:pPr>
        <w:rPr>
          <w:b/>
          <w:bCs/>
        </w:rPr>
      </w:pPr>
      <w:r w:rsidRPr="00D6369E">
        <w:rPr>
          <w:b/>
          <w:bCs/>
        </w:rPr>
        <w:t>Use of Distinct Symbols for Multiplication:</w:t>
      </w:r>
    </w:p>
    <w:p w14:paraId="29502764" w14:textId="77777777" w:rsidR="00D6369E" w:rsidRPr="00D6369E" w:rsidRDefault="00D6369E" w:rsidP="00D6369E">
      <w:r w:rsidRPr="00D6369E">
        <w:lastRenderedPageBreak/>
        <w:t>Throughout the video, the "x" character was used for multiplication. For clarity and consistency, we suggest replacing this "x" with either a dot (</w:t>
      </w:r>
      <w:r w:rsidRPr="00D6369E">
        <w:rPr>
          <w:rFonts w:ascii="Cambria Math" w:hAnsi="Cambria Math" w:cs="Cambria Math"/>
        </w:rPr>
        <w:t>⋅</w:t>
      </w:r>
      <w:r w:rsidRPr="00D6369E">
        <w:t>) or the multiplication sign (</w:t>
      </w:r>
      <w:r w:rsidRPr="00D6369E">
        <w:rPr>
          <w:rFonts w:ascii="Calibri" w:hAnsi="Calibri" w:cs="Calibri"/>
        </w:rPr>
        <w:t>×</w:t>
      </w:r>
      <w:r w:rsidRPr="00D6369E">
        <w:t>). This change will help distinguish multiplication from variable names and other elements in the formulas.</w:t>
      </w:r>
    </w:p>
    <w:p w14:paraId="0303FFD3" w14:textId="77777777" w:rsidR="00D6369E" w:rsidRPr="00D6369E" w:rsidRDefault="00D6369E" w:rsidP="00D6369E">
      <w:pPr>
        <w:rPr>
          <w:b/>
          <w:bCs/>
        </w:rPr>
      </w:pPr>
      <w:r w:rsidRPr="00D6369E">
        <w:rPr>
          <w:b/>
          <w:bCs/>
        </w:rPr>
        <w:t>Consistent Notation:</w:t>
      </w:r>
    </w:p>
    <w:p w14:paraId="4B79E29F" w14:textId="77777777" w:rsidR="00D6369E" w:rsidRPr="00D6369E" w:rsidRDefault="00D6369E" w:rsidP="00D6369E">
      <w:r w:rsidRPr="00D6369E">
        <w:t>In some places, the variable "x" was not consistently formatted. For clarity, "x" should be italicized consistently to avoid confusion with other symbols. Additionally, ensuring distinct symbols for operations (like multiplication) will make the mathematical expressions easier to follow.</w:t>
      </w:r>
    </w:p>
    <w:p w14:paraId="0FA8BC92" w14:textId="77777777" w:rsidR="00926CEF" w:rsidRDefault="00926CEF"/>
    <w:sectPr w:rsidR="00926C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2E4069"/>
    <w:multiLevelType w:val="multilevel"/>
    <w:tmpl w:val="5F2CB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47751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69E"/>
    <w:rsid w:val="001607F7"/>
    <w:rsid w:val="00733105"/>
    <w:rsid w:val="00926CEF"/>
    <w:rsid w:val="00D61DE9"/>
    <w:rsid w:val="00D636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404B32"/>
  <w15:chartTrackingRefBased/>
  <w15:docId w15:val="{7619A618-3DE0-4CD4-A14C-9A7491F8E0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36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636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6369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6369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6369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636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36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36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36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369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6369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6369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6369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6369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636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36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36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369E"/>
    <w:rPr>
      <w:rFonts w:eastAsiaTheme="majorEastAsia" w:cstheme="majorBidi"/>
      <w:color w:val="272727" w:themeColor="text1" w:themeTint="D8"/>
    </w:rPr>
  </w:style>
  <w:style w:type="paragraph" w:styleId="Title">
    <w:name w:val="Title"/>
    <w:basedOn w:val="Normal"/>
    <w:next w:val="Normal"/>
    <w:link w:val="TitleChar"/>
    <w:uiPriority w:val="10"/>
    <w:qFormat/>
    <w:rsid w:val="00D636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36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36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36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369E"/>
    <w:pPr>
      <w:spacing w:before="160"/>
      <w:jc w:val="center"/>
    </w:pPr>
    <w:rPr>
      <w:i/>
      <w:iCs/>
      <w:color w:val="404040" w:themeColor="text1" w:themeTint="BF"/>
    </w:rPr>
  </w:style>
  <w:style w:type="character" w:customStyle="1" w:styleId="QuoteChar">
    <w:name w:val="Quote Char"/>
    <w:basedOn w:val="DefaultParagraphFont"/>
    <w:link w:val="Quote"/>
    <w:uiPriority w:val="29"/>
    <w:rsid w:val="00D6369E"/>
    <w:rPr>
      <w:i/>
      <w:iCs/>
      <w:color w:val="404040" w:themeColor="text1" w:themeTint="BF"/>
    </w:rPr>
  </w:style>
  <w:style w:type="paragraph" w:styleId="ListParagraph">
    <w:name w:val="List Paragraph"/>
    <w:basedOn w:val="Normal"/>
    <w:uiPriority w:val="34"/>
    <w:qFormat/>
    <w:rsid w:val="00D6369E"/>
    <w:pPr>
      <w:ind w:left="720"/>
      <w:contextualSpacing/>
    </w:pPr>
  </w:style>
  <w:style w:type="character" w:styleId="IntenseEmphasis">
    <w:name w:val="Intense Emphasis"/>
    <w:basedOn w:val="DefaultParagraphFont"/>
    <w:uiPriority w:val="21"/>
    <w:qFormat/>
    <w:rsid w:val="00D6369E"/>
    <w:rPr>
      <w:i/>
      <w:iCs/>
      <w:color w:val="2F5496" w:themeColor="accent1" w:themeShade="BF"/>
    </w:rPr>
  </w:style>
  <w:style w:type="paragraph" w:styleId="IntenseQuote">
    <w:name w:val="Intense Quote"/>
    <w:basedOn w:val="Normal"/>
    <w:next w:val="Normal"/>
    <w:link w:val="IntenseQuoteChar"/>
    <w:uiPriority w:val="30"/>
    <w:qFormat/>
    <w:rsid w:val="00D636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6369E"/>
    <w:rPr>
      <w:i/>
      <w:iCs/>
      <w:color w:val="2F5496" w:themeColor="accent1" w:themeShade="BF"/>
    </w:rPr>
  </w:style>
  <w:style w:type="character" w:styleId="IntenseReference">
    <w:name w:val="Intense Reference"/>
    <w:basedOn w:val="DefaultParagraphFont"/>
    <w:uiPriority w:val="32"/>
    <w:qFormat/>
    <w:rsid w:val="00D6369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465</Words>
  <Characters>2651</Characters>
  <Application>Microsoft Office Word</Application>
  <DocSecurity>0</DocSecurity>
  <Lines>22</Lines>
  <Paragraphs>6</Paragraphs>
  <ScaleCrop>false</ScaleCrop>
  <Company/>
  <LinksUpToDate>false</LinksUpToDate>
  <CharactersWithSpaces>3110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Sylvester</dc:creator>
  <cp:keywords/>
  <dc:description/>
  <cp:lastModifiedBy>John Sylvester</cp:lastModifiedBy>
  <cp:revision>1</cp:revision>
  <dcterms:created xsi:type="dcterms:W3CDTF">2025-12-25T15:37:00Z</dcterms:created>
  <dcterms:modified xsi:type="dcterms:W3CDTF">2025-12-25T15:38:00Z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8b5ae8c1-4463-41ef-911b-39221acc45bb</vt:lpwstr>
  </property>
</Properties>
</file>