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8AB9" w14:textId="77777777" w:rsidR="00ED615F" w:rsidRPr="00ED615F" w:rsidRDefault="00ED615F" w:rsidP="00ED615F">
      <w:pPr>
        <w:rPr>
          <w:b/>
          <w:bCs/>
        </w:rPr>
      </w:pPr>
      <w:r w:rsidRPr="00ED615F">
        <w:rPr>
          <w:b/>
          <w:bCs/>
        </w:rPr>
        <w:t>Comparative Analysis of Keras and PyTorch Models</w:t>
      </w:r>
    </w:p>
    <w:p w14:paraId="560ED078" w14:textId="77777777" w:rsidR="00ED615F" w:rsidRPr="00ED615F" w:rsidRDefault="00ED615F" w:rsidP="00ED615F">
      <w:r w:rsidRPr="00ED615F">
        <w:rPr>
          <w:b/>
          <w:bCs/>
        </w:rPr>
        <w:t>Estimated reading time:</w:t>
      </w:r>
      <w:r w:rsidRPr="00ED615F">
        <w:t xml:space="preserve"> 4 minutes</w:t>
      </w:r>
    </w:p>
    <w:p w14:paraId="11606FC7" w14:textId="77777777" w:rsidR="00ED615F" w:rsidRPr="00ED615F" w:rsidRDefault="00ED615F" w:rsidP="00ED615F">
      <w:r w:rsidRPr="00ED615F">
        <w:t>This reading discusses how the performance of deep learning models built using Keras and PyTorch can be compared. It identifies the standardizations required in the dataset, model design, and evaluation metrics to make a fair comparison. It also explains the evaluation metrics used to compare the models.</w:t>
      </w:r>
    </w:p>
    <w:p w14:paraId="3BACD326" w14:textId="77777777" w:rsidR="00ED615F" w:rsidRPr="00ED615F" w:rsidRDefault="00ED615F" w:rsidP="00ED615F">
      <w:pPr>
        <w:rPr>
          <w:b/>
          <w:bCs/>
        </w:rPr>
      </w:pPr>
      <w:r w:rsidRPr="00ED615F">
        <w:rPr>
          <w:b/>
          <w:bCs/>
        </w:rPr>
        <w:t>Learning objectives:</w:t>
      </w:r>
    </w:p>
    <w:p w14:paraId="702D38EF" w14:textId="77777777" w:rsidR="00ED615F" w:rsidRPr="00ED615F" w:rsidRDefault="00ED615F" w:rsidP="00ED615F">
      <w:pPr>
        <w:numPr>
          <w:ilvl w:val="0"/>
          <w:numId w:val="1"/>
        </w:numPr>
      </w:pPr>
      <w:r w:rsidRPr="00ED615F">
        <w:t>Identify the standardizations required in the dataset, model design, and evaluation metrics to make a fair comparison</w:t>
      </w:r>
    </w:p>
    <w:p w14:paraId="11EE2AC1" w14:textId="77777777" w:rsidR="00ED615F" w:rsidRPr="00ED615F" w:rsidRDefault="00ED615F" w:rsidP="00ED615F">
      <w:pPr>
        <w:numPr>
          <w:ilvl w:val="0"/>
          <w:numId w:val="1"/>
        </w:numPr>
      </w:pPr>
      <w:r w:rsidRPr="00ED615F">
        <w:t>Explain the evaluation metrics used to compare the models.</w:t>
      </w:r>
    </w:p>
    <w:p w14:paraId="78EAE063" w14:textId="77777777" w:rsidR="00ED615F" w:rsidRPr="00ED615F" w:rsidRDefault="00ED615F" w:rsidP="00ED615F">
      <w:pPr>
        <w:rPr>
          <w:b/>
          <w:bCs/>
        </w:rPr>
      </w:pPr>
      <w:r w:rsidRPr="00ED615F">
        <w:rPr>
          <w:b/>
          <w:bCs/>
        </w:rPr>
        <w:t>Overview</w:t>
      </w:r>
    </w:p>
    <w:p w14:paraId="65AF3198" w14:textId="77777777" w:rsidR="00ED615F" w:rsidRPr="00ED615F" w:rsidRDefault="00ED615F" w:rsidP="00ED615F">
      <w:r w:rsidRPr="00ED615F">
        <w:t>Both Keras and PyTorch are capable of building and training powerful deep learning models. However, their differences in design philosophy, workflow, and tooling can impact model performance, reproducibility, and deployment. Evaluating the performance of Keras and PyTorch models involves multiple parameters, including overall analysis of speed, resource efficiency, flexibility, ease of use, and the ability to generalize to new data.</w:t>
      </w:r>
    </w:p>
    <w:p w14:paraId="0D0E8956" w14:textId="77777777" w:rsidR="00ED615F" w:rsidRPr="00ED615F" w:rsidRDefault="00ED615F" w:rsidP="00ED615F">
      <w:r w:rsidRPr="00ED615F">
        <w:t>To fairly compare the performance of Keras-based and PyTorch-based convolutional neural network models, you must evaluate both on the same test dataset and use identical metrics such as accuracy, precision, recall, F1 score, and ROC-AUC (receiver operating characteristic area under curve). Ensure that data preprocessing, batch size, and model architecture are matched. Run each model to generate predictions. Then, calculate metrics using true labels. Additionally, you can compare inference speed and resource usage if relevant. This approach ensures that differences in performance are due to the frameworks or implementations, not experimental inconsistencies.</w:t>
      </w:r>
    </w:p>
    <w:p w14:paraId="01B7580D" w14:textId="77777777" w:rsidR="00ED615F" w:rsidRPr="00ED615F" w:rsidRDefault="00ED615F" w:rsidP="00ED615F">
      <w:pPr>
        <w:rPr>
          <w:b/>
          <w:bCs/>
        </w:rPr>
      </w:pPr>
      <w:r w:rsidRPr="00ED615F">
        <w:rPr>
          <w:b/>
          <w:bCs/>
        </w:rPr>
        <w:t>Model design</w:t>
      </w:r>
    </w:p>
    <w:p w14:paraId="71B999DA" w14:textId="77777777" w:rsidR="00ED615F" w:rsidRPr="00ED615F" w:rsidRDefault="00ED615F" w:rsidP="00ED615F">
      <w:pPr>
        <w:numPr>
          <w:ilvl w:val="0"/>
          <w:numId w:val="2"/>
        </w:numPr>
      </w:pPr>
      <w:r w:rsidRPr="00ED615F">
        <w:rPr>
          <w:b/>
          <w:bCs/>
        </w:rPr>
        <w:t>Same dataset splits:</w:t>
      </w:r>
      <w:r w:rsidRPr="00ED615F">
        <w:t xml:space="preserve"> Use identical train/validation/test splits (for example, 80% train and 20% validation split for either of the frameworks).</w:t>
      </w:r>
    </w:p>
    <w:p w14:paraId="785023B3" w14:textId="77777777" w:rsidR="00ED615F" w:rsidRPr="00ED615F" w:rsidRDefault="00ED615F" w:rsidP="00ED615F">
      <w:pPr>
        <w:numPr>
          <w:ilvl w:val="0"/>
          <w:numId w:val="2"/>
        </w:numPr>
      </w:pPr>
      <w:r w:rsidRPr="00ED615F">
        <w:rPr>
          <w:b/>
          <w:bCs/>
        </w:rPr>
        <w:t>Identical model architectures:</w:t>
      </w:r>
      <w:r w:rsidRPr="00ED615F">
        <w:t xml:space="preserve"> Ensure the number, type, and order of layers are the same.</w:t>
      </w:r>
    </w:p>
    <w:p w14:paraId="35768356" w14:textId="77777777" w:rsidR="00ED615F" w:rsidRPr="00ED615F" w:rsidRDefault="00ED615F" w:rsidP="00ED615F">
      <w:pPr>
        <w:numPr>
          <w:ilvl w:val="0"/>
          <w:numId w:val="2"/>
        </w:numPr>
      </w:pPr>
      <w:r w:rsidRPr="00ED615F">
        <w:rPr>
          <w:b/>
          <w:bCs/>
        </w:rPr>
        <w:t>Consistent preprocessing:</w:t>
      </w:r>
      <w:r w:rsidRPr="00ED615F">
        <w:t xml:space="preserve"> Apply the same image resizing, normalization, and augmentation.</w:t>
      </w:r>
    </w:p>
    <w:p w14:paraId="1E995715" w14:textId="77777777" w:rsidR="00ED615F" w:rsidRPr="00ED615F" w:rsidRDefault="00ED615F" w:rsidP="00ED615F">
      <w:pPr>
        <w:numPr>
          <w:ilvl w:val="0"/>
          <w:numId w:val="2"/>
        </w:numPr>
      </w:pPr>
      <w:r w:rsidRPr="00ED615F">
        <w:rPr>
          <w:b/>
          <w:bCs/>
        </w:rPr>
        <w:t>Matching hyperparameters:</w:t>
      </w:r>
      <w:r w:rsidRPr="00ED615F">
        <w:t xml:space="preserve"> Use the same optimizer, learning rate, batch size, and number of epochs.</w:t>
      </w:r>
    </w:p>
    <w:p w14:paraId="7BAE7620" w14:textId="77777777" w:rsidR="00ED615F" w:rsidRPr="00ED615F" w:rsidRDefault="00ED615F" w:rsidP="00ED615F">
      <w:pPr>
        <w:numPr>
          <w:ilvl w:val="0"/>
          <w:numId w:val="2"/>
        </w:numPr>
      </w:pPr>
      <w:r w:rsidRPr="00ED615F">
        <w:rPr>
          <w:b/>
          <w:bCs/>
        </w:rPr>
        <w:t>Fixed random seeds:</w:t>
      </w:r>
      <w:r w:rsidRPr="00ED615F">
        <w:t xml:space="preserve"> Set seeds for all sources of randomness to ensure repeatability.</w:t>
      </w:r>
    </w:p>
    <w:p w14:paraId="6EF69DFC" w14:textId="77777777" w:rsidR="00ED615F" w:rsidRPr="00ED615F" w:rsidRDefault="00ED615F" w:rsidP="00ED615F">
      <w:pPr>
        <w:numPr>
          <w:ilvl w:val="0"/>
          <w:numId w:val="2"/>
        </w:numPr>
      </w:pPr>
      <w:r w:rsidRPr="00ED615F">
        <w:rPr>
          <w:b/>
          <w:bCs/>
        </w:rPr>
        <w:t>Equivalent output activation and loss:</w:t>
      </w:r>
      <w:r w:rsidRPr="00ED615F">
        <w:t xml:space="preserve"> For example, use a sigmoid output with binary cross-entropy for binary classification.</w:t>
      </w:r>
    </w:p>
    <w:p w14:paraId="0617D033" w14:textId="77777777" w:rsidR="00ED615F" w:rsidRPr="00ED615F" w:rsidRDefault="00ED615F" w:rsidP="00ED615F">
      <w:r w:rsidRPr="00ED615F">
        <w:t>By standardizing these factors, any performance differences can be attributed to the frameworks themselves rather than experimental artifacts.</w:t>
      </w:r>
    </w:p>
    <w:p w14:paraId="5A9AED8C" w14:textId="77777777" w:rsidR="00ED615F" w:rsidRPr="00ED615F" w:rsidRDefault="00ED615F" w:rsidP="00ED615F">
      <w:pPr>
        <w:rPr>
          <w:b/>
          <w:bCs/>
        </w:rPr>
      </w:pPr>
      <w:r w:rsidRPr="00ED615F">
        <w:rPr>
          <w:b/>
          <w:bCs/>
        </w:rPr>
        <w:t>Key performance metrics for model predictions and generalization</w:t>
      </w:r>
    </w:p>
    <w:p w14:paraId="0497F678" w14:textId="77777777" w:rsidR="00ED615F" w:rsidRPr="00ED615F" w:rsidRDefault="00ED615F" w:rsidP="00ED615F">
      <w:r w:rsidRPr="00ED615F">
        <w:lastRenderedPageBreak/>
        <w:t>The performance metrics help you understand how well your model predicts outcomes and generalizes to unseen data. Below are the key metrics for evaluating predictive performance and generalization in classification tasks.</w:t>
      </w:r>
    </w:p>
    <w:p w14:paraId="54D70E91" w14:textId="77777777" w:rsidR="00ED615F" w:rsidRPr="00ED615F" w:rsidRDefault="00ED615F" w:rsidP="00ED615F">
      <w:pPr>
        <w:numPr>
          <w:ilvl w:val="0"/>
          <w:numId w:val="3"/>
        </w:numPr>
      </w:pPr>
      <w:r w:rsidRPr="00ED615F">
        <w:rPr>
          <w:b/>
          <w:bCs/>
        </w:rPr>
        <w:t>Accuracy</w:t>
      </w:r>
    </w:p>
    <w:p w14:paraId="5956BAA0" w14:textId="77777777" w:rsidR="00ED615F" w:rsidRPr="00ED615F" w:rsidRDefault="00ED615F" w:rsidP="00ED615F">
      <w:r w:rsidRPr="00ED615F">
        <w:t>Accuracy measures the proportion of correct predictions among all predictions made by the model.</w:t>
      </w:r>
    </w:p>
    <w:p w14:paraId="6F425FD1" w14:textId="77777777" w:rsidR="00ED615F" w:rsidRPr="00ED615F" w:rsidRDefault="00ED615F" w:rsidP="00ED615F">
      <w:r w:rsidRPr="00ED615F">
        <w:t>Accuracy = Number of correct predictions / Total number of predictions</w:t>
      </w:r>
    </w:p>
    <w:p w14:paraId="6062D101" w14:textId="77777777" w:rsidR="00ED615F" w:rsidRPr="00ED615F" w:rsidRDefault="00ED615F" w:rsidP="00ED615F">
      <w:r w:rsidRPr="00ED615F">
        <w:t>A high accuracy shows that the model is predicting the outcome most of the time. However, it can be misleading in imbalanced datasets where one class dominates.</w:t>
      </w:r>
    </w:p>
    <w:p w14:paraId="49F90BC6" w14:textId="77777777" w:rsidR="00ED615F" w:rsidRPr="00ED615F" w:rsidRDefault="00ED615F" w:rsidP="00ED615F">
      <w:pPr>
        <w:numPr>
          <w:ilvl w:val="0"/>
          <w:numId w:val="3"/>
        </w:numPr>
      </w:pPr>
      <w:r w:rsidRPr="00ED615F">
        <w:rPr>
          <w:b/>
          <w:bCs/>
        </w:rPr>
        <w:t>Precision</w:t>
      </w:r>
    </w:p>
    <w:p w14:paraId="724580CB" w14:textId="77777777" w:rsidR="00ED615F" w:rsidRPr="00ED615F" w:rsidRDefault="00ED615F" w:rsidP="00ED615F">
      <w:r w:rsidRPr="00ED615F">
        <w:t>Precision quantifies how many of the positive predictions made by the model are actually correct.</w:t>
      </w:r>
    </w:p>
    <w:p w14:paraId="6F6AF217" w14:textId="77777777" w:rsidR="00ED615F" w:rsidRPr="00ED615F" w:rsidRDefault="00ED615F" w:rsidP="00ED615F">
      <w:r w:rsidRPr="00ED615F">
        <w:t>Precision = True positives / True positives + False positives</w:t>
      </w:r>
    </w:p>
    <w:p w14:paraId="74D6506B" w14:textId="77777777" w:rsidR="00ED615F" w:rsidRPr="00ED615F" w:rsidRDefault="00ED615F" w:rsidP="00ED615F">
      <w:r w:rsidRPr="00ED615F">
        <w:t>A high precision score means that when the model makes a positive prediction, it is usually true. This is especially important when the cost of a false positive is high.</w:t>
      </w:r>
    </w:p>
    <w:p w14:paraId="5CD800A5" w14:textId="77777777" w:rsidR="00ED615F" w:rsidRPr="00ED615F" w:rsidRDefault="00ED615F" w:rsidP="00ED615F">
      <w:pPr>
        <w:numPr>
          <w:ilvl w:val="0"/>
          <w:numId w:val="3"/>
        </w:numPr>
      </w:pPr>
      <w:r w:rsidRPr="00ED615F">
        <w:rPr>
          <w:b/>
          <w:bCs/>
        </w:rPr>
        <w:t>Recall (sensitivity)</w:t>
      </w:r>
    </w:p>
    <w:p w14:paraId="659DA9CF" w14:textId="77777777" w:rsidR="00ED615F" w:rsidRPr="00ED615F" w:rsidRDefault="00ED615F" w:rsidP="00ED615F">
      <w:r w:rsidRPr="00ED615F">
        <w:t>Recall measures the model's ability to identify all relevant positive cases within the dataset.</w:t>
      </w:r>
    </w:p>
    <w:p w14:paraId="6C884B4E" w14:textId="77777777" w:rsidR="00ED615F" w:rsidRPr="00ED615F" w:rsidRDefault="00ED615F" w:rsidP="00ED615F">
      <w:r w:rsidRPr="00ED615F">
        <w:t>Recall = True positives / True positives + False negatives</w:t>
      </w:r>
    </w:p>
    <w:p w14:paraId="43BDD8C3" w14:textId="77777777" w:rsidR="00ED615F" w:rsidRPr="00ED615F" w:rsidRDefault="00ED615F" w:rsidP="00ED615F">
      <w:r w:rsidRPr="00ED615F">
        <w:t>A high recall score shows that the model can identify a majority of the actual positive cases. This is crucial when missing a positive case is costly.</w:t>
      </w:r>
    </w:p>
    <w:p w14:paraId="65317A31" w14:textId="77777777" w:rsidR="00ED615F" w:rsidRPr="00ED615F" w:rsidRDefault="00ED615F" w:rsidP="00ED615F">
      <w:pPr>
        <w:numPr>
          <w:ilvl w:val="0"/>
          <w:numId w:val="3"/>
        </w:numPr>
      </w:pPr>
      <w:r w:rsidRPr="00ED615F">
        <w:rPr>
          <w:b/>
          <w:bCs/>
        </w:rPr>
        <w:t>F1 score</w:t>
      </w:r>
    </w:p>
    <w:p w14:paraId="3629A356" w14:textId="77777777" w:rsidR="00ED615F" w:rsidRPr="00ED615F" w:rsidRDefault="00ED615F" w:rsidP="00ED615F">
      <w:r w:rsidRPr="00ED615F">
        <w:t>The F1 score is the harmonic mean of precision and recall, providing a single metric that balances both.</w:t>
      </w:r>
    </w:p>
    <w:p w14:paraId="766BE58B" w14:textId="77777777" w:rsidR="00ED615F" w:rsidRPr="00ED615F" w:rsidRDefault="00ED615F" w:rsidP="00ED615F">
      <w:r w:rsidRPr="00ED615F">
        <w:t>F1 Score = 2 × Precision × Recall / Precision + Recall</w:t>
      </w:r>
    </w:p>
    <w:p w14:paraId="2451F464" w14:textId="77777777" w:rsidR="00ED615F" w:rsidRPr="00ED615F" w:rsidRDefault="00ED615F" w:rsidP="00ED615F">
      <w:r w:rsidRPr="00ED615F">
        <w:t>It is useful when you need to balance the trade-off between precision and recall, especially in situations with class imbalance.</w:t>
      </w:r>
    </w:p>
    <w:p w14:paraId="77197392" w14:textId="77777777" w:rsidR="00ED615F" w:rsidRPr="00ED615F" w:rsidRDefault="00ED615F" w:rsidP="00ED615F">
      <w:pPr>
        <w:numPr>
          <w:ilvl w:val="0"/>
          <w:numId w:val="3"/>
        </w:numPr>
      </w:pPr>
      <w:r w:rsidRPr="00ED615F">
        <w:rPr>
          <w:b/>
          <w:bCs/>
        </w:rPr>
        <w:t>ROC-AUC (receiver operating characteristic - area under curve)</w:t>
      </w:r>
    </w:p>
    <w:p w14:paraId="2673A0AD" w14:textId="77777777" w:rsidR="00ED615F" w:rsidRPr="00ED615F" w:rsidRDefault="00ED615F" w:rsidP="00ED615F">
      <w:r w:rsidRPr="00ED615F">
        <w:t>ROC-AUC evaluates the model's ability to distinguish between classes across all possible thresholds.</w:t>
      </w:r>
    </w:p>
    <w:p w14:paraId="3CE7D168" w14:textId="77777777" w:rsidR="00ED615F" w:rsidRPr="00ED615F" w:rsidRDefault="00ED615F" w:rsidP="00ED615F">
      <w:r w:rsidRPr="00ED615F">
        <w:t>An ROC-AUC of 1.0 indicates perfect discrimination, whereas 0.5 suggests random guessing. It is especially valuable for imbalanced datasets and when ranking predictions is important.</w:t>
      </w:r>
    </w:p>
    <w:p w14:paraId="24596457" w14:textId="77777777" w:rsidR="00ED615F" w:rsidRPr="00ED615F" w:rsidRDefault="00ED615F" w:rsidP="00ED615F">
      <w:pPr>
        <w:numPr>
          <w:ilvl w:val="0"/>
          <w:numId w:val="3"/>
        </w:numPr>
      </w:pPr>
      <w:r w:rsidRPr="00ED615F">
        <w:rPr>
          <w:b/>
          <w:bCs/>
        </w:rPr>
        <w:t>Confusion matrix</w:t>
      </w:r>
    </w:p>
    <w:p w14:paraId="146B241E" w14:textId="77777777" w:rsidR="00ED615F" w:rsidRPr="00ED615F" w:rsidRDefault="00ED615F" w:rsidP="00ED615F">
      <w:r w:rsidRPr="00ED615F">
        <w:t>A confusion matrix is a table that summarizes the counts of true positives, false positives, true negatives, and false negatives.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1700"/>
        <w:gridCol w:w="1773"/>
      </w:tblGrid>
      <w:tr w:rsidR="00ED615F" w:rsidRPr="00ED615F" w14:paraId="18554384" w14:textId="77777777">
        <w:trPr>
          <w:tblCellSpacing w:w="15" w:type="dxa"/>
        </w:trPr>
        <w:tc>
          <w:tcPr>
            <w:tcW w:w="0" w:type="auto"/>
            <w:vAlign w:val="center"/>
            <w:hideMark/>
          </w:tcPr>
          <w:p w14:paraId="6D554373" w14:textId="77777777" w:rsidR="00ED615F" w:rsidRPr="00ED615F" w:rsidRDefault="00ED615F" w:rsidP="00ED615F">
            <w:r w:rsidRPr="00ED615F">
              <w:rPr>
                <w:b/>
                <w:bCs/>
              </w:rPr>
              <w:t> </w:t>
            </w:r>
          </w:p>
        </w:tc>
        <w:tc>
          <w:tcPr>
            <w:tcW w:w="0" w:type="auto"/>
            <w:vAlign w:val="center"/>
            <w:hideMark/>
          </w:tcPr>
          <w:p w14:paraId="7B098796" w14:textId="77777777" w:rsidR="00ED615F" w:rsidRPr="00ED615F" w:rsidRDefault="00ED615F" w:rsidP="00ED615F">
            <w:r w:rsidRPr="00ED615F">
              <w:rPr>
                <w:b/>
                <w:bCs/>
              </w:rPr>
              <w:t>Predicted positive</w:t>
            </w:r>
          </w:p>
        </w:tc>
        <w:tc>
          <w:tcPr>
            <w:tcW w:w="0" w:type="auto"/>
            <w:vAlign w:val="center"/>
            <w:hideMark/>
          </w:tcPr>
          <w:p w14:paraId="37A38C97" w14:textId="77777777" w:rsidR="00ED615F" w:rsidRPr="00ED615F" w:rsidRDefault="00ED615F" w:rsidP="00ED615F">
            <w:r w:rsidRPr="00ED615F">
              <w:rPr>
                <w:b/>
                <w:bCs/>
              </w:rPr>
              <w:t>Predicted negative</w:t>
            </w:r>
          </w:p>
        </w:tc>
      </w:tr>
      <w:tr w:rsidR="00ED615F" w:rsidRPr="00ED615F" w14:paraId="124A558F" w14:textId="77777777">
        <w:trPr>
          <w:tblCellSpacing w:w="15" w:type="dxa"/>
        </w:trPr>
        <w:tc>
          <w:tcPr>
            <w:tcW w:w="0" w:type="auto"/>
            <w:vAlign w:val="center"/>
            <w:hideMark/>
          </w:tcPr>
          <w:p w14:paraId="1A0BDD72" w14:textId="77777777" w:rsidR="00ED615F" w:rsidRPr="00ED615F" w:rsidRDefault="00ED615F" w:rsidP="00ED615F">
            <w:r w:rsidRPr="00ED615F">
              <w:rPr>
                <w:b/>
                <w:bCs/>
              </w:rPr>
              <w:t>Actual positive</w:t>
            </w:r>
          </w:p>
        </w:tc>
        <w:tc>
          <w:tcPr>
            <w:tcW w:w="0" w:type="auto"/>
            <w:vAlign w:val="center"/>
            <w:hideMark/>
          </w:tcPr>
          <w:p w14:paraId="543B249F" w14:textId="77777777" w:rsidR="00ED615F" w:rsidRPr="00ED615F" w:rsidRDefault="00ED615F" w:rsidP="00ED615F">
            <w:r w:rsidRPr="00ED615F">
              <w:t>True positive (TP)</w:t>
            </w:r>
          </w:p>
        </w:tc>
        <w:tc>
          <w:tcPr>
            <w:tcW w:w="0" w:type="auto"/>
            <w:vAlign w:val="center"/>
            <w:hideMark/>
          </w:tcPr>
          <w:p w14:paraId="7BF8C92A" w14:textId="77777777" w:rsidR="00ED615F" w:rsidRPr="00ED615F" w:rsidRDefault="00ED615F" w:rsidP="00ED615F">
            <w:r w:rsidRPr="00ED615F">
              <w:t>False negative (FN)</w:t>
            </w:r>
          </w:p>
        </w:tc>
      </w:tr>
      <w:tr w:rsidR="00ED615F" w:rsidRPr="00ED615F" w14:paraId="1524FE55" w14:textId="77777777">
        <w:trPr>
          <w:tblCellSpacing w:w="15" w:type="dxa"/>
        </w:trPr>
        <w:tc>
          <w:tcPr>
            <w:tcW w:w="0" w:type="auto"/>
            <w:vAlign w:val="center"/>
            <w:hideMark/>
          </w:tcPr>
          <w:p w14:paraId="48C107D2" w14:textId="77777777" w:rsidR="00ED615F" w:rsidRPr="00ED615F" w:rsidRDefault="00ED615F" w:rsidP="00ED615F">
            <w:r w:rsidRPr="00ED615F">
              <w:rPr>
                <w:b/>
                <w:bCs/>
              </w:rPr>
              <w:lastRenderedPageBreak/>
              <w:t>Actual negative</w:t>
            </w:r>
          </w:p>
        </w:tc>
        <w:tc>
          <w:tcPr>
            <w:tcW w:w="0" w:type="auto"/>
            <w:vAlign w:val="center"/>
            <w:hideMark/>
          </w:tcPr>
          <w:p w14:paraId="3055D7F6" w14:textId="77777777" w:rsidR="00ED615F" w:rsidRPr="00ED615F" w:rsidRDefault="00ED615F" w:rsidP="00ED615F">
            <w:r w:rsidRPr="00ED615F">
              <w:t>False positive (FP)</w:t>
            </w:r>
          </w:p>
        </w:tc>
        <w:tc>
          <w:tcPr>
            <w:tcW w:w="0" w:type="auto"/>
            <w:vAlign w:val="center"/>
            <w:hideMark/>
          </w:tcPr>
          <w:p w14:paraId="684AB595" w14:textId="77777777" w:rsidR="00ED615F" w:rsidRPr="00ED615F" w:rsidRDefault="00ED615F" w:rsidP="00ED615F">
            <w:r w:rsidRPr="00ED615F">
              <w:t>True negative (TN)</w:t>
            </w:r>
          </w:p>
        </w:tc>
      </w:tr>
    </w:tbl>
    <w:p w14:paraId="473DB741" w14:textId="77777777" w:rsidR="00ED615F" w:rsidRPr="00ED615F" w:rsidRDefault="00ED615F" w:rsidP="00ED615F">
      <w:r w:rsidRPr="00ED615F">
        <w:t>It provides a detailed breakdown of model errors and successes, helping diagnose where and how the model is making mistakes.</w:t>
      </w:r>
    </w:p>
    <w:p w14:paraId="25AC112E" w14:textId="77777777" w:rsidR="00ED615F" w:rsidRPr="00ED615F" w:rsidRDefault="00ED615F" w:rsidP="00ED615F">
      <w:pPr>
        <w:rPr>
          <w:b/>
          <w:bCs/>
        </w:rPr>
      </w:pPr>
      <w:r w:rsidRPr="00ED615F">
        <w:rPr>
          <w:b/>
          <w:bCs/>
        </w:rPr>
        <w:t>Practical recommendations</w:t>
      </w:r>
    </w:p>
    <w:p w14:paraId="551BE003" w14:textId="77777777" w:rsidR="00ED615F" w:rsidRPr="00ED615F" w:rsidRDefault="00ED615F" w:rsidP="00ED615F">
      <w:r w:rsidRPr="00ED615F">
        <w:rPr>
          <w:b/>
          <w:bCs/>
        </w:rPr>
        <w:t>For rapid prototyping and deployment:</w:t>
      </w:r>
      <w:r w:rsidRPr="00ED615F">
        <w:t xml:space="preserve"> Keras is often faster to set up and easier to deploy, especially for standard tasks and production environments.</w:t>
      </w:r>
    </w:p>
    <w:p w14:paraId="296DA5D0" w14:textId="77777777" w:rsidR="00ED615F" w:rsidRPr="00ED615F" w:rsidRDefault="00ED615F" w:rsidP="00ED615F">
      <w:r w:rsidRPr="00ED615F">
        <w:rPr>
          <w:b/>
          <w:bCs/>
        </w:rPr>
        <w:t>For exploratory and custom architectures:</w:t>
      </w:r>
      <w:r w:rsidRPr="00ED615F">
        <w:t xml:space="preserve"> PyTorch offers unmatched flexibility and transparency, making it ideal for experimentation and novel model design.</w:t>
      </w:r>
    </w:p>
    <w:p w14:paraId="6E7EE46B" w14:textId="77777777" w:rsidR="00ED615F" w:rsidRPr="00ED615F" w:rsidRDefault="00ED615F" w:rsidP="00ED615F">
      <w:r w:rsidRPr="00ED615F">
        <w:rPr>
          <w:b/>
          <w:bCs/>
        </w:rPr>
        <w:t>For large-scale distributed training:</w:t>
      </w:r>
      <w:r w:rsidRPr="00ED615F">
        <w:t xml:space="preserve"> Both frameworks are capable, but TensorFlow's ecosystem may offer more out-of-the-box solutions for enterprise deployment.</w:t>
      </w:r>
    </w:p>
    <w:p w14:paraId="150DBE22" w14:textId="77777777" w:rsidR="00ED615F" w:rsidRPr="00ED615F" w:rsidRDefault="00ED615F" w:rsidP="00ED615F">
      <w:r w:rsidRPr="00ED615F">
        <w:t>By understanding the strengths and trade-offs of each framework, you can make informed decisions that align with your goals, whether in research, development, or production.</w:t>
      </w:r>
    </w:p>
    <w:p w14:paraId="4B43C923" w14:textId="77777777" w:rsidR="00ED615F" w:rsidRPr="00ED615F" w:rsidRDefault="00ED615F" w:rsidP="00ED615F">
      <w:pPr>
        <w:rPr>
          <w:b/>
          <w:bCs/>
        </w:rPr>
      </w:pPr>
      <w:r w:rsidRPr="00ED615F">
        <w:rPr>
          <w:b/>
          <w:bCs/>
        </w:rPr>
        <w:t>Summary</w:t>
      </w:r>
    </w:p>
    <w:p w14:paraId="028812B1" w14:textId="77777777" w:rsidR="00ED615F" w:rsidRPr="00ED615F" w:rsidRDefault="00ED615F" w:rsidP="00ED615F">
      <w:r w:rsidRPr="00ED615F">
        <w:t>In this reading, you learned that:</w:t>
      </w:r>
    </w:p>
    <w:p w14:paraId="3941D503" w14:textId="77777777" w:rsidR="00ED615F" w:rsidRPr="00ED615F" w:rsidRDefault="00ED615F" w:rsidP="00ED615F">
      <w:pPr>
        <w:numPr>
          <w:ilvl w:val="0"/>
          <w:numId w:val="4"/>
        </w:numPr>
      </w:pPr>
      <w:r w:rsidRPr="00ED615F">
        <w:t>To fairly compare the performance of Keras-based and PyTorch-based models, you must evaluate both on the same test dataset and use identical metrics.</w:t>
      </w:r>
    </w:p>
    <w:p w14:paraId="2D959D39" w14:textId="77777777" w:rsidR="00ED615F" w:rsidRPr="00ED615F" w:rsidRDefault="00ED615F" w:rsidP="00ED615F">
      <w:pPr>
        <w:numPr>
          <w:ilvl w:val="0"/>
          <w:numId w:val="4"/>
        </w:numPr>
      </w:pPr>
      <w:r w:rsidRPr="00ED615F">
        <w:t>When experimental conditions are controlled, both frameworks deliver comparable predictive performance.</w:t>
      </w:r>
    </w:p>
    <w:p w14:paraId="5FBD68F9" w14:textId="77777777" w:rsidR="00ED615F" w:rsidRPr="00ED615F" w:rsidRDefault="00ED615F" w:rsidP="00ED615F">
      <w:pPr>
        <w:numPr>
          <w:ilvl w:val="0"/>
          <w:numId w:val="4"/>
        </w:numPr>
      </w:pPr>
      <w:r w:rsidRPr="00ED615F">
        <w:t>Key performance metrics for model predictions are:</w:t>
      </w:r>
    </w:p>
    <w:p w14:paraId="00710D6D" w14:textId="77777777" w:rsidR="00ED615F" w:rsidRPr="00ED615F" w:rsidRDefault="00ED615F" w:rsidP="00ED615F">
      <w:pPr>
        <w:numPr>
          <w:ilvl w:val="1"/>
          <w:numId w:val="4"/>
        </w:numPr>
      </w:pPr>
      <w:r w:rsidRPr="00ED615F">
        <w:t>Accuracy</w:t>
      </w:r>
    </w:p>
    <w:p w14:paraId="0C1CB078" w14:textId="77777777" w:rsidR="00ED615F" w:rsidRPr="00ED615F" w:rsidRDefault="00ED615F" w:rsidP="00ED615F">
      <w:pPr>
        <w:numPr>
          <w:ilvl w:val="1"/>
          <w:numId w:val="4"/>
        </w:numPr>
      </w:pPr>
      <w:r w:rsidRPr="00ED615F">
        <w:t>Precision</w:t>
      </w:r>
    </w:p>
    <w:p w14:paraId="43AAA2F8" w14:textId="77777777" w:rsidR="00ED615F" w:rsidRPr="00ED615F" w:rsidRDefault="00ED615F" w:rsidP="00ED615F">
      <w:pPr>
        <w:numPr>
          <w:ilvl w:val="1"/>
          <w:numId w:val="4"/>
        </w:numPr>
      </w:pPr>
      <w:r w:rsidRPr="00ED615F">
        <w:t>Recall</w:t>
      </w:r>
    </w:p>
    <w:p w14:paraId="043ACBFE" w14:textId="77777777" w:rsidR="00ED615F" w:rsidRPr="00ED615F" w:rsidRDefault="00ED615F" w:rsidP="00ED615F">
      <w:pPr>
        <w:numPr>
          <w:ilvl w:val="1"/>
          <w:numId w:val="4"/>
        </w:numPr>
      </w:pPr>
      <w:r w:rsidRPr="00ED615F">
        <w:t>F1 score</w:t>
      </w:r>
    </w:p>
    <w:p w14:paraId="5EB07A6E" w14:textId="77777777" w:rsidR="00ED615F" w:rsidRPr="00ED615F" w:rsidRDefault="00ED615F" w:rsidP="00ED615F">
      <w:pPr>
        <w:numPr>
          <w:ilvl w:val="1"/>
          <w:numId w:val="4"/>
        </w:numPr>
      </w:pPr>
      <w:r w:rsidRPr="00ED615F">
        <w:t>ROC-AUC</w:t>
      </w:r>
    </w:p>
    <w:p w14:paraId="3355BFC7" w14:textId="77777777" w:rsidR="00ED615F" w:rsidRPr="00ED615F" w:rsidRDefault="00ED615F" w:rsidP="00ED615F">
      <w:pPr>
        <w:numPr>
          <w:ilvl w:val="1"/>
          <w:numId w:val="4"/>
        </w:numPr>
      </w:pPr>
      <w:r w:rsidRPr="00ED615F">
        <w:t>Confusion matrix</w:t>
      </w:r>
    </w:p>
    <w:p w14:paraId="44903ED5"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4583"/>
    <w:multiLevelType w:val="multilevel"/>
    <w:tmpl w:val="CD4A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DD2E67"/>
    <w:multiLevelType w:val="multilevel"/>
    <w:tmpl w:val="C718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E43969"/>
    <w:multiLevelType w:val="multilevel"/>
    <w:tmpl w:val="566CB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F0194"/>
    <w:multiLevelType w:val="multilevel"/>
    <w:tmpl w:val="85DC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10764">
    <w:abstractNumId w:val="0"/>
  </w:num>
  <w:num w:numId="2" w16cid:durableId="2032871384">
    <w:abstractNumId w:val="3"/>
  </w:num>
  <w:num w:numId="3" w16cid:durableId="898830644">
    <w:abstractNumId w:val="1"/>
  </w:num>
  <w:num w:numId="4" w16cid:durableId="616300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15F"/>
    <w:rsid w:val="00733105"/>
    <w:rsid w:val="00745C47"/>
    <w:rsid w:val="00926CEF"/>
    <w:rsid w:val="00D61DE9"/>
    <w:rsid w:val="00ED6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614D"/>
  <w15:chartTrackingRefBased/>
  <w15:docId w15:val="{F8A366FE-E36E-43DE-B83B-6D566D35A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1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1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1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1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1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1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1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15F"/>
    <w:rPr>
      <w:rFonts w:eastAsiaTheme="majorEastAsia" w:cstheme="majorBidi"/>
      <w:color w:val="272727" w:themeColor="text1" w:themeTint="D8"/>
    </w:rPr>
  </w:style>
  <w:style w:type="paragraph" w:styleId="Title">
    <w:name w:val="Title"/>
    <w:basedOn w:val="Normal"/>
    <w:next w:val="Normal"/>
    <w:link w:val="TitleChar"/>
    <w:uiPriority w:val="10"/>
    <w:qFormat/>
    <w:rsid w:val="00ED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15F"/>
    <w:pPr>
      <w:spacing w:before="160"/>
      <w:jc w:val="center"/>
    </w:pPr>
    <w:rPr>
      <w:i/>
      <w:iCs/>
      <w:color w:val="404040" w:themeColor="text1" w:themeTint="BF"/>
    </w:rPr>
  </w:style>
  <w:style w:type="character" w:customStyle="1" w:styleId="QuoteChar">
    <w:name w:val="Quote Char"/>
    <w:basedOn w:val="DefaultParagraphFont"/>
    <w:link w:val="Quote"/>
    <w:uiPriority w:val="29"/>
    <w:rsid w:val="00ED615F"/>
    <w:rPr>
      <w:i/>
      <w:iCs/>
      <w:color w:val="404040" w:themeColor="text1" w:themeTint="BF"/>
    </w:rPr>
  </w:style>
  <w:style w:type="paragraph" w:styleId="ListParagraph">
    <w:name w:val="List Paragraph"/>
    <w:basedOn w:val="Normal"/>
    <w:uiPriority w:val="34"/>
    <w:qFormat/>
    <w:rsid w:val="00ED615F"/>
    <w:pPr>
      <w:ind w:left="720"/>
      <w:contextualSpacing/>
    </w:pPr>
  </w:style>
  <w:style w:type="character" w:styleId="IntenseEmphasis">
    <w:name w:val="Intense Emphasis"/>
    <w:basedOn w:val="DefaultParagraphFont"/>
    <w:uiPriority w:val="21"/>
    <w:qFormat/>
    <w:rsid w:val="00ED615F"/>
    <w:rPr>
      <w:i/>
      <w:iCs/>
      <w:color w:val="2F5496" w:themeColor="accent1" w:themeShade="BF"/>
    </w:rPr>
  </w:style>
  <w:style w:type="paragraph" w:styleId="IntenseQuote">
    <w:name w:val="Intense Quote"/>
    <w:basedOn w:val="Normal"/>
    <w:next w:val="Normal"/>
    <w:link w:val="IntenseQuoteChar"/>
    <w:uiPriority w:val="30"/>
    <w:qFormat/>
    <w:rsid w:val="00ED6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15F"/>
    <w:rPr>
      <w:i/>
      <w:iCs/>
      <w:color w:val="2F5496" w:themeColor="accent1" w:themeShade="BF"/>
    </w:rPr>
  </w:style>
  <w:style w:type="character" w:styleId="IntenseReference">
    <w:name w:val="Intense Reference"/>
    <w:basedOn w:val="DefaultParagraphFont"/>
    <w:uiPriority w:val="32"/>
    <w:qFormat/>
    <w:rsid w:val="00ED61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884</Words>
  <Characters>5045</Characters>
  <Application>Microsoft Office Word</Application>
  <DocSecurity>0</DocSecurity>
  <Lines>42</Lines>
  <Paragraphs>11</Paragraphs>
  <ScaleCrop>false</ScaleCrop>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2025-12-25T16:39:00Z</dcterms:created>
  <dcterms:modified xsi:type="dcterms:W3CDTF">2025-12-25T16:39:00Z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8242345c-3fcd-41c8-a9a9-c7742f1eef84</vt:lpwstr>
  </property>
</Properties>
</file>