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Power BI Business Intelligence Project</w:t>
      </w:r>
    </w:p>
    <w:p>
      <w:pPr>
        <w:jc w:val="center"/>
      </w:pPr>
      <w:r>
        <w:rPr>
          <w:color w:val="666666"/>
          <w:sz w:val="22"/>
        </w:rPr>
        <w:t>Sales Performance, Profitability &amp; Business Intelligence Dashboard</w:t>
      </w:r>
    </w:p>
    <w:p>
      <w:pPr>
        <w:jc w:val="center"/>
      </w:pPr>
      <w:r>
        <w:rPr>
          <w:b/>
          <w:color w:val="2F75B5"/>
          <w:sz w:val="22"/>
        </w:rPr>
        <w:t>Business Insights Report</w:t>
      </w:r>
    </w:p>
    <w:p>
      <w:pPr>
        <w:pStyle w:val="Heading1"/>
      </w:pPr>
      <w:r>
        <w:t>Executive Summary</w:t>
      </w:r>
    </w:p>
    <w:p>
      <w:r>
        <w:t>The dashboard analyzes sales performance, profitability, customers, products, salespersons, geographic performance, and budget-versus-actual results. Total Sales are ₹25.66M, Gross Profit is ₹8.34M, and Gross Margin is 32.52%. The dashboard records 10,889 orders and 21,078 units, with an Average Order Value of ₹2.36K. Product 63 leads the displayed sales ranking, while Product 28 leads the displayed gross-profit ranking; customer, salesperson, location, and product performance also vary. Recommendations focus on margin review, performance analysis, customer and salesperson targeting, and validation of the budget comparison context.</w:t>
      </w:r>
    </w:p>
    <w:p>
      <w:pPr>
        <w:pStyle w:val="Heading1"/>
      </w:pPr>
      <w:r>
        <w:t>1. Top 5 Findings</w:t>
      </w:r>
    </w:p>
    <w:p>
      <w:r>
        <w:rPr>
          <w:i/>
          <w:color w:val="666666"/>
          <w:sz w:val="17"/>
        </w:rPr>
        <w:t>Evidence = factual dashboard values. Business Interpretation = analyst interpretation.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7365D"/>
          </w:tcPr>
          <w:p>
            <w:pPr>
              <w:spacing w:after="0"/>
            </w:pPr>
            <w:r/>
            <w:r>
              <w:rPr>
                <w:rFonts w:ascii="Aptos" w:hAnsi="Aptos"/>
                <w:b/>
                <w:color w:val="FFFFFF"/>
                <w:sz w:val="16"/>
              </w:rPr>
              <w:t>#</w:t>
            </w:r>
          </w:p>
        </w:tc>
        <w:tc>
          <w:tcPr>
            <w:tcW w:type="dxa" w:w="2664"/>
            <w:vAlign w:val="center"/>
            <w:shd w:fill="17365D"/>
          </w:tcPr>
          <w:p>
            <w:pPr>
              <w:spacing w:after="0"/>
            </w:pPr>
            <w:r/>
            <w:r>
              <w:rPr>
                <w:rFonts w:ascii="Aptos" w:hAnsi="Aptos"/>
                <w:b/>
                <w:color w:val="FFFFFF"/>
                <w:sz w:val="16"/>
              </w:rPr>
              <w:t>Finding</w:t>
            </w:r>
          </w:p>
        </w:tc>
        <w:tc>
          <w:tcPr>
            <w:tcW w:type="dxa" w:w="2664"/>
            <w:vAlign w:val="center"/>
            <w:shd w:fill="17365D"/>
          </w:tcPr>
          <w:p>
            <w:pPr>
              <w:spacing w:after="0"/>
            </w:pPr>
            <w:r/>
            <w:r>
              <w:rPr>
                <w:rFonts w:ascii="Aptos" w:hAnsi="Aptos"/>
                <w:b/>
                <w:color w:val="FFFFFF"/>
                <w:sz w:val="16"/>
              </w:rPr>
              <w:t>Evidence / Metric</w:t>
            </w:r>
          </w:p>
        </w:tc>
        <w:tc>
          <w:tcPr>
            <w:tcW w:type="dxa" w:w="2664"/>
            <w:vAlign w:val="center"/>
            <w:shd w:fill="17365D"/>
          </w:tcPr>
          <w:p>
            <w:pPr>
              <w:spacing w:after="0"/>
            </w:pPr>
            <w:r/>
            <w:r>
              <w:rPr>
                <w:rFonts w:ascii="Aptos" w:hAnsi="Aptos"/>
                <w:b/>
                <w:color w:val="FFFFFF"/>
                <w:sz w:val="16"/>
              </w:rPr>
              <w:t>Business Interpretation</w:t>
            </w:r>
          </w:p>
        </w:tc>
      </w:tr>
      <w:tr>
        <w:tc>
          <w:tcPr>
            <w:tcW w:type="dxa" w:w="2664"/>
            <w:vAlign w:val="center"/>
          </w:tcPr>
          <w:p>
            <w:pPr>
              <w:spacing w:after="0"/>
            </w:pPr>
            <w:r/>
            <w:r>
              <w:rPr>
                <w:rFonts w:ascii="Aptos" w:hAnsi="Aptos"/>
                <w:b w:val="0"/>
                <w:sz w:val="16"/>
              </w:rPr>
              <w:t>1</w:t>
            </w:r>
          </w:p>
        </w:tc>
        <w:tc>
          <w:tcPr>
            <w:tcW w:type="dxa" w:w="2664"/>
            <w:vAlign w:val="center"/>
          </w:tcPr>
          <w:p>
            <w:pPr>
              <w:spacing w:after="0"/>
            </w:pPr>
            <w:r/>
            <w:r>
              <w:rPr>
                <w:rFonts w:ascii="Aptos" w:hAnsi="Aptos"/>
                <w:b w:val="0"/>
                <w:sz w:val="16"/>
              </w:rPr>
              <w:t>Sales performance</w:t>
            </w:r>
          </w:p>
        </w:tc>
        <w:tc>
          <w:tcPr>
            <w:tcW w:type="dxa" w:w="2664"/>
            <w:vAlign w:val="center"/>
          </w:tcPr>
          <w:p>
            <w:pPr>
              <w:spacing w:after="0"/>
            </w:pPr>
            <w:r/>
            <w:r>
              <w:rPr>
                <w:rFonts w:ascii="Aptos" w:hAnsi="Aptos"/>
                <w:b w:val="0"/>
                <w:sz w:val="16"/>
              </w:rPr>
              <w:t>Total Sales: ₹25.66M; Total Orders: 10,889; Total Quantity: 21,078.</w:t>
            </w:r>
          </w:p>
        </w:tc>
        <w:tc>
          <w:tcPr>
            <w:tcW w:type="dxa" w:w="2664"/>
            <w:vAlign w:val="center"/>
          </w:tcPr>
          <w:p>
            <w:pPr>
              <w:spacing w:after="0"/>
            </w:pPr>
            <w:r/>
            <w:r>
              <w:rPr>
                <w:rFonts w:ascii="Aptos" w:hAnsi="Aptos"/>
                <w:b w:val="0"/>
                <w:sz w:val="16"/>
              </w:rPr>
              <w:t>The dashboard indicates substantial transaction volume and revenue across the modeled sales data.</w:t>
            </w:r>
          </w:p>
        </w:tc>
      </w:tr>
      <w:tr>
        <w:tc>
          <w:tcPr>
            <w:tcW w:type="dxa" w:w="2664"/>
            <w:vAlign w:val="center"/>
          </w:tcPr>
          <w:p>
            <w:pPr>
              <w:spacing w:after="0"/>
            </w:pPr>
            <w:r/>
            <w:r>
              <w:rPr>
                <w:rFonts w:ascii="Aptos" w:hAnsi="Aptos"/>
                <w:b w:val="0"/>
                <w:sz w:val="16"/>
              </w:rPr>
              <w:t>2</w:t>
            </w:r>
          </w:p>
        </w:tc>
        <w:tc>
          <w:tcPr>
            <w:tcW w:type="dxa" w:w="2664"/>
            <w:vAlign w:val="center"/>
          </w:tcPr>
          <w:p>
            <w:pPr>
              <w:spacing w:after="0"/>
            </w:pPr>
            <w:r/>
            <w:r>
              <w:rPr>
                <w:rFonts w:ascii="Aptos" w:hAnsi="Aptos"/>
                <w:b w:val="0"/>
                <w:sz w:val="16"/>
              </w:rPr>
              <w:t>Profitability</w:t>
            </w:r>
          </w:p>
        </w:tc>
        <w:tc>
          <w:tcPr>
            <w:tcW w:type="dxa" w:w="2664"/>
            <w:vAlign w:val="center"/>
          </w:tcPr>
          <w:p>
            <w:pPr>
              <w:spacing w:after="0"/>
            </w:pPr>
            <w:r/>
            <w:r>
              <w:rPr>
                <w:rFonts w:ascii="Aptos" w:hAnsi="Aptos"/>
                <w:b w:val="0"/>
                <w:sz w:val="16"/>
              </w:rPr>
              <w:t>Gross Profit: ₹8.34M; Gross Margin: 32.52%.</w:t>
            </w:r>
          </w:p>
        </w:tc>
        <w:tc>
          <w:tcPr>
            <w:tcW w:type="dxa" w:w="2664"/>
            <w:vAlign w:val="center"/>
          </w:tcPr>
          <w:p>
            <w:pPr>
              <w:spacing w:after="0"/>
            </w:pPr>
            <w:r/>
            <w:r>
              <w:rPr>
                <w:rFonts w:ascii="Aptos" w:hAnsi="Aptos"/>
                <w:b w:val="0"/>
                <w:sz w:val="16"/>
              </w:rPr>
              <w:t>Interpretation: profitability should be monitored alongside revenue.</w:t>
            </w:r>
          </w:p>
        </w:tc>
      </w:tr>
      <w:tr>
        <w:tc>
          <w:tcPr>
            <w:tcW w:type="dxa" w:w="2664"/>
            <w:vAlign w:val="center"/>
          </w:tcPr>
          <w:p>
            <w:pPr>
              <w:spacing w:after="0"/>
            </w:pPr>
            <w:r/>
            <w:r>
              <w:rPr>
                <w:rFonts w:ascii="Aptos" w:hAnsi="Aptos"/>
                <w:b w:val="0"/>
                <w:sz w:val="16"/>
              </w:rPr>
              <w:t>3</w:t>
            </w:r>
          </w:p>
        </w:tc>
        <w:tc>
          <w:tcPr>
            <w:tcW w:type="dxa" w:w="2664"/>
            <w:vAlign w:val="center"/>
          </w:tcPr>
          <w:p>
            <w:pPr>
              <w:spacing w:after="0"/>
            </w:pPr>
            <w:r/>
            <w:r>
              <w:rPr>
                <w:rFonts w:ascii="Aptos" w:hAnsi="Aptos"/>
                <w:b w:val="0"/>
                <w:sz w:val="16"/>
              </w:rPr>
              <w:t>Product performance</w:t>
            </w:r>
          </w:p>
        </w:tc>
        <w:tc>
          <w:tcPr>
            <w:tcW w:type="dxa" w:w="2664"/>
            <w:vAlign w:val="center"/>
          </w:tcPr>
          <w:p>
            <w:pPr>
              <w:spacing w:after="0"/>
            </w:pPr>
            <w:r/>
            <w:r>
              <w:rPr>
                <w:rFonts w:ascii="Aptos" w:hAnsi="Aptos"/>
                <w:b w:val="0"/>
                <w:sz w:val="16"/>
              </w:rPr>
              <w:t>Product 63: ₹628,320 sales; Product 28: ₹604,274 sales and ₹247,808 gross profit.</w:t>
            </w:r>
          </w:p>
        </w:tc>
        <w:tc>
          <w:tcPr>
            <w:tcW w:type="dxa" w:w="2664"/>
            <w:vAlign w:val="center"/>
          </w:tcPr>
          <w:p>
            <w:pPr>
              <w:spacing w:after="0"/>
            </w:pPr>
            <w:r/>
            <w:r>
              <w:rPr>
                <w:rFonts w:ascii="Aptos" w:hAnsi="Aptos"/>
                <w:b w:val="0"/>
                <w:sz w:val="16"/>
              </w:rPr>
              <w:t>Interpretation: the sales leader and gross-profit leader differ, so revenue and profitability should be evaluated separately.</w:t>
            </w:r>
          </w:p>
        </w:tc>
      </w:tr>
      <w:tr>
        <w:tc>
          <w:tcPr>
            <w:tcW w:type="dxa" w:w="2664"/>
            <w:vAlign w:val="center"/>
          </w:tcPr>
          <w:p>
            <w:pPr>
              <w:spacing w:after="0"/>
            </w:pPr>
            <w:r/>
            <w:r>
              <w:rPr>
                <w:rFonts w:ascii="Aptos" w:hAnsi="Aptos"/>
                <w:b w:val="0"/>
                <w:sz w:val="16"/>
              </w:rPr>
              <w:t>4</w:t>
            </w:r>
          </w:p>
        </w:tc>
        <w:tc>
          <w:tcPr>
            <w:tcW w:type="dxa" w:w="2664"/>
            <w:vAlign w:val="center"/>
          </w:tcPr>
          <w:p>
            <w:pPr>
              <w:spacing w:after="0"/>
            </w:pPr>
            <w:r/>
            <w:r>
              <w:rPr>
                <w:rFonts w:ascii="Aptos" w:hAnsi="Aptos"/>
                <w:b w:val="0"/>
                <w:sz w:val="16"/>
              </w:rPr>
              <w:t>Customer &amp; salesperson performance</w:t>
            </w:r>
          </w:p>
        </w:tc>
        <w:tc>
          <w:tcPr>
            <w:tcW w:type="dxa" w:w="2664"/>
            <w:vAlign w:val="center"/>
          </w:tcPr>
          <w:p>
            <w:pPr>
              <w:spacing w:after="0"/>
            </w:pPr>
            <w:r/>
            <w:r>
              <w:rPr>
                <w:rFonts w:ascii="Aptos" w:hAnsi="Aptos"/>
                <w:b w:val="0"/>
                <w:sz w:val="16"/>
              </w:rPr>
              <w:t>801 unique customers; Jesse Hill: ₹171,261 sales. Kenneth Bradley: ₹678,815 sales.</w:t>
            </w:r>
          </w:p>
        </w:tc>
        <w:tc>
          <w:tcPr>
            <w:tcW w:type="dxa" w:w="2664"/>
            <w:vAlign w:val="center"/>
          </w:tcPr>
          <w:p>
            <w:pPr>
              <w:spacing w:after="0"/>
            </w:pPr>
            <w:r/>
            <w:r>
              <w:rPr>
                <w:rFonts w:ascii="Aptos" w:hAnsi="Aptos"/>
                <w:b w:val="0"/>
                <w:sz w:val="16"/>
              </w:rPr>
              <w:t>Interpretation: performance varies across customers and salespersons, supporting targeted analysis.</w:t>
            </w:r>
          </w:p>
        </w:tc>
      </w:tr>
      <w:tr>
        <w:tc>
          <w:tcPr>
            <w:tcW w:type="dxa" w:w="2664"/>
            <w:vAlign w:val="center"/>
          </w:tcPr>
          <w:p>
            <w:pPr>
              <w:spacing w:after="0"/>
            </w:pPr>
            <w:r/>
            <w:r>
              <w:rPr>
                <w:rFonts w:ascii="Aptos" w:hAnsi="Aptos"/>
                <w:b w:val="0"/>
                <w:sz w:val="16"/>
              </w:rPr>
              <w:t>5</w:t>
            </w:r>
          </w:p>
        </w:tc>
        <w:tc>
          <w:tcPr>
            <w:tcW w:type="dxa" w:w="2664"/>
            <w:vAlign w:val="center"/>
          </w:tcPr>
          <w:p>
            <w:pPr>
              <w:spacing w:after="0"/>
            </w:pPr>
            <w:r/>
            <w:r>
              <w:rPr>
                <w:rFonts w:ascii="Aptos" w:hAnsi="Aptos"/>
                <w:b w:val="0"/>
                <w:sz w:val="16"/>
              </w:rPr>
              <w:t>Geography &amp; budget</w:t>
            </w:r>
          </w:p>
        </w:tc>
        <w:tc>
          <w:tcPr>
            <w:tcW w:type="dxa" w:w="2664"/>
            <w:vAlign w:val="center"/>
          </w:tcPr>
          <w:p>
            <w:pPr>
              <w:spacing w:after="0"/>
            </w:pPr>
            <w:r/>
            <w:r>
              <w:rPr>
                <w:rFonts w:ascii="Aptos" w:hAnsi="Aptos"/>
                <w:b w:val="0"/>
                <w:sz w:val="16"/>
              </w:rPr>
              <w:t>California is the displayed state; Budget ₹4.23M, Actual Sales ₹25.66M, Variance ₹21.43M, Achievement 605.99%.</w:t>
            </w:r>
          </w:p>
        </w:tc>
        <w:tc>
          <w:tcPr>
            <w:tcW w:type="dxa" w:w="2664"/>
            <w:vAlign w:val="center"/>
          </w:tcPr>
          <w:p>
            <w:pPr>
              <w:spacing w:after="0"/>
            </w:pPr>
            <w:r/>
            <w:r>
              <w:rPr>
                <w:rFonts w:ascii="Aptos" w:hAnsi="Aptos"/>
                <w:b w:val="0"/>
                <w:sz w:val="16"/>
              </w:rPr>
              <w:t>Interpretation: the modeled budget comparison is materially different from actual sales and should be reviewed with its period/allocation context.</w:t>
            </w:r>
          </w:p>
        </w:tc>
      </w:tr>
    </w:tbl>
    <w:p>
      <w:pPr>
        <w:spacing w:after="0"/>
      </w:pPr>
    </w:p>
    <w:p>
      <w:pPr>
        <w:pStyle w:val="Heading1"/>
      </w:pPr>
      <w:r>
        <w:t>2. Top 5 Business Problems Identified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7365D"/>
          </w:tcPr>
          <w:p>
            <w:pPr>
              <w:spacing w:after="0"/>
            </w:pPr>
            <w:r/>
            <w:r>
              <w:rPr>
                <w:rFonts w:ascii="Aptos" w:hAnsi="Aptos"/>
                <w:b/>
                <w:color w:val="FFFFFF"/>
                <w:sz w:val="16"/>
              </w:rPr>
              <w:t>#</w:t>
            </w:r>
          </w:p>
        </w:tc>
        <w:tc>
          <w:tcPr>
            <w:tcW w:type="dxa" w:w="2664"/>
            <w:vAlign w:val="center"/>
            <w:shd w:fill="17365D"/>
          </w:tcPr>
          <w:p>
            <w:pPr>
              <w:spacing w:after="0"/>
            </w:pPr>
            <w:r/>
            <w:r>
              <w:rPr>
                <w:rFonts w:ascii="Aptos" w:hAnsi="Aptos"/>
                <w:b/>
                <w:color w:val="FFFFFF"/>
                <w:sz w:val="16"/>
              </w:rPr>
              <w:t>Business Problem</w:t>
            </w:r>
          </w:p>
        </w:tc>
        <w:tc>
          <w:tcPr>
            <w:tcW w:type="dxa" w:w="2664"/>
            <w:vAlign w:val="center"/>
            <w:shd w:fill="17365D"/>
          </w:tcPr>
          <w:p>
            <w:pPr>
              <w:spacing w:after="0"/>
            </w:pPr>
            <w:r/>
            <w:r>
              <w:rPr>
                <w:rFonts w:ascii="Aptos" w:hAnsi="Aptos"/>
                <w:b/>
                <w:color w:val="FFFFFF"/>
                <w:sz w:val="16"/>
              </w:rPr>
              <w:t>Evidence</w:t>
            </w:r>
          </w:p>
        </w:tc>
        <w:tc>
          <w:tcPr>
            <w:tcW w:type="dxa" w:w="2664"/>
            <w:vAlign w:val="center"/>
            <w:shd w:fill="17365D"/>
          </w:tcPr>
          <w:p>
            <w:pPr>
              <w:spacing w:after="0"/>
            </w:pPr>
            <w:r/>
            <w:r>
              <w:rPr>
                <w:rFonts w:ascii="Aptos" w:hAnsi="Aptos"/>
                <w:b/>
                <w:color w:val="FFFFFF"/>
                <w:sz w:val="16"/>
              </w:rPr>
              <w:t>Business Impact</w:t>
            </w:r>
          </w:p>
        </w:tc>
      </w:tr>
      <w:tr>
        <w:tc>
          <w:tcPr>
            <w:tcW w:type="dxa" w:w="2664"/>
            <w:vAlign w:val="center"/>
          </w:tcPr>
          <w:p>
            <w:pPr>
              <w:spacing w:after="0"/>
            </w:pPr>
            <w:r/>
            <w:r>
              <w:rPr>
                <w:rFonts w:ascii="Aptos" w:hAnsi="Aptos"/>
                <w:b w:val="0"/>
                <w:sz w:val="16"/>
              </w:rPr>
              <w:t>1</w:t>
            </w:r>
          </w:p>
        </w:tc>
        <w:tc>
          <w:tcPr>
            <w:tcW w:type="dxa" w:w="2664"/>
            <w:vAlign w:val="center"/>
          </w:tcPr>
          <w:p>
            <w:pPr>
              <w:spacing w:after="0"/>
            </w:pPr>
            <w:r/>
            <w:r>
              <w:rPr>
                <w:rFonts w:ascii="Aptos" w:hAnsi="Aptos"/>
                <w:b w:val="0"/>
                <w:sz w:val="16"/>
              </w:rPr>
              <w:t>Product profitability differences</w:t>
            </w:r>
          </w:p>
        </w:tc>
        <w:tc>
          <w:tcPr>
            <w:tcW w:type="dxa" w:w="2664"/>
            <w:vAlign w:val="center"/>
          </w:tcPr>
          <w:p>
            <w:pPr>
              <w:spacing w:after="0"/>
            </w:pPr>
            <w:r/>
            <w:r>
              <w:rPr>
                <w:rFonts w:ascii="Aptos" w:hAnsi="Aptos"/>
                <w:b w:val="0"/>
                <w:sz w:val="16"/>
              </w:rPr>
              <w:t>Product 63 leads displayed sales at ₹628,320, while Product 28 leads displayed gross profit at ₹247,808.</w:t>
            </w:r>
          </w:p>
        </w:tc>
        <w:tc>
          <w:tcPr>
            <w:tcW w:type="dxa" w:w="2664"/>
            <w:vAlign w:val="center"/>
          </w:tcPr>
          <w:p>
            <w:pPr>
              <w:spacing w:after="0"/>
            </w:pPr>
            <w:r/>
            <w:r>
              <w:rPr>
                <w:rFonts w:ascii="Aptos" w:hAnsi="Aptos"/>
                <w:b w:val="0"/>
                <w:sz w:val="16"/>
              </w:rPr>
              <w:t>Revenue leadership does not necessarily equal profit leadership; sales-only decisions can overlook margin differences.</w:t>
            </w:r>
          </w:p>
        </w:tc>
      </w:tr>
      <w:tr>
        <w:tc>
          <w:tcPr>
            <w:tcW w:type="dxa" w:w="2664"/>
            <w:vAlign w:val="center"/>
          </w:tcPr>
          <w:p>
            <w:pPr>
              <w:spacing w:after="0"/>
            </w:pPr>
            <w:r/>
            <w:r>
              <w:rPr>
                <w:rFonts w:ascii="Aptos" w:hAnsi="Aptos"/>
                <w:b w:val="0"/>
                <w:sz w:val="16"/>
              </w:rPr>
              <w:t>2</w:t>
            </w:r>
          </w:p>
        </w:tc>
        <w:tc>
          <w:tcPr>
            <w:tcW w:type="dxa" w:w="2664"/>
            <w:vAlign w:val="center"/>
          </w:tcPr>
          <w:p>
            <w:pPr>
              <w:spacing w:after="0"/>
            </w:pPr>
            <w:r/>
            <w:r>
              <w:rPr>
                <w:rFonts w:ascii="Aptos" w:hAnsi="Aptos"/>
                <w:b w:val="0"/>
                <w:sz w:val="16"/>
              </w:rPr>
              <w:t>Sales-versus-profit performance needs separate monitoring</w:t>
            </w:r>
          </w:p>
        </w:tc>
        <w:tc>
          <w:tcPr>
            <w:tcW w:type="dxa" w:w="2664"/>
            <w:vAlign w:val="center"/>
          </w:tcPr>
          <w:p>
            <w:pPr>
              <w:spacing w:after="0"/>
            </w:pPr>
            <w:r/>
            <w:r>
              <w:rPr>
                <w:rFonts w:ascii="Aptos" w:hAnsi="Aptos"/>
                <w:b w:val="0"/>
                <w:sz w:val="16"/>
              </w:rPr>
              <w:t>Product Performance shows different Sales and Gross Profit rankings.</w:t>
            </w:r>
          </w:p>
        </w:tc>
        <w:tc>
          <w:tcPr>
            <w:tcW w:type="dxa" w:w="2664"/>
            <w:vAlign w:val="center"/>
          </w:tcPr>
          <w:p>
            <w:pPr>
              <w:spacing w:after="0"/>
            </w:pPr>
            <w:r/>
            <w:r>
              <w:rPr>
                <w:rFonts w:ascii="Aptos" w:hAnsi="Aptos"/>
                <w:b w:val="0"/>
                <w:sz w:val="16"/>
              </w:rPr>
              <w:t>Lower-margin or less-profitable sales may be harder to identify without separate revenue and profit views.</w:t>
            </w:r>
          </w:p>
        </w:tc>
      </w:tr>
      <w:tr>
        <w:tc>
          <w:tcPr>
            <w:tcW w:type="dxa" w:w="2664"/>
            <w:vAlign w:val="center"/>
          </w:tcPr>
          <w:p>
            <w:pPr>
              <w:spacing w:after="0"/>
            </w:pPr>
            <w:r/>
            <w:r>
              <w:rPr>
                <w:rFonts w:ascii="Aptos" w:hAnsi="Aptos"/>
                <w:b w:val="0"/>
                <w:sz w:val="16"/>
              </w:rPr>
              <w:t>3</w:t>
            </w:r>
          </w:p>
        </w:tc>
        <w:tc>
          <w:tcPr>
            <w:tcW w:type="dxa" w:w="2664"/>
            <w:vAlign w:val="center"/>
          </w:tcPr>
          <w:p>
            <w:pPr>
              <w:spacing w:after="0"/>
            </w:pPr>
            <w:r/>
            <w:r>
              <w:rPr>
                <w:rFonts w:ascii="Aptos" w:hAnsi="Aptos"/>
                <w:b w:val="0"/>
                <w:sz w:val="16"/>
              </w:rPr>
              <w:t>Customer contribution varies</w:t>
            </w:r>
          </w:p>
        </w:tc>
        <w:tc>
          <w:tcPr>
            <w:tcW w:type="dxa" w:w="2664"/>
            <w:vAlign w:val="center"/>
          </w:tcPr>
          <w:p>
            <w:pPr>
              <w:spacing w:after="0"/>
            </w:pPr>
            <w:r/>
            <w:r>
              <w:rPr>
                <w:rFonts w:ascii="Aptos" w:hAnsi="Aptos"/>
                <w:b w:val="0"/>
                <w:sz w:val="16"/>
              </w:rPr>
              <w:t>Top displayed customer sales include Jesse Hill ₹171,261, Thomas Gonzales ₹159,876, and Fred Russell ₹154,998.</w:t>
            </w:r>
          </w:p>
        </w:tc>
        <w:tc>
          <w:tcPr>
            <w:tcW w:type="dxa" w:w="2664"/>
            <w:vAlign w:val="center"/>
          </w:tcPr>
          <w:p>
            <w:pPr>
              <w:spacing w:after="0"/>
            </w:pPr>
            <w:r/>
            <w:r>
              <w:rPr>
                <w:rFonts w:ascii="Aptos" w:hAnsi="Aptos"/>
                <w:b w:val="0"/>
                <w:sz w:val="16"/>
              </w:rPr>
              <w:t>Different contribution levels support differentiated customer analysis and prioritization.</w:t>
            </w:r>
          </w:p>
        </w:tc>
      </w:tr>
      <w:tr>
        <w:tc>
          <w:tcPr>
            <w:tcW w:type="dxa" w:w="2664"/>
            <w:vAlign w:val="center"/>
          </w:tcPr>
          <w:p>
            <w:pPr>
              <w:spacing w:after="0"/>
            </w:pPr>
            <w:r/>
            <w:r>
              <w:rPr>
                <w:rFonts w:ascii="Aptos" w:hAnsi="Aptos"/>
                <w:b w:val="0"/>
                <w:sz w:val="16"/>
              </w:rPr>
              <w:t>4</w:t>
            </w:r>
          </w:p>
        </w:tc>
        <w:tc>
          <w:tcPr>
            <w:tcW w:type="dxa" w:w="2664"/>
            <w:vAlign w:val="center"/>
          </w:tcPr>
          <w:p>
            <w:pPr>
              <w:spacing w:after="0"/>
            </w:pPr>
            <w:r/>
            <w:r>
              <w:rPr>
                <w:rFonts w:ascii="Aptos" w:hAnsi="Aptos"/>
                <w:b w:val="0"/>
                <w:sz w:val="16"/>
              </w:rPr>
              <w:t>Salesperson contribution varies</w:t>
            </w:r>
          </w:p>
        </w:tc>
        <w:tc>
          <w:tcPr>
            <w:tcW w:type="dxa" w:w="2664"/>
            <w:vAlign w:val="center"/>
          </w:tcPr>
          <w:p>
            <w:pPr>
              <w:spacing w:after="0"/>
            </w:pPr>
            <w:r/>
            <w:r>
              <w:rPr>
                <w:rFonts w:ascii="Aptos" w:hAnsi="Aptos"/>
                <w:b w:val="0"/>
                <w:sz w:val="16"/>
              </w:rPr>
              <w:t>Displayed salesperson sales range from Kenneth Bradley ₹678,815 to Patrick Ruiz ₹628,457 among the five highest shown.</w:t>
            </w:r>
          </w:p>
        </w:tc>
        <w:tc>
          <w:tcPr>
            <w:tcW w:type="dxa" w:w="2664"/>
            <w:vAlign w:val="center"/>
          </w:tcPr>
          <w:p>
            <w:pPr>
              <w:spacing w:after="0"/>
            </w:pPr>
            <w:r/>
            <w:r>
              <w:rPr>
                <w:rFonts w:ascii="Aptos" w:hAnsi="Aptos"/>
                <w:b w:val="0"/>
                <w:sz w:val="16"/>
              </w:rPr>
              <w:t>Variation warrants investigation of account/territory mix and effective sales practices.</w:t>
            </w:r>
          </w:p>
        </w:tc>
      </w:tr>
      <w:tr>
        <w:tc>
          <w:tcPr>
            <w:tcW w:type="dxa" w:w="2664"/>
            <w:vAlign w:val="center"/>
          </w:tcPr>
          <w:p>
            <w:pPr>
              <w:spacing w:after="0"/>
            </w:pPr>
            <w:r/>
            <w:r>
              <w:rPr>
                <w:rFonts w:ascii="Aptos" w:hAnsi="Aptos"/>
                <w:b w:val="0"/>
                <w:sz w:val="16"/>
              </w:rPr>
              <w:t>5</w:t>
            </w:r>
          </w:p>
        </w:tc>
        <w:tc>
          <w:tcPr>
            <w:tcW w:type="dxa" w:w="2664"/>
            <w:vAlign w:val="center"/>
          </w:tcPr>
          <w:p>
            <w:pPr>
              <w:spacing w:after="0"/>
            </w:pPr>
            <w:r/>
            <w:r>
              <w:rPr>
                <w:rFonts w:ascii="Aptos" w:hAnsi="Aptos"/>
                <w:b w:val="0"/>
                <w:sz w:val="16"/>
              </w:rPr>
              <w:t>Budget comparison requires context validation</w:t>
            </w:r>
          </w:p>
        </w:tc>
        <w:tc>
          <w:tcPr>
            <w:tcW w:type="dxa" w:w="2664"/>
            <w:vAlign w:val="center"/>
          </w:tcPr>
          <w:p>
            <w:pPr>
              <w:spacing w:after="0"/>
            </w:pPr>
            <w:r/>
            <w:r>
              <w:rPr>
                <w:rFonts w:ascii="Aptos" w:hAnsi="Aptos"/>
                <w:b w:val="0"/>
                <w:sz w:val="16"/>
              </w:rPr>
              <w:t>Budget ₹4.23M versus Actual Sales ₹25.66M gives ₹21.43M variance and 605.99% achievement.</w:t>
            </w:r>
          </w:p>
        </w:tc>
        <w:tc>
          <w:tcPr>
            <w:tcW w:type="dxa" w:w="2664"/>
            <w:vAlign w:val="center"/>
          </w:tcPr>
          <w:p>
            <w:pPr>
              <w:spacing w:after="0"/>
            </w:pPr>
            <w:r/>
            <w:r>
              <w:rPr>
                <w:rFonts w:ascii="Aptos" w:hAnsi="Aptos"/>
                <w:b w:val="0"/>
                <w:sz w:val="16"/>
              </w:rPr>
              <w:t>The unusually large difference should be validated against budget period, monthly allocation, and actual-sales comparison period before operational use.</w:t>
            </w:r>
          </w:p>
        </w:tc>
      </w:tr>
    </w:tbl>
    <w:p>
      <w:pPr>
        <w:spacing w:after="0"/>
      </w:pPr>
    </w:p>
    <w:p>
      <w:pPr>
        <w:pStyle w:val="Heading1"/>
      </w:pPr>
      <w:r>
        <w:t>3. Top 5 Recommendations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7365D"/>
          </w:tcPr>
          <w:p>
            <w:pPr>
              <w:spacing w:after="0"/>
            </w:pPr>
            <w:r/>
            <w:r>
              <w:rPr>
                <w:rFonts w:ascii="Aptos" w:hAnsi="Aptos"/>
                <w:b/>
                <w:color w:val="FFFFFF"/>
                <w:sz w:val="16"/>
              </w:rPr>
              <w:t>#</w:t>
            </w:r>
          </w:p>
        </w:tc>
        <w:tc>
          <w:tcPr>
            <w:tcW w:type="dxa" w:w="2131"/>
            <w:vAlign w:val="center"/>
            <w:shd w:fill="17365D"/>
          </w:tcPr>
          <w:p>
            <w:pPr>
              <w:spacing w:after="0"/>
            </w:pPr>
            <w:r/>
            <w:r>
              <w:rPr>
                <w:rFonts w:ascii="Aptos" w:hAnsi="Aptos"/>
                <w:b/>
                <w:color w:val="FFFFFF"/>
                <w:sz w:val="16"/>
              </w:rPr>
              <w:t>Recommendation</w:t>
            </w:r>
          </w:p>
        </w:tc>
        <w:tc>
          <w:tcPr>
            <w:tcW w:type="dxa" w:w="2131"/>
            <w:vAlign w:val="center"/>
            <w:shd w:fill="17365D"/>
          </w:tcPr>
          <w:p>
            <w:pPr>
              <w:spacing w:after="0"/>
            </w:pPr>
            <w:r/>
            <w:r>
              <w:rPr>
                <w:rFonts w:ascii="Aptos" w:hAnsi="Aptos"/>
                <w:b/>
                <w:color w:val="FFFFFF"/>
                <w:sz w:val="16"/>
              </w:rPr>
              <w:t>Problem Addressed</w:t>
            </w:r>
          </w:p>
        </w:tc>
        <w:tc>
          <w:tcPr>
            <w:tcW w:type="dxa" w:w="2131"/>
            <w:vAlign w:val="center"/>
            <w:shd w:fill="17365D"/>
          </w:tcPr>
          <w:p>
            <w:pPr>
              <w:spacing w:after="0"/>
            </w:pPr>
            <w:r/>
            <w:r>
              <w:rPr>
                <w:rFonts w:ascii="Aptos" w:hAnsi="Aptos"/>
                <w:b/>
                <w:color w:val="FFFFFF"/>
                <w:sz w:val="16"/>
              </w:rPr>
              <w:t>Expected Benefit</w:t>
            </w:r>
          </w:p>
        </w:tc>
        <w:tc>
          <w:tcPr>
            <w:tcW w:type="dxa" w:w="2131"/>
            <w:vAlign w:val="center"/>
            <w:shd w:fill="17365D"/>
          </w:tcPr>
          <w:p>
            <w:pPr>
              <w:spacing w:after="0"/>
            </w:pPr>
            <w:r/>
            <w:r>
              <w:rPr>
                <w:rFonts w:ascii="Aptos" w:hAnsi="Aptos"/>
                <w:b/>
                <w:color w:val="FFFFFF"/>
                <w:sz w:val="16"/>
              </w:rPr>
              <w:t>Suggested Action</w:t>
            </w:r>
          </w:p>
        </w:tc>
      </w:tr>
      <w:tr>
        <w:tc>
          <w:tcPr>
            <w:tcW w:type="dxa" w:w="2131"/>
            <w:vAlign w:val="center"/>
          </w:tcPr>
          <w:p>
            <w:pPr>
              <w:spacing w:after="0"/>
            </w:pPr>
            <w:r/>
            <w:r>
              <w:rPr>
                <w:rFonts w:ascii="Aptos" w:hAnsi="Aptos"/>
                <w:b w:val="0"/>
                <w:sz w:val="16"/>
              </w:rPr>
              <w:t>1</w:t>
            </w:r>
          </w:p>
        </w:tc>
        <w:tc>
          <w:tcPr>
            <w:tcW w:type="dxa" w:w="2131"/>
            <w:vAlign w:val="center"/>
          </w:tcPr>
          <w:p>
            <w:pPr>
              <w:spacing w:after="0"/>
            </w:pPr>
            <w:r/>
            <w:r>
              <w:rPr>
                <w:rFonts w:ascii="Aptos" w:hAnsi="Aptos"/>
                <w:b w:val="0"/>
                <w:sz w:val="16"/>
              </w:rPr>
              <w:t>Review product margins alongside sales</w:t>
            </w:r>
          </w:p>
        </w:tc>
        <w:tc>
          <w:tcPr>
            <w:tcW w:type="dxa" w:w="2131"/>
            <w:vAlign w:val="center"/>
          </w:tcPr>
          <w:p>
            <w:pPr>
              <w:spacing w:after="0"/>
            </w:pPr>
            <w:r/>
            <w:r>
              <w:rPr>
                <w:rFonts w:ascii="Aptos" w:hAnsi="Aptos"/>
                <w:b w:val="0"/>
                <w:sz w:val="16"/>
              </w:rPr>
              <w:t>Product profitability differences</w:t>
            </w:r>
          </w:p>
        </w:tc>
        <w:tc>
          <w:tcPr>
            <w:tcW w:type="dxa" w:w="2131"/>
            <w:vAlign w:val="center"/>
          </w:tcPr>
          <w:p>
            <w:pPr>
              <w:spacing w:after="0"/>
            </w:pPr>
            <w:r/>
            <w:r>
              <w:rPr>
                <w:rFonts w:ascii="Aptos" w:hAnsi="Aptos"/>
                <w:b w:val="0"/>
                <w:sz w:val="16"/>
              </w:rPr>
              <w:t>Better balance between revenue and profit performance.</w:t>
            </w:r>
          </w:p>
        </w:tc>
        <w:tc>
          <w:tcPr>
            <w:tcW w:type="dxa" w:w="2131"/>
            <w:vAlign w:val="center"/>
          </w:tcPr>
          <w:p>
            <w:pPr>
              <w:spacing w:after="0"/>
            </w:pPr>
            <w:r/>
            <w:r>
              <w:rPr>
                <w:rFonts w:ascii="Aptos" w:hAnsi="Aptos"/>
                <w:b w:val="0"/>
                <w:sz w:val="16"/>
              </w:rPr>
              <w:t>Review sales, gross profit, and gross margin together; investigate high-sales products with comparatively lower margins.</w:t>
            </w:r>
          </w:p>
        </w:tc>
      </w:tr>
      <w:tr>
        <w:tc>
          <w:tcPr>
            <w:tcW w:type="dxa" w:w="2131"/>
            <w:vAlign w:val="center"/>
          </w:tcPr>
          <w:p>
            <w:pPr>
              <w:spacing w:after="0"/>
            </w:pPr>
            <w:r/>
            <w:r>
              <w:rPr>
                <w:rFonts w:ascii="Aptos" w:hAnsi="Aptos"/>
                <w:b w:val="0"/>
                <w:sz w:val="16"/>
              </w:rPr>
              <w:t>2</w:t>
            </w:r>
          </w:p>
        </w:tc>
        <w:tc>
          <w:tcPr>
            <w:tcW w:type="dxa" w:w="2131"/>
            <w:vAlign w:val="center"/>
          </w:tcPr>
          <w:p>
            <w:pPr>
              <w:spacing w:after="0"/>
            </w:pPr>
            <w:r/>
            <w:r>
              <w:rPr>
                <w:rFonts w:ascii="Aptos" w:hAnsi="Aptos"/>
                <w:b w:val="0"/>
                <w:sz w:val="16"/>
              </w:rPr>
              <w:t>Create a regular product profitability review</w:t>
            </w:r>
          </w:p>
        </w:tc>
        <w:tc>
          <w:tcPr>
            <w:tcW w:type="dxa" w:w="2131"/>
            <w:vAlign w:val="center"/>
          </w:tcPr>
          <w:p>
            <w:pPr>
              <w:spacing w:after="0"/>
            </w:pPr>
            <w:r/>
            <w:r>
              <w:rPr>
                <w:rFonts w:ascii="Aptos" w:hAnsi="Aptos"/>
                <w:b w:val="0"/>
                <w:sz w:val="16"/>
              </w:rPr>
              <w:t>Sales-versus-profit performance needs separate monitoring</w:t>
            </w:r>
          </w:p>
        </w:tc>
        <w:tc>
          <w:tcPr>
            <w:tcW w:type="dxa" w:w="2131"/>
            <w:vAlign w:val="center"/>
          </w:tcPr>
          <w:p>
            <w:pPr>
              <w:spacing w:after="0"/>
            </w:pPr>
            <w:r/>
            <w:r>
              <w:rPr>
                <w:rFonts w:ascii="Aptos" w:hAnsi="Aptos"/>
                <w:b w:val="0"/>
                <w:sz w:val="16"/>
              </w:rPr>
              <w:t>Earlier identification of margin pressure.</w:t>
            </w:r>
          </w:p>
        </w:tc>
        <w:tc>
          <w:tcPr>
            <w:tcW w:type="dxa" w:w="2131"/>
            <w:vAlign w:val="center"/>
          </w:tcPr>
          <w:p>
            <w:pPr>
              <w:spacing w:after="0"/>
            </w:pPr>
            <w:r/>
            <w:r>
              <w:rPr>
                <w:rFonts w:ascii="Aptos" w:hAnsi="Aptos"/>
                <w:b w:val="0"/>
                <w:sz w:val="16"/>
              </w:rPr>
              <w:t>Track product sales, gross profit, gross margin %, and rank in recurring reviews.</w:t>
            </w:r>
          </w:p>
        </w:tc>
      </w:tr>
      <w:tr>
        <w:tc>
          <w:tcPr>
            <w:tcW w:type="dxa" w:w="2131"/>
            <w:vAlign w:val="center"/>
          </w:tcPr>
          <w:p>
            <w:pPr>
              <w:spacing w:after="0"/>
            </w:pPr>
            <w:r/>
            <w:r>
              <w:rPr>
                <w:rFonts w:ascii="Aptos" w:hAnsi="Aptos"/>
                <w:b w:val="0"/>
                <w:sz w:val="16"/>
              </w:rPr>
              <w:t>3</w:t>
            </w:r>
          </w:p>
        </w:tc>
        <w:tc>
          <w:tcPr>
            <w:tcW w:type="dxa" w:w="2131"/>
            <w:vAlign w:val="center"/>
          </w:tcPr>
          <w:p>
            <w:pPr>
              <w:spacing w:after="0"/>
            </w:pPr>
            <w:r/>
            <w:r>
              <w:rPr>
                <w:rFonts w:ascii="Aptos" w:hAnsi="Aptos"/>
                <w:b w:val="0"/>
                <w:sz w:val="16"/>
              </w:rPr>
              <w:t>Segment and prioritize customer analysis</w:t>
            </w:r>
          </w:p>
        </w:tc>
        <w:tc>
          <w:tcPr>
            <w:tcW w:type="dxa" w:w="2131"/>
            <w:vAlign w:val="center"/>
          </w:tcPr>
          <w:p>
            <w:pPr>
              <w:spacing w:after="0"/>
            </w:pPr>
            <w:r/>
            <w:r>
              <w:rPr>
                <w:rFonts w:ascii="Aptos" w:hAnsi="Aptos"/>
                <w:b w:val="0"/>
                <w:sz w:val="16"/>
              </w:rPr>
              <w:t>Customer contribution varies</w:t>
            </w:r>
          </w:p>
        </w:tc>
        <w:tc>
          <w:tcPr>
            <w:tcW w:type="dxa" w:w="2131"/>
            <w:vAlign w:val="center"/>
          </w:tcPr>
          <w:p>
            <w:pPr>
              <w:spacing w:after="0"/>
            </w:pPr>
            <w:r/>
            <w:r>
              <w:rPr>
                <w:rFonts w:ascii="Aptos" w:hAnsi="Aptos"/>
                <w:b w:val="0"/>
                <w:sz w:val="16"/>
              </w:rPr>
              <w:t>More focused account-management effort.</w:t>
            </w:r>
          </w:p>
        </w:tc>
        <w:tc>
          <w:tcPr>
            <w:tcW w:type="dxa" w:w="2131"/>
            <w:vAlign w:val="center"/>
          </w:tcPr>
          <w:p>
            <w:pPr>
              <w:spacing w:after="0"/>
            </w:pPr>
            <w:r/>
            <w:r>
              <w:rPr>
                <w:rFonts w:ascii="Aptos" w:hAnsi="Aptos"/>
                <w:b w:val="0"/>
                <w:sz w:val="16"/>
              </w:rPr>
              <w:t>Use Customer Analysis to review high-contribution customers by sales, orders, quantity, and AOV.</w:t>
            </w:r>
          </w:p>
        </w:tc>
      </w:tr>
      <w:tr>
        <w:tc>
          <w:tcPr>
            <w:tcW w:type="dxa" w:w="2131"/>
            <w:vAlign w:val="center"/>
          </w:tcPr>
          <w:p>
            <w:pPr>
              <w:spacing w:after="0"/>
            </w:pPr>
            <w:r/>
            <w:r>
              <w:rPr>
                <w:rFonts w:ascii="Aptos" w:hAnsi="Aptos"/>
                <w:b w:val="0"/>
                <w:sz w:val="16"/>
              </w:rPr>
              <w:t>4</w:t>
            </w:r>
          </w:p>
        </w:tc>
        <w:tc>
          <w:tcPr>
            <w:tcW w:type="dxa" w:w="2131"/>
            <w:vAlign w:val="center"/>
          </w:tcPr>
          <w:p>
            <w:pPr>
              <w:spacing w:after="0"/>
            </w:pPr>
            <w:r/>
            <w:r>
              <w:rPr>
                <w:rFonts w:ascii="Aptos" w:hAnsi="Aptos"/>
                <w:b w:val="0"/>
                <w:sz w:val="16"/>
              </w:rPr>
              <w:t>Analyze salesperson performance differences</w:t>
            </w:r>
          </w:p>
        </w:tc>
        <w:tc>
          <w:tcPr>
            <w:tcW w:type="dxa" w:w="2131"/>
            <w:vAlign w:val="center"/>
          </w:tcPr>
          <w:p>
            <w:pPr>
              <w:spacing w:after="0"/>
            </w:pPr>
            <w:r/>
            <w:r>
              <w:rPr>
                <w:rFonts w:ascii="Aptos" w:hAnsi="Aptos"/>
                <w:b w:val="0"/>
                <w:sz w:val="16"/>
              </w:rPr>
              <w:t>Salesperson contribution varies</w:t>
            </w:r>
          </w:p>
        </w:tc>
        <w:tc>
          <w:tcPr>
            <w:tcW w:type="dxa" w:w="2131"/>
            <w:vAlign w:val="center"/>
          </w:tcPr>
          <w:p>
            <w:pPr>
              <w:spacing w:after="0"/>
            </w:pPr>
            <w:r/>
            <w:r>
              <w:rPr>
                <w:rFonts w:ascii="Aptos" w:hAnsi="Aptos"/>
                <w:b w:val="0"/>
                <w:sz w:val="16"/>
              </w:rPr>
              <w:t>Identification and sharing of effective sales practices.</w:t>
            </w:r>
          </w:p>
        </w:tc>
        <w:tc>
          <w:tcPr>
            <w:tcW w:type="dxa" w:w="2131"/>
            <w:vAlign w:val="center"/>
          </w:tcPr>
          <w:p>
            <w:pPr>
              <w:spacing w:after="0"/>
            </w:pPr>
            <w:r/>
            <w:r>
              <w:rPr>
                <w:rFonts w:ascii="Aptos" w:hAnsi="Aptos"/>
                <w:b w:val="0"/>
                <w:sz w:val="16"/>
              </w:rPr>
              <w:t>Compare sales, gross profit, orders, quantity, and AOV by salesperson and investigate account/territory mix.</w:t>
            </w:r>
          </w:p>
        </w:tc>
      </w:tr>
      <w:tr>
        <w:tc>
          <w:tcPr>
            <w:tcW w:type="dxa" w:w="2131"/>
            <w:vAlign w:val="center"/>
          </w:tcPr>
          <w:p>
            <w:pPr>
              <w:spacing w:after="0"/>
            </w:pPr>
            <w:r/>
            <w:r>
              <w:rPr>
                <w:rFonts w:ascii="Aptos" w:hAnsi="Aptos"/>
                <w:b w:val="0"/>
                <w:sz w:val="16"/>
              </w:rPr>
              <w:t>5</w:t>
            </w:r>
          </w:p>
        </w:tc>
        <w:tc>
          <w:tcPr>
            <w:tcW w:type="dxa" w:w="2131"/>
            <w:vAlign w:val="center"/>
          </w:tcPr>
          <w:p>
            <w:pPr>
              <w:spacing w:after="0"/>
            </w:pPr>
            <w:r/>
            <w:r>
              <w:rPr>
                <w:rFonts w:ascii="Aptos" w:hAnsi="Aptos"/>
                <w:b w:val="0"/>
                <w:sz w:val="16"/>
              </w:rPr>
              <w:t>Validate the budget model before decisions</w:t>
            </w:r>
          </w:p>
        </w:tc>
        <w:tc>
          <w:tcPr>
            <w:tcW w:type="dxa" w:w="2131"/>
            <w:vAlign w:val="center"/>
          </w:tcPr>
          <w:p>
            <w:pPr>
              <w:spacing w:after="0"/>
            </w:pPr>
            <w:r/>
            <w:r>
              <w:rPr>
                <w:rFonts w:ascii="Aptos" w:hAnsi="Aptos"/>
                <w:b w:val="0"/>
                <w:sz w:val="16"/>
              </w:rPr>
              <w:t>Budget comparison requires context validation</w:t>
            </w:r>
          </w:p>
        </w:tc>
        <w:tc>
          <w:tcPr>
            <w:tcW w:type="dxa" w:w="2131"/>
            <w:vAlign w:val="center"/>
          </w:tcPr>
          <w:p>
            <w:pPr>
              <w:spacing w:after="0"/>
            </w:pPr>
            <w:r/>
            <w:r>
              <w:rPr>
                <w:rFonts w:ascii="Aptos" w:hAnsi="Aptos"/>
                <w:b w:val="0"/>
                <w:sz w:val="16"/>
              </w:rPr>
              <w:t>More reliable budget-performance interpretation.</w:t>
            </w:r>
          </w:p>
        </w:tc>
        <w:tc>
          <w:tcPr>
            <w:tcW w:type="dxa" w:w="2131"/>
            <w:vAlign w:val="center"/>
          </w:tcPr>
          <w:p>
            <w:pPr>
              <w:spacing w:after="0"/>
            </w:pPr>
            <w:r/>
            <w:r>
              <w:rPr>
                <w:rFonts w:ascii="Aptos" w:hAnsi="Aptos"/>
                <w:b w:val="0"/>
                <w:sz w:val="16"/>
              </w:rPr>
              <w:t>Confirm budget period, monthly allocation, and comparison period before using Budget, Actual, Variance, and Achievement % operationally.</w:t>
            </w:r>
          </w:p>
        </w:tc>
      </w:tr>
    </w:tbl>
    <w:p>
      <w:pPr>
        <w:spacing w:after="0"/>
      </w:pPr>
    </w:p>
    <w:p>
      <w:pPr>
        <w:pStyle w:val="Heading1"/>
      </w:pPr>
      <w:r>
        <w:t>Conclusion</w:t>
      </w:r>
    </w:p>
    <w:p>
      <w:r>
        <w:t>The Power BI dashboard provides a consolidated view of sales, profitability, product, customer, salesperson, geographic, and budget performance. Priority actions are to evaluate revenue and profitability together, investigate performance differences across business entities, and validate the budget comparison context before using it for operational decisions.</w:t>
      </w:r>
    </w:p>
    <w:p>
      <w:r>
        <w:rPr>
          <w:b/>
        </w:rPr>
        <w:t>Author: Jajula Gnana Deepak</w:t>
        <w:br/>
        <w:t>Date: 26 September 2026</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Business Insights Report | Power BI Business Intelligence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