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BUDCOM PRODUCT DESIGN</w:t>
        <w:br/>
        <w:t>MASTER HANDOVER</w:t>
      </w:r>
    </w:p>
    <w:p>
      <w:pPr>
        <w:jc w:val="center"/>
      </w:pPr>
      <w:r>
        <w:rPr>
          <w:b/>
          <w:sz w:val="24"/>
        </w:rPr>
        <w:t>Catalogue + Vartalap Closure Baseline • 14 August 2026</w:t>
      </w:r>
    </w:p>
    <w:p>
      <w:pPr>
        <w:jc w:val="center"/>
      </w:pPr>
      <w:r>
        <w:rPr>
          <w:i/>
        </w:rPr>
        <w:t>Purpose: preserve the final locked product-design state so UI design, implementation planning, security architecture and development can proceed without reopening settled product decisions.</w:t>
      </w:r>
    </w:p>
    <w:p>
      <w:pPr>
        <w:pStyle w:val="Heading1"/>
      </w:pPr>
      <w:r>
        <w:t>1. Authority and Change-Control</w:t>
      </w:r>
    </w:p>
    <w:p>
      <w:pPr>
        <w:pStyle w:val="CompactBullet"/>
        <w:ind w:left="259" w:hanging="173"/>
      </w:pPr>
      <w:r>
        <w:rPr>
          <w:b/>
        </w:rPr>
        <w:t xml:space="preserve">• </w:t>
      </w:r>
      <w:r>
        <w:t>This document is the consolidated continuation baseline for the BUDCOM product-design workstream.</w:t>
      </w:r>
    </w:p>
    <w:p>
      <w:pPr>
        <w:pStyle w:val="CompactBullet"/>
        <w:ind w:left="259" w:hanging="173"/>
      </w:pPr>
      <w:r>
        <w:rPr>
          <w:b/>
        </w:rPr>
        <w:t xml:space="preserve">• </w:t>
      </w:r>
      <w:r>
        <w:t>Owner/Product Manager remains final product authority. ChatGPT remains architecture/product-design authority for translating owner decisions into coherent rules.</w:t>
      </w:r>
    </w:p>
    <w:p>
      <w:pPr>
        <w:pStyle w:val="CompactBullet"/>
        <w:ind w:left="259" w:hanging="173"/>
      </w:pPr>
      <w:r>
        <w:rPr>
          <w:b/>
        </w:rPr>
        <w:t xml:space="preserve">• </w:t>
      </w:r>
      <w:r>
        <w:t>A decision marked LOCKED remains authoritative unless the owner explicitly changes it or implementation/testing exposes a genuine contradiction.</w:t>
      </w:r>
    </w:p>
    <w:p>
      <w:pPr>
        <w:pStyle w:val="CompactBullet"/>
        <w:ind w:left="259" w:hanging="173"/>
      </w:pPr>
      <w:r>
        <w:rPr>
          <w:b/>
        </w:rPr>
        <w:t xml:space="preserve">• </w:t>
      </w:r>
      <w:r>
        <w:t>If implementation conflicts with a lock, surface the conflict and make the smallest compatible change; do not silently reinterpret the product.</w:t>
      </w:r>
    </w:p>
    <w:p>
      <w:pPr>
        <w:pStyle w:val="CompactBullet"/>
        <w:ind w:left="259" w:hanging="173"/>
      </w:pPr>
      <w:r>
        <w:rPr>
          <w:b/>
        </w:rPr>
        <w:t xml:space="preserve">• </w:t>
      </w:r>
      <w:r>
        <w:t>The everyday product surface is frozen against generic feature growth: additional visible controls must prove measurable value.</w:t>
      </w:r>
    </w:p>
    <w:p>
      <w:pPr>
        <w:spacing w:before="60" w:after="60"/>
      </w:pPr>
      <w:r>
        <w:rPr>
          <w:b/>
        </w:rPr>
        <w:t>Current design-pass status: Catalogue CLOSED. Vartalap FUNCTIONALLY CLOSED. Other previously closed BUDCOM product areas remain closed.</w:t>
      </w:r>
    </w:p>
    <w:p>
      <w:pPr>
        <w:pStyle w:val="Heading1"/>
      </w:pPr>
      <w:r>
        <w:t>2. Permanent BUDCOM Product Principles</w:t>
      </w:r>
    </w:p>
    <w:p>
      <w:pPr>
        <w:pStyle w:val="CompactBullet"/>
        <w:ind w:left="259" w:hanging="173"/>
      </w:pPr>
      <w:r>
        <w:rPr>
          <w:b/>
        </w:rPr>
        <w:t xml:space="preserve">• </w:t>
      </w:r>
      <w:r>
        <w:t>BUDCOM is a Business OS / Business Communication &amp; Intelligence product: local-first, lightweight, fast, layman-first and modular.</w:t>
      </w:r>
    </w:p>
    <w:p>
      <w:pPr>
        <w:pStyle w:val="CompactBullet"/>
        <w:ind w:left="259" w:hanging="173"/>
      </w:pPr>
      <w:r>
        <w:rPr>
          <w:b/>
        </w:rPr>
        <w:t xml:space="preserve">• </w:t>
      </w:r>
      <w:r>
        <w:t>Canonical facts are the source of truth. Derived indexes, summaries, thumbnails, BI inputs and caches are rebuildable and never become a second truth.</w:t>
      </w:r>
    </w:p>
    <w:p>
      <w:pPr>
        <w:pStyle w:val="CompactBullet"/>
        <w:ind w:left="259" w:hanging="173"/>
      </w:pPr>
      <w:r>
        <w:rPr>
          <w:b/>
        </w:rPr>
        <w:t xml:space="preserve">• </w:t>
      </w:r>
      <w:r>
        <w:t>Compute on change; store/reuse; read instantly on demand; recompute only what was invalidated.</w:t>
      </w:r>
    </w:p>
    <w:p>
      <w:pPr>
        <w:pStyle w:val="CompactBullet"/>
        <w:ind w:left="259" w:hanging="173"/>
      </w:pPr>
      <w:r>
        <w:rPr>
          <w:b/>
        </w:rPr>
        <w:t xml:space="preserve">• </w:t>
      </w:r>
      <w:r>
        <w:t>OI/deterministic operational intelligence comes before generative AI for core business behaviour.</w:t>
      </w:r>
    </w:p>
    <w:p>
      <w:pPr>
        <w:pStyle w:val="CompactBullet"/>
        <w:ind w:left="259" w:hanging="173"/>
      </w:pPr>
      <w:r>
        <w:rPr>
          <w:b/>
        </w:rPr>
        <w:t xml:space="preserve">• </w:t>
      </w:r>
      <w:r>
        <w:t>Same business action has the same meaning across Android and Windows even when layouts differ.</w:t>
      </w:r>
    </w:p>
    <w:p>
      <w:pPr>
        <w:pStyle w:val="CompactBullet"/>
        <w:ind w:left="259" w:hanging="173"/>
      </w:pPr>
      <w:r>
        <w:rPr>
          <w:b/>
        </w:rPr>
        <w:t xml:space="preserve">• </w:t>
      </w:r>
      <w:r>
        <w:t>Do not silently mutate accounting, send messages, publish, widen permissions, delete protected data or make consequential commercial decisions.</w:t>
      </w:r>
    </w:p>
    <w:p>
      <w:pPr>
        <w:pStyle w:val="CompactBullet"/>
        <w:ind w:left="259" w:hanging="173"/>
      </w:pPr>
      <w:r>
        <w:rPr>
          <w:b/>
        </w:rPr>
        <w:t xml:space="preserve">• </w:t>
      </w:r>
      <w:r>
        <w:t>Freshness must be truthful. Local actions must not require ritual refreshes.</w:t>
      </w:r>
    </w:p>
    <w:p>
      <w:pPr>
        <w:pStyle w:val="CompactBullet"/>
        <w:ind w:left="259" w:hanging="173"/>
      </w:pPr>
      <w:r>
        <w:rPr>
          <w:b/>
        </w:rPr>
        <w:t xml:space="preserve">• </w:t>
      </w:r>
      <w:r>
        <w:t>Pin means frequently used; Protected means protected against casual deletion.</w:t>
      </w:r>
    </w:p>
    <w:p>
      <w:pPr>
        <w:pStyle w:val="CompactBullet"/>
        <w:ind w:left="259" w:hanging="173"/>
      </w:pPr>
      <w:r>
        <w:rPr>
          <w:b/>
        </w:rPr>
        <w:t xml:space="preserve">• </w:t>
      </w:r>
      <w:r>
        <w:t>Notes are human memory/context; Dincharya is action/work; Commitment is what someone promised; Outcome records what happened.</w:t>
      </w:r>
    </w:p>
    <w:p>
      <w:pPr>
        <w:pStyle w:val="CompactBullet"/>
        <w:ind w:left="259" w:hanging="173"/>
      </w:pPr>
      <w:r>
        <w:rPr>
          <w:b/>
        </w:rPr>
        <w:t xml:space="preserve">• </w:t>
      </w:r>
      <w:r>
        <w:t>One real-world Party has one canonical identity with multiple legitimate roles. Identity matching never implies disclosure of private commercial relationships.</w:t>
      </w:r>
    </w:p>
    <w:p>
      <w:pPr>
        <w:pStyle w:val="Heading1"/>
      </w:pPr>
      <w:r>
        <w:t>3. Catalogue — Final Locked State</w:t>
      </w:r>
    </w:p>
    <w:p>
      <w:pPr>
        <w:pStyle w:val="Heading2"/>
      </w:pPr>
      <w:r>
        <w:t>3.1 Foundation</w:t>
      </w:r>
    </w:p>
    <w:p>
      <w:pPr>
        <w:pStyle w:val="CompactBullet"/>
        <w:ind w:left="259" w:hanging="173"/>
      </w:pPr>
      <w:r>
        <w:rPr>
          <w:b/>
        </w:rPr>
        <w:t xml:space="preserve">• </w:t>
      </w:r>
      <w:r>
        <w:t>Catalogue is private and relationship-aware, not a public discovery marketplace by default.</w:t>
      </w:r>
    </w:p>
    <w:p>
      <w:pPr>
        <w:pStyle w:val="CompactBullet"/>
        <w:ind w:left="259" w:hanging="173"/>
      </w:pPr>
      <w:r>
        <w:rPr>
          <w:b/>
        </w:rPr>
        <w:t xml:space="preserve">• </w:t>
      </w:r>
      <w:r>
        <w:t>Products and Services are first-class. Seller-defined branches/categories are optional and should disappear from tiny-business UX when unnecessary.</w:t>
      </w:r>
    </w:p>
    <w:p>
      <w:pPr>
        <w:pStyle w:val="CompactBullet"/>
        <w:ind w:left="259" w:hanging="173"/>
      </w:pPr>
      <w:r>
        <w:rPr>
          <w:b/>
        </w:rPr>
        <w:t xml:space="preserve">• </w:t>
      </w:r>
      <w:r>
        <w:t>Canonical Product/Service IDs exist underneath; human-friendly product names and Item Code/SKU are used on the surface.</w:t>
      </w:r>
    </w:p>
    <w:p>
      <w:pPr>
        <w:pStyle w:val="CompactBullet"/>
        <w:ind w:left="259" w:hanging="173"/>
      </w:pPr>
      <w:r>
        <w:rPr>
          <w:b/>
        </w:rPr>
        <w:t xml:space="preserve">• </w:t>
      </w:r>
      <w:r>
        <w:t>Current seller-authorized visibility, current permitted price and current availability govern new commerce. Historical Orders preserve the exact agreed commercial snapshot.</w:t>
      </w:r>
    </w:p>
    <w:p>
      <w:pPr>
        <w:pStyle w:val="CompactBullet"/>
        <w:ind w:left="259" w:hanging="173"/>
      </w:pPr>
      <w:r>
        <w:rPr>
          <w:b/>
        </w:rPr>
        <w:t xml:space="preserve">• </w:t>
      </w:r>
      <w:r>
        <w:t>Buyer-specific product visibility and buyer-specific price visibility are separate permissions.</w:t>
      </w:r>
    </w:p>
    <w:p>
      <w:pPr>
        <w:pStyle w:val="CompactBullet"/>
        <w:ind w:left="259" w:hanging="173"/>
      </w:pPr>
      <w:r>
        <w:rPr>
          <w:b/>
        </w:rPr>
        <w:t xml:space="preserve">• </w:t>
      </w:r>
      <w:r>
        <w:t>Search returns only Products/Services the buyer is permitted to see.</w:t>
      </w:r>
    </w:p>
    <w:p>
      <w:pPr>
        <w:pStyle w:val="Heading2"/>
      </w:pPr>
      <w:r>
        <w:t>3.2 Source of Catalogue Commercial Facts</w:t>
      </w:r>
    </w:p>
    <w:p>
      <w:pPr>
        <w:spacing w:before="60" w:after="60"/>
      </w:pPr>
      <w:r>
        <w:rPr>
          <w:b/>
        </w:rPr>
        <w:t>Do not force duplicate maintenance.</w:t>
      </w:r>
    </w:p>
    <w:p>
      <w:pPr>
        <w:pStyle w:val="CompactBullet"/>
        <w:ind w:left="259" w:hanging="173"/>
      </w:pPr>
      <w:r>
        <w:rPr>
          <w:b/>
        </w:rPr>
        <w:t xml:space="preserve">• </w:t>
      </w:r>
      <w:r>
        <w:t>Accounting-connected seller: accounting software supplies authoritative item/product master and applicable commercial facts where available.</w:t>
      </w:r>
    </w:p>
    <w:p>
      <w:pPr>
        <w:pStyle w:val="CompactBullet"/>
        <w:ind w:left="259" w:hanging="173"/>
      </w:pPr>
      <w:r>
        <w:rPr>
          <w:b/>
        </w:rPr>
        <w:t xml:space="preserve">• </w:t>
      </w:r>
      <w:r>
        <w:t>Excel-managed seller: seller maintains Catalogue facts through the approved Excel workflow.</w:t>
      </w:r>
    </w:p>
    <w:p>
      <w:pPr>
        <w:pStyle w:val="CompactBullet"/>
        <w:ind w:left="259" w:hanging="173"/>
      </w:pPr>
      <w:r>
        <w:rPr>
          <w:b/>
        </w:rPr>
        <w:t xml:space="preserve">• </w:t>
      </w:r>
      <w:r>
        <w:t>Direct BUDCOM seller management: seller may edit the profile/Catalogue directly where accounting/Excel is not used.</w:t>
      </w:r>
    </w:p>
    <w:p>
      <w:pPr>
        <w:pStyle w:val="CompactBullet"/>
        <w:ind w:left="259" w:hanging="173"/>
      </w:pPr>
      <w:r>
        <w:rPr>
          <w:b/>
        </w:rPr>
        <w:t xml:space="preserve">• </w:t>
      </w:r>
      <w:r>
        <w:t>BUDCOM presents and communicates the active seller-authorized state rather than inventing a conflicting parallel commercial truth.</w:t>
      </w:r>
    </w:p>
    <w:p>
      <w:pPr>
        <w:pStyle w:val="Heading2"/>
      </w:pPr>
      <w:r>
        <w:t>3.3 Products of Interest</w:t>
      </w:r>
    </w:p>
    <w:p>
      <w:pPr>
        <w:pStyle w:val="CompactBullet"/>
        <w:ind w:left="259" w:hanging="173"/>
      </w:pPr>
      <w:r>
        <w:rPr>
          <w:b/>
        </w:rPr>
        <w:t xml:space="preserve">• </w:t>
      </w:r>
      <w:r>
        <w:t>Products of Interest is relationship-specific to a Buyer ↔ Seller pair and useful to both sides; it is not a global Product label.</w:t>
      </w:r>
    </w:p>
    <w:p>
      <w:pPr>
        <w:pStyle w:val="CompactBullet"/>
        <w:ind w:left="259" w:hanging="173"/>
      </w:pPr>
      <w:r>
        <w:rPr>
          <w:b/>
        </w:rPr>
        <w:t xml:space="preserve">• </w:t>
      </w:r>
      <w:r>
        <w:t>Qualifying intent includes enquiry, add-to-order/draft, order and reorder. Mere viewing does not automatically qualify.</w:t>
      </w:r>
    </w:p>
    <w:p>
      <w:pPr>
        <w:pStyle w:val="CompactBullet"/>
        <w:ind w:left="259" w:hanging="173"/>
      </w:pPr>
      <w:r>
        <w:rPr>
          <w:b/>
        </w:rPr>
        <w:t xml:space="preserve">• </w:t>
      </w:r>
      <w:r>
        <w:t>Buyer and seller may manually add/remove Products of Interest. Manual removal is authoritative until genuinely new commercial evidence justifies a later suggestion.</w:t>
      </w:r>
    </w:p>
    <w:p>
      <w:pPr>
        <w:pStyle w:val="CompactBullet"/>
        <w:ind w:left="259" w:hanging="173"/>
      </w:pPr>
      <w:r>
        <w:rPr>
          <w:b/>
        </w:rPr>
        <w:t xml:space="preserve">• </w:t>
      </w:r>
      <w:r>
        <w:t>Accounting seed for operational use: rolling 6 months; count DISTINCT eligible sales bills containing each Buyer × Product; quantity ignored; rank by bill frequency, recency as tie-breaker.</w:t>
      </w:r>
    </w:p>
    <w:p>
      <w:pPr>
        <w:pStyle w:val="CompactBullet"/>
        <w:ind w:left="259" w:hanging="173"/>
      </w:pPr>
      <w:r>
        <w:rPr>
          <w:b/>
        </w:rPr>
        <w:t xml:space="preserve">• </w:t>
      </w:r>
      <w:r>
        <w:t>BI Mode may use broader 12-month analytical memory. Operational relevance remains 6 months.</w:t>
      </w:r>
    </w:p>
    <w:p>
      <w:pPr>
        <w:pStyle w:val="CompactBullet"/>
        <w:ind w:left="259" w:hanging="173"/>
      </w:pPr>
      <w:r>
        <w:rPr>
          <w:b/>
        </w:rPr>
        <w:t xml:space="preserve">• </w:t>
      </w:r>
      <w:r>
        <w:t>Frequently Ordered is a strong repeat subset that rises to the top of the same working list rather than creating another screen.</w:t>
      </w:r>
    </w:p>
    <w:p>
      <w:pPr>
        <w:pStyle w:val="Heading2"/>
      </w:pPr>
      <w:r>
        <w:t>3.4 Buyer Order Fast</w:t>
      </w:r>
    </w:p>
    <w:p>
      <w:pPr>
        <w:pStyle w:val="CompactBullet"/>
        <w:ind w:left="259" w:hanging="173"/>
      </w:pPr>
      <w:r>
        <w:rPr>
          <w:b/>
        </w:rPr>
        <w:t xml:space="preserve">• </w:t>
      </w:r>
      <w:r>
        <w:t>For repeat relationships, Products of Interest is the primary working order sheet; Frequently Ordered appears first; Browse All is secondary.</w:t>
      </w:r>
    </w:p>
    <w:p>
      <w:pPr>
        <w:pStyle w:val="CompactBullet"/>
        <w:ind w:left="259" w:hanging="173"/>
      </w:pPr>
      <w:r>
        <w:rPr>
          <w:b/>
        </w:rPr>
        <w:t xml:space="preserve">• </w:t>
      </w:r>
      <w:r>
        <w:t>Use Last Order is the default repeat-order starting mode; Start Blank remains obvious.</w:t>
      </w:r>
    </w:p>
    <w:p>
      <w:pPr>
        <w:pStyle w:val="CompactBullet"/>
        <w:ind w:left="259" w:hanging="173"/>
      </w:pPr>
      <w:r>
        <w:rPr>
          <w:b/>
        </w:rPr>
        <w:t xml:space="preserve">• </w:t>
      </w:r>
      <w:r>
        <w:t>Last-order quantities are prefilled. Direct quantity entry / minus / plus changes only what differs.</w:t>
      </w:r>
    </w:p>
    <w:p>
      <w:pPr>
        <w:pStyle w:val="CompactBullet"/>
        <w:ind w:left="259" w:hanging="173"/>
      </w:pPr>
      <w:r>
        <w:rPr>
          <w:b/>
        </w:rPr>
        <w:t xml:space="preserve">• </w:t>
      </w:r>
      <w:r>
        <w:t>Quantity &gt; 0 means included in current draft. Quantity 0 excludes from this Order but does not erase Product of Interest or remembered history.</w:t>
      </w:r>
    </w:p>
    <w:p>
      <w:pPr>
        <w:pStyle w:val="CompactBullet"/>
        <w:ind w:left="259" w:hanging="173"/>
      </w:pPr>
      <w:r>
        <w:rPr>
          <w:b/>
        </w:rPr>
        <w:t xml:space="preserve">• </w:t>
      </w:r>
      <w:r>
        <w:t>Reset all to 0 clears current draft quantities only.</w:t>
      </w:r>
    </w:p>
    <w:p>
      <w:pPr>
        <w:pStyle w:val="CompactBullet"/>
        <w:ind w:left="259" w:hanging="173"/>
      </w:pPr>
      <w:r>
        <w:rPr>
          <w:b/>
        </w:rPr>
        <w:t xml:space="preserve">• </w:t>
      </w:r>
      <w:r>
        <w:t>New Order uses current permitted price and current availability. Historical price remains historical.</w:t>
      </w:r>
    </w:p>
    <w:p>
      <w:pPr>
        <w:pStyle w:val="CompactBullet"/>
        <w:ind w:left="259" w:hanging="173"/>
      </w:pPr>
      <w:r>
        <w:rPr>
          <w:b/>
        </w:rPr>
        <w:t xml:space="preserve">• </w:t>
      </w:r>
      <w:r>
        <w:t>Unavailable items are not silently carried forward or substituted. Replacement requires explicit commercial acceptance.</w:t>
      </w:r>
    </w:p>
    <w:p>
      <w:pPr>
        <w:pStyle w:val="CompactBullet"/>
        <w:ind w:left="259" w:hanging="173"/>
      </w:pPr>
      <w:r>
        <w:rPr>
          <w:b/>
        </w:rPr>
        <w:t xml:space="preserve">• </w:t>
      </w:r>
      <w:r>
        <w:t>Review Order shows only included items, current price, total, material exceptions, optional note and relevant delivery/location; Send Order is deliberate.</w:t>
      </w:r>
    </w:p>
    <w:p>
      <w:pPr>
        <w:pStyle w:val="CompactBullet"/>
        <w:ind w:left="259" w:hanging="173"/>
      </w:pPr>
      <w:r>
        <w:rPr>
          <w:b/>
        </w:rPr>
        <w:t xml:space="preserve">• </w:t>
      </w:r>
      <w:r>
        <w:t>Draft → Sent → Seen → Confirmed. Seen is automatic viewing; Confirmed is explicit seller acceptance of the currently agreed Order.</w:t>
      </w:r>
    </w:p>
    <w:p>
      <w:pPr>
        <w:pStyle w:val="Heading2"/>
      </w:pPr>
      <w:r>
        <w:t>3.5 Seller-side Order Fast</w:t>
      </w:r>
    </w:p>
    <w:p>
      <w:pPr>
        <w:pStyle w:val="CompactBullet"/>
        <w:ind w:left="259" w:hanging="173"/>
      </w:pPr>
      <w:r>
        <w:rPr>
          <w:b/>
        </w:rPr>
        <w:t xml:space="preserve">• </w:t>
      </w:r>
      <w:r>
        <w:t>Seller can open a buyer relationship and prepare the buyer's regular material using the same Products of Interest/Frequently Ordered/last-order intelligence.</w:t>
      </w:r>
    </w:p>
    <w:p>
      <w:pPr>
        <w:pStyle w:val="CompactBullet"/>
        <w:ind w:left="259" w:hanging="173"/>
      </w:pPr>
      <w:r>
        <w:rPr>
          <w:b/>
        </w:rPr>
        <w:t xml:space="preserve">• </w:t>
      </w:r>
      <w:r>
        <w:t>Seller-prepared Order uses current price/availability and the same minimal quantity workflow.</w:t>
      </w:r>
    </w:p>
    <w:p>
      <w:pPr>
        <w:pStyle w:val="CompactBullet"/>
        <w:ind w:left="259" w:hanging="173"/>
      </w:pPr>
      <w:r>
        <w:rPr>
          <w:b/>
        </w:rPr>
        <w:t xml:space="preserve">• </w:t>
      </w:r>
      <w:r>
        <w:t>Default final action is Send to Buyer for Confirmation — not seller-side confirmation.</w:t>
      </w:r>
    </w:p>
    <w:p>
      <w:pPr>
        <w:pStyle w:val="CompactBullet"/>
        <w:ind w:left="259" w:hanging="173"/>
      </w:pPr>
      <w:r>
        <w:rPr>
          <w:b/>
        </w:rPr>
        <w:t xml:space="preserve">• </w:t>
      </w:r>
      <w:r>
        <w:t>Buyer-prepared proposal → seller confirms. Seller-prepared proposal → buyer confirms.</w:t>
      </w:r>
    </w:p>
    <w:p>
      <w:pPr>
        <w:pStyle w:val="CompactBullet"/>
        <w:ind w:left="259" w:hanging="173"/>
      </w:pPr>
      <w:r>
        <w:rPr>
          <w:b/>
        </w:rPr>
        <w:t xml:space="preserve">• </w:t>
      </w:r>
      <w:r>
        <w:t>Governing trust rule: whoever did not originate the commercial proposal gives the final confirmation.</w:t>
      </w:r>
    </w:p>
    <w:p>
      <w:pPr>
        <w:pStyle w:val="CompactBullet"/>
        <w:ind w:left="259" w:hanging="173"/>
      </w:pPr>
      <w:r>
        <w:rPr>
          <w:b/>
        </w:rPr>
        <w:t xml:space="preserve">• </w:t>
      </w:r>
      <w:r>
        <w:t>Direct seller communication remains simple; do not create extra picker/confirmation clutter merely for adding products.</w:t>
      </w:r>
    </w:p>
    <w:p>
      <w:pPr>
        <w:pStyle w:val="Heading2"/>
      </w:pPr>
      <w:r>
        <w:t>3.6 Pricing</w:t>
      </w:r>
    </w:p>
    <w:p>
      <w:pPr>
        <w:pStyle w:val="CompactBullet"/>
        <w:ind w:left="259" w:hanging="173"/>
      </w:pPr>
      <w:r>
        <w:rPr>
          <w:b/>
        </w:rPr>
        <w:t xml:space="preserve">• </w:t>
      </w:r>
      <w:r>
        <w:t>Seller may maintain one or multiple price lists/price levels.</w:t>
      </w:r>
    </w:p>
    <w:p>
      <w:pPr>
        <w:pStyle w:val="CompactBullet"/>
        <w:ind w:left="259" w:hanging="173"/>
      </w:pPr>
      <w:r>
        <w:rPr>
          <w:b/>
        </w:rPr>
        <w:t xml:space="preserve">• </w:t>
      </w:r>
      <w:r>
        <w:t>Price list source may be accounting software, Excel Catalogue management or direct BUDCOM Catalogue management.</w:t>
      </w:r>
    </w:p>
    <w:p>
      <w:pPr>
        <w:pStyle w:val="CompactBullet"/>
        <w:ind w:left="259" w:hanging="173"/>
      </w:pPr>
      <w:r>
        <w:rPr>
          <w:b/>
        </w:rPr>
        <w:t xml:space="preserve">• </w:t>
      </w:r>
      <w:r>
        <w:t>BUDCOM may resolve the applicable price level for the buyer.</w:t>
      </w:r>
    </w:p>
    <w:p>
      <w:pPr>
        <w:pStyle w:val="CompactBullet"/>
        <w:ind w:left="259" w:hanging="173"/>
      </w:pPr>
      <w:r>
        <w:rPr>
          <w:b/>
        </w:rPr>
        <w:t xml:space="preserve">• </w:t>
      </w:r>
      <w:r>
        <w:t>If the seller manually edits a price for a particular Buyer × Product during actual business, BUDCOM remembers that relationship-specific edited price for future convenience.</w:t>
      </w:r>
    </w:p>
    <w:p>
      <w:pPr>
        <w:pStyle w:val="CompactBullet"/>
        <w:ind w:left="259" w:hanging="173"/>
      </w:pPr>
      <w:r>
        <w:rPr>
          <w:b/>
        </w:rPr>
        <w:t xml:space="preserve">• </w:t>
      </w:r>
      <w:r>
        <w:t>Remembered buyer-specific price is commercial memory, not a silent rewrite of the master price list.</w:t>
      </w:r>
    </w:p>
    <w:p>
      <w:pPr>
        <w:pStyle w:val="CompactBullet"/>
        <w:ind w:left="259" w:hanging="173"/>
      </w:pPr>
      <w:r>
        <w:rPr>
          <w:b/>
        </w:rPr>
        <w:t xml:space="preserve">• </w:t>
      </w:r>
      <w:r>
        <w:t>If underlying commercial state changes materially, BUDCOM surfaces the change rather than pretending an old negotiated price is unquestionably current.</w:t>
      </w:r>
    </w:p>
    <w:p>
      <w:pPr>
        <w:pStyle w:val="CompactBullet"/>
        <w:ind w:left="259" w:hanging="173"/>
      </w:pPr>
      <w:r>
        <w:rPr>
          <w:b/>
        </w:rPr>
        <w:t xml:space="preserve">• </w:t>
      </w:r>
      <w:r>
        <w:t>Confirmed historical Orders preserve the exact agreed price.</w:t>
      </w:r>
    </w:p>
    <w:p>
      <w:pPr>
        <w:pStyle w:val="Heading2"/>
      </w:pPr>
      <w:r>
        <w:t>3.7 Privacy and Competitive Confidentiality</w:t>
      </w:r>
    </w:p>
    <w:p>
      <w:pPr>
        <w:pStyle w:val="CompactBullet"/>
        <w:ind w:left="259" w:hanging="173"/>
      </w:pPr>
      <w:r>
        <w:rPr>
          <w:b/>
        </w:rPr>
        <w:t xml:space="preserve">• </w:t>
      </w:r>
      <w:r>
        <w:t>A buyer sees only the seller-authorized Catalogue view for that relationship.</w:t>
      </w:r>
    </w:p>
    <w:p>
      <w:pPr>
        <w:pStyle w:val="CompactBullet"/>
        <w:ind w:left="259" w:hanging="173"/>
      </w:pPr>
      <w:r>
        <w:rPr>
          <w:b/>
        </w:rPr>
        <w:t xml:space="preserve">• </w:t>
      </w:r>
      <w:r>
        <w:t>Buyer-specific prices, negotiated prices, price levels, Order history, quantities, Products of Interest, Frequently Ordered, enquiries and commercial terms are never visible to another buyer.</w:t>
      </w:r>
    </w:p>
    <w:p>
      <w:pPr>
        <w:pStyle w:val="CompactBullet"/>
        <w:ind w:left="259" w:hanging="173"/>
      </w:pPr>
      <w:r>
        <w:rPr>
          <w:b/>
        </w:rPr>
        <w:t xml:space="preserve">• </w:t>
      </w:r>
      <w:r>
        <w:t>A competitor who is also a customer sees only its own permitted relationship view.</w:t>
      </w:r>
    </w:p>
    <w:p>
      <w:pPr>
        <w:pStyle w:val="CompactBullet"/>
        <w:ind w:left="259" w:hanging="173"/>
      </w:pPr>
      <w:r>
        <w:rPr>
          <w:b/>
        </w:rPr>
        <w:t xml:space="preserve">• </w:t>
      </w:r>
      <w:r>
        <w:t>Common customers may exist, but BUDCOM does not expose supplier/customer relationship graphs merely because identities overlap.</w:t>
      </w:r>
    </w:p>
    <w:p>
      <w:pPr>
        <w:pStyle w:val="CompactBullet"/>
        <w:ind w:left="259" w:hanging="173"/>
      </w:pPr>
      <w:r>
        <w:rPr>
          <w:b/>
        </w:rPr>
        <w:t xml:space="preserve">• </w:t>
      </w:r>
      <w:r>
        <w:t>Identity matching does not imply relationship disclosure.</w:t>
      </w:r>
    </w:p>
    <w:p>
      <w:pPr>
        <w:pStyle w:val="CompactBullet"/>
        <w:ind w:left="259" w:hanging="173"/>
      </w:pPr>
      <w:r>
        <w:rPr>
          <w:b/>
        </w:rPr>
        <w:t xml:space="preserve">• </w:t>
      </w:r>
      <w:r>
        <w:t>Hidden products must not leak through Search, Browse All, Order Fast, Products of Interest, counts, badges, exports or BI surfaces.</w:t>
      </w:r>
    </w:p>
    <w:p>
      <w:pPr>
        <w:pStyle w:val="Heading2"/>
      </w:pPr>
      <w:r>
        <w:t>3.8 Product Detail, Units, Packs and Variants</w:t>
      </w:r>
    </w:p>
    <w:p>
      <w:pPr>
        <w:pStyle w:val="CompactBullet"/>
        <w:ind w:left="259" w:hanging="173"/>
      </w:pPr>
      <w:r>
        <w:rPr>
          <w:b/>
        </w:rPr>
        <w:t xml:space="preserve">• </w:t>
      </w:r>
      <w:r>
        <w:t>Order/Order Fast rows remain extremely compact. Full product information is not placed on the working order page.</w:t>
      </w:r>
    </w:p>
    <w:p>
      <w:pPr>
        <w:pStyle w:val="CompactBullet"/>
        <w:ind w:left="259" w:hanging="173"/>
      </w:pPr>
      <w:r>
        <w:rPr>
          <w:b/>
        </w:rPr>
        <w:t xml:space="preserve">• </w:t>
      </w:r>
      <w:r>
        <w:t>On product click/tap, Product Detail requires: Product name, image, Item Code/SKU where available, current permitted price, availability, unit/pack size where relevant, and quantity/Add to Order.</w:t>
      </w:r>
    </w:p>
    <w:p>
      <w:pPr>
        <w:pStyle w:val="CompactBullet"/>
        <w:ind w:left="259" w:hanging="173"/>
      </w:pPr>
      <w:r>
        <w:rPr>
          <w:b/>
        </w:rPr>
        <w:t xml:space="preserve">• </w:t>
      </w:r>
      <w:r>
        <w:t>Deeper specifications/media/documents remain progressive disclosure rather than default clutter.</w:t>
      </w:r>
    </w:p>
    <w:p>
      <w:pPr>
        <w:pStyle w:val="CompactBullet"/>
        <w:ind w:left="259" w:hanging="173"/>
      </w:pPr>
      <w:r>
        <w:rPr>
          <w:b/>
        </w:rPr>
        <w:t xml:space="preserve">• </w:t>
      </w:r>
      <w:r>
        <w:t>Units and pack sizes are supported normally from the active seller source.</w:t>
      </w:r>
    </w:p>
    <w:p>
      <w:pPr>
        <w:pStyle w:val="CompactBullet"/>
        <w:ind w:left="259" w:hanging="173"/>
      </w:pPr>
      <w:r>
        <w:rPr>
          <w:b/>
        </w:rPr>
        <w:t xml:space="preserve">• </w:t>
      </w:r>
      <w:r>
        <w:t>Variants are seller-activated only. BUDCOM does not assume every Product needs variants.</w:t>
      </w:r>
    </w:p>
    <w:p>
      <w:pPr>
        <w:pStyle w:val="CompactBullet"/>
        <w:ind w:left="259" w:hanging="173"/>
      </w:pPr>
      <w:r>
        <w:rPr>
          <w:b/>
        </w:rPr>
        <w:t xml:space="preserve">• </w:t>
      </w:r>
      <w:r>
        <w:t>Prefer actual orderable/accounting SKU structure; do not manufacture a second variant system unless genuinely required.</w:t>
      </w:r>
    </w:p>
    <w:p>
      <w:pPr>
        <w:pStyle w:val="Heading2"/>
      </w:pPr>
      <w:r>
        <w:t>3.9 Enquiry, Estimate and Drafts</w:t>
      </w:r>
    </w:p>
    <w:p>
      <w:pPr>
        <w:pStyle w:val="CompactBullet"/>
        <w:ind w:left="259" w:hanging="173"/>
      </w:pPr>
      <w:r>
        <w:rPr>
          <w:b/>
        </w:rPr>
        <w:t xml:space="preserve">• </w:t>
      </w:r>
      <w:r>
        <w:t>Enquiry is lightweight product-linked direct communication; no ticketing/CRM-style enquiry machinery.</w:t>
      </w:r>
    </w:p>
    <w:p>
      <w:pPr>
        <w:pStyle w:val="CompactBullet"/>
        <w:ind w:left="259" w:hanging="173"/>
      </w:pPr>
      <w:r>
        <w:rPr>
          <w:b/>
        </w:rPr>
        <w:t xml:space="preserve">• </w:t>
      </w:r>
      <w:r>
        <w:t>Estimate/Quotation reuses selected Products and current commercial context; accounting software leads where already used, BUDCOM-native only where needed.</w:t>
      </w:r>
    </w:p>
    <w:p>
      <w:pPr>
        <w:pStyle w:val="CompactBullet"/>
        <w:ind w:left="259" w:hanging="173"/>
      </w:pPr>
      <w:r>
        <w:rPr>
          <w:b/>
        </w:rPr>
        <w:t xml:space="preserve">• </w:t>
      </w:r>
      <w:r>
        <w:t>A BUDCOM-created quotation is a commercial document, not silently an accounting voucher/invoice.</w:t>
      </w:r>
    </w:p>
    <w:p>
      <w:pPr>
        <w:pStyle w:val="CompactBullet"/>
        <w:ind w:left="259" w:hanging="173"/>
      </w:pPr>
      <w:r>
        <w:rPr>
          <w:b/>
        </w:rPr>
        <w:t xml:space="preserve">• </w:t>
      </w:r>
      <w:r>
        <w:t>Draft Orders preserve automatically and resume simply. No compulsory Save Draft button.</w:t>
      </w:r>
    </w:p>
    <w:p>
      <w:pPr>
        <w:pStyle w:val="CompactBullet"/>
        <w:ind w:left="259" w:hanging="173"/>
      </w:pPr>
      <w:r>
        <w:rPr>
          <w:b/>
        </w:rPr>
        <w:t xml:space="preserve">• </w:t>
      </w:r>
      <w:r>
        <w:t>Before final Send/Confirm, current price/availability/permission facts are revalidated.</w:t>
      </w:r>
    </w:p>
    <w:p>
      <w:pPr>
        <w:pStyle w:val="Heading2"/>
      </w:pPr>
      <w:r>
        <w:t>3.10 Final Catalogue Surface</w:t>
      </w:r>
    </w:p>
    <w:p>
      <w:pPr>
        <w:spacing w:before="60" w:after="60"/>
      </w:pPr>
      <w:r>
        <w:rPr>
          <w:b/>
        </w:rPr>
        <w:t>Catalogue design is CLOSED.</w:t>
      </w:r>
    </w:p>
    <w:p>
      <w:pPr>
        <w:pStyle w:val="CompactBullet"/>
        <w:ind w:left="259" w:hanging="173"/>
      </w:pPr>
      <w:r>
        <w:rPr>
          <w:b/>
        </w:rPr>
        <w:t xml:space="preserve">• </w:t>
      </w:r>
      <w:r>
        <w:t>Default buyer experience remains: Search → relationship-specific Products of Interest/Frequently Ordered → Order Fast → Browse All only when needed.</w:t>
      </w:r>
    </w:p>
    <w:p>
      <w:pPr>
        <w:pStyle w:val="CompactBullet"/>
        <w:ind w:left="259" w:hanging="173"/>
      </w:pPr>
      <w:r>
        <w:rPr>
          <w:b/>
        </w:rPr>
        <w:t xml:space="preserve">• </w:t>
      </w:r>
      <w:r>
        <w:t>Same architecture must work naturally for a seller with 5 cakes, 20 services or 1,500 plumbing products.</w:t>
      </w:r>
    </w:p>
    <w:p>
      <w:pPr>
        <w:pStyle w:val="CompactBullet"/>
        <w:ind w:left="259" w:hanging="173"/>
      </w:pPr>
      <w:r>
        <w:rPr>
          <w:b/>
        </w:rPr>
        <w:t xml:space="preserve">• </w:t>
      </w:r>
      <w:r>
        <w:t>Do not reopen Catalogue for generic e-commerce features unless evidence proves a genuine BUDCOM business need.</w:t>
      </w:r>
    </w:p>
    <w:p>
      <w:r>
        <w:br w:type="page"/>
      </w:r>
    </w:p>
    <w:p>
      <w:pPr>
        <w:pStyle w:val="Heading1"/>
      </w:pPr>
      <w:r>
        <w:t>4. Vartalap — Final Locked Product Model</w:t>
      </w:r>
    </w:p>
    <w:p>
      <w:pPr>
        <w:spacing w:before="60" w:after="60"/>
      </w:pPr>
      <w:r>
        <w:rPr>
          <w:b/>
        </w:rPr>
        <w:t>Vartalap is BUDCOM's private transactional business messenger: ordinary chat outside, structured commercial truth underneath.</w:t>
      </w:r>
    </w:p>
    <w:p>
      <w:pPr>
        <w:pStyle w:val="CompactBullet"/>
        <w:ind w:left="259" w:hanging="173"/>
      </w:pPr>
      <w:r>
        <w:rPr>
          <w:b/>
        </w:rPr>
        <w:t xml:space="preserve">• </w:t>
      </w:r>
      <w:r>
        <w:t>Core original thesis preserved: Conversation → Agreement → Transaction → Payment Confirmation → Behaviour-derived Trust → Reorder.</w:t>
      </w:r>
    </w:p>
    <w:p>
      <w:pPr>
        <w:pStyle w:val="CompactBullet"/>
        <w:ind w:left="259" w:hanging="173"/>
      </w:pPr>
      <w:r>
        <w:rPr>
          <w:b/>
        </w:rPr>
        <w:t xml:space="preserve">• </w:t>
      </w:r>
      <w:r>
        <w:t>Vartalap is the structured communication/event layer. BI Mode owns deeper intelligence and behavioural interpretation.</w:t>
      </w:r>
    </w:p>
    <w:p>
      <w:pPr>
        <w:pStyle w:val="Heading2"/>
      </w:pPr>
      <w:r>
        <w:t>4.1 Conversation Identity</w:t>
      </w:r>
    </w:p>
    <w:p>
      <w:pPr>
        <w:pStyle w:val="CompactBullet"/>
        <w:ind w:left="259" w:hanging="173"/>
      </w:pPr>
      <w:r>
        <w:rPr>
          <w:b/>
        </w:rPr>
        <w:t xml:space="preserve">• </w:t>
      </w:r>
      <w:r>
        <w:t>Conversations anchor to canonical Party/business relationships, not to a phone number or device.</w:t>
      </w:r>
    </w:p>
    <w:p>
      <w:pPr>
        <w:pStyle w:val="CompactBullet"/>
        <w:ind w:left="259" w:hanging="173"/>
      </w:pPr>
      <w:r>
        <w:rPr>
          <w:b/>
        </w:rPr>
        <w:t xml:space="preserve">• </w:t>
      </w:r>
      <w:r>
        <w:t>Changing phone/device/staff must not fragment legitimate relationship history.</w:t>
      </w:r>
    </w:p>
    <w:p>
      <w:pPr>
        <w:pStyle w:val="CompactBullet"/>
        <w:ind w:left="259" w:hanging="173"/>
      </w:pPr>
      <w:r>
        <w:rPr>
          <w:b/>
        </w:rPr>
        <w:t xml:space="preserve">• </w:t>
      </w:r>
      <w:r>
        <w:t>Visible everyday path: Chats → Party → Message.</w:t>
      </w:r>
    </w:p>
    <w:p>
      <w:pPr>
        <w:pStyle w:val="CompactBullet"/>
        <w:ind w:left="259" w:hanging="173"/>
      </w:pPr>
      <w:r>
        <w:rPr>
          <w:b/>
        </w:rPr>
        <w:t xml:space="preserve">• </w:t>
      </w:r>
      <w:r>
        <w:t>Business identity is primary; individual staff actions remain attributable underneath.</w:t>
      </w:r>
    </w:p>
    <w:p>
      <w:pPr>
        <w:pStyle w:val="CompactBullet"/>
        <w:ind w:left="259" w:hanging="173"/>
      </w:pPr>
      <w:r>
        <w:rPr>
          <w:b/>
        </w:rPr>
        <w:t xml:space="preserve">• </w:t>
      </w:r>
      <w:r>
        <w:t>Staff access is permissioned. Staff departure/reassignment changes future access without rewriting historical attribution.</w:t>
      </w:r>
    </w:p>
    <w:p>
      <w:pPr>
        <w:pStyle w:val="CompactBullet"/>
        <w:ind w:left="259" w:hanging="173"/>
      </w:pPr>
      <w:r>
        <w:rPr>
          <w:b/>
        </w:rPr>
        <w:t xml:space="preserve">• </w:t>
      </w:r>
      <w:r>
        <w:t>Internal staff discussion and customer-facing communication remain strongly separated.</w:t>
      </w:r>
    </w:p>
    <w:p>
      <w:pPr>
        <w:pStyle w:val="Heading2"/>
      </w:pPr>
      <w:r>
        <w:t>4.2 Ordinary Messaging</w:t>
      </w:r>
    </w:p>
    <w:p>
      <w:pPr>
        <w:pStyle w:val="CompactBullet"/>
        <w:ind w:left="259" w:hanging="173"/>
      </w:pPr>
      <w:r>
        <w:rPr>
          <w:b/>
        </w:rPr>
        <w:t xml:space="preserve">• </w:t>
      </w:r>
      <w:r>
        <w:t>First-class content: text, voice/audio, images, video, documents/files and product links/cards.</w:t>
      </w:r>
    </w:p>
    <w:p>
      <w:pPr>
        <w:pStyle w:val="CompactBullet"/>
        <w:ind w:left="259" w:hanging="173"/>
      </w:pPr>
      <w:r>
        <w:rPr>
          <w:b/>
        </w:rPr>
        <w:t xml:space="preserve">• </w:t>
      </w:r>
      <w:r>
        <w:t>Reply-to-message and lightweight reactions are supported; reaction never equals commercial acceptance.</w:t>
      </w:r>
    </w:p>
    <w:p>
      <w:pPr>
        <w:pStyle w:val="CompactBullet"/>
        <w:ind w:left="259" w:hanging="173"/>
      </w:pPr>
      <w:r>
        <w:rPr>
          <w:b/>
        </w:rPr>
        <w:t xml:space="preserve">• </w:t>
      </w:r>
      <w:r>
        <w:t>Voice notes are first-class for practical Indian business communication.</w:t>
      </w:r>
    </w:p>
    <w:p>
      <w:pPr>
        <w:pStyle w:val="CompactBullet"/>
        <w:ind w:left="259" w:hanging="173"/>
      </w:pPr>
      <w:r>
        <w:rPr>
          <w:b/>
        </w:rPr>
        <w:t xml:space="preserve">• </w:t>
      </w:r>
      <w:r>
        <w:t>Large media must not make chat opening heavy; previews/metadata are lightweight derived state.</w:t>
      </w:r>
    </w:p>
    <w:p>
      <w:pPr>
        <w:pStyle w:val="CompactBullet"/>
        <w:ind w:left="259" w:hanging="173"/>
      </w:pPr>
      <w:r>
        <w:rPr>
          <w:b/>
        </w:rPr>
        <w:t xml:space="preserve">• </w:t>
      </w:r>
      <w:r>
        <w:t>Conversation works offline from synchronized local state and degrades gracefully if AI, BI, accounting or network services are unavailable.</w:t>
      </w:r>
    </w:p>
    <w:p>
      <w:pPr>
        <w:pStyle w:val="CompactBullet"/>
        <w:ind w:left="259" w:hanging="173"/>
      </w:pPr>
      <w:r>
        <w:rPr>
          <w:b/>
        </w:rPr>
        <w:t xml:space="preserve">• </w:t>
      </w:r>
      <w:r>
        <w:t>No mandatory classification of ordinary messages.</w:t>
      </w:r>
    </w:p>
    <w:p>
      <w:pPr>
        <w:pStyle w:val="Heading2"/>
      </w:pPr>
      <w:r>
        <w:t>4.3 Structured Business Events Inside Chat</w:t>
      </w:r>
    </w:p>
    <w:p>
      <w:pPr>
        <w:pStyle w:val="CompactBullet"/>
        <w:ind w:left="259" w:hanging="173"/>
      </w:pPr>
      <w:r>
        <w:rPr>
          <w:b/>
        </w:rPr>
        <w:t xml:space="preserve">• </w:t>
      </w:r>
      <w:r>
        <w:t>Product, Enquiry, Estimate, Order, Invoice/Voucher representation, Payment event, Commitment and other approved business objects may appear naturally as compact cards/events inside conversation.</w:t>
      </w:r>
    </w:p>
    <w:p>
      <w:pPr>
        <w:pStyle w:val="CompactBullet"/>
        <w:ind w:left="259" w:hanging="173"/>
      </w:pPr>
      <w:r>
        <w:rPr>
          <w:b/>
        </w:rPr>
        <w:t xml:space="preserve">• </w:t>
      </w:r>
      <w:r>
        <w:t>The card is a representation of a canonical structured object, not an independent parallel record.</w:t>
      </w:r>
    </w:p>
    <w:p>
      <w:pPr>
        <w:pStyle w:val="CompactBullet"/>
        <w:ind w:left="259" w:hanging="173"/>
      </w:pPr>
      <w:r>
        <w:rPr>
          <w:b/>
        </w:rPr>
        <w:t xml:space="preserve">• </w:t>
      </w:r>
      <w:r>
        <w:t>Tap card for details. Keep the chat stream compact.</w:t>
      </w:r>
    </w:p>
    <w:p>
      <w:pPr>
        <w:pStyle w:val="CompactBullet"/>
        <w:ind w:left="259" w:hanging="173"/>
      </w:pPr>
      <w:r>
        <w:rPr>
          <w:b/>
        </w:rPr>
        <w:t xml:space="preserve">• </w:t>
      </w:r>
      <w:r>
        <w:t>Commercial actions appear only when relevant, with one obvious primary action where possible.</w:t>
      </w:r>
    </w:p>
    <w:p>
      <w:pPr>
        <w:pStyle w:val="CompactBullet"/>
        <w:ind w:left="259" w:hanging="173"/>
      </w:pPr>
      <w:r>
        <w:rPr>
          <w:b/>
        </w:rPr>
        <w:t xml:space="preserve">• </w:t>
      </w:r>
      <w:r>
        <w:t>Material revisions remain inspectable; historical truth is never silently rewritten.</w:t>
      </w:r>
    </w:p>
    <w:p>
      <w:pPr>
        <w:pStyle w:val="CompactBullet"/>
        <w:ind w:left="259" w:hanging="173"/>
      </w:pPr>
      <w:r>
        <w:rPr>
          <w:b/>
        </w:rPr>
        <w:t xml:space="preserve">• </w:t>
      </w:r>
      <w:r>
        <w:t>Reading/Seen never equals commercial Confirmed.</w:t>
      </w:r>
    </w:p>
    <w:p>
      <w:pPr>
        <w:pStyle w:val="Heading2"/>
      </w:pPr>
      <w:r>
        <w:t>4.4 Mutual Agreement and Signature Moment</w:t>
      </w:r>
    </w:p>
    <w:p>
      <w:pPr>
        <w:pStyle w:val="CompactBullet"/>
        <w:ind w:left="259" w:hanging="173"/>
      </w:pPr>
      <w:r>
        <w:rPr>
          <w:b/>
        </w:rPr>
        <w:t xml:space="preserve">• </w:t>
      </w:r>
      <w:r>
        <w:t>Important commercial commitments require explicit structured acknowledgement where appropriate: Accept / Request Change / Reject or equivalent.</w:t>
      </w:r>
    </w:p>
    <w:p>
      <w:pPr>
        <w:pStyle w:val="CompactBullet"/>
        <w:ind w:left="259" w:hanging="173"/>
      </w:pPr>
      <w:r>
        <w:rPr>
          <w:b/>
        </w:rPr>
        <w:t xml:space="preserve">• </w:t>
      </w:r>
      <w:r>
        <w:t>The party that originated a commercial proposal cannot manufacture the counterparty's confirmation.</w:t>
      </w:r>
    </w:p>
    <w:p>
      <w:pPr>
        <w:pStyle w:val="CompactBullet"/>
        <w:ind w:left="259" w:hanging="173"/>
      </w:pPr>
      <w:r>
        <w:rPr>
          <w:b/>
        </w:rPr>
        <w:t xml:space="preserve">• </w:t>
      </w:r>
      <w:r>
        <w:t>When genuine mutual commercial agreement is reached, BUDCOM may play a restrained ~1-second professional 'woo-hoo' sound/animation.</w:t>
      </w:r>
    </w:p>
    <w:p>
      <w:pPr>
        <w:pStyle w:val="CompactBullet"/>
        <w:ind w:left="259" w:hanging="173"/>
      </w:pPr>
      <w:r>
        <w:rPr>
          <w:b/>
        </w:rPr>
        <w:t xml:space="preserve">• </w:t>
      </w:r>
      <w:r>
        <w:t>Woo-hoo is reserved for genuine agreement, can be disabled, respects accessibility/system sound settings, and never replaces textual state.</w:t>
      </w:r>
    </w:p>
    <w:p>
      <w:pPr>
        <w:pStyle w:val="Heading2"/>
      </w:pPr>
      <w:r>
        <w:t>4.5 My Transactions, Payment and Completion</w:t>
      </w:r>
    </w:p>
    <w:p>
      <w:pPr>
        <w:pStyle w:val="CompactBullet"/>
        <w:ind w:left="259" w:hanging="173"/>
      </w:pPr>
      <w:r>
        <w:rPr>
          <w:b/>
        </w:rPr>
        <w:t xml:space="preserve">• </w:t>
      </w:r>
      <w:r>
        <w:t>Agreed transactions appear in My Transactions for both parties; Vartalap shows the conversational representation of the same canonical transaction.</w:t>
      </w:r>
    </w:p>
    <w:p>
      <w:pPr>
        <w:pStyle w:val="CompactBullet"/>
        <w:ind w:left="259" w:hanging="173"/>
      </w:pPr>
      <w:r>
        <w:rPr>
          <w:b/>
        </w:rPr>
        <w:t xml:space="preserve">• </w:t>
      </w:r>
      <w:r>
        <w:t>Buyer-reported Payment Initiated/Paid/Installment Paid and seller-confirmed Payment Received are distinct facts.</w:t>
      </w:r>
    </w:p>
    <w:p>
      <w:pPr>
        <w:pStyle w:val="CompactBullet"/>
        <w:ind w:left="259" w:hanging="173"/>
      </w:pPr>
      <w:r>
        <w:rPr>
          <w:b/>
        </w:rPr>
        <w:t xml:space="preserve">• </w:t>
      </w:r>
      <w:r>
        <w:t>A buyer cannot manufacture confirmed receipt by pressing Paid; a seller cannot manufacture buyer payment truth unilaterally.</w:t>
      </w:r>
    </w:p>
    <w:p>
      <w:pPr>
        <w:pStyle w:val="CompactBullet"/>
        <w:ind w:left="259" w:hanging="173"/>
      </w:pPr>
      <w:r>
        <w:rPr>
          <w:b/>
        </w:rPr>
        <w:t xml:space="preserve">• </w:t>
      </w:r>
      <w:r>
        <w:t>Accounting/payment evidence may strengthen or resolve payment facts while provenance remains preserved.</w:t>
      </w:r>
    </w:p>
    <w:p>
      <w:pPr>
        <w:pStyle w:val="CompactBullet"/>
        <w:ind w:left="259" w:hanging="173"/>
      </w:pPr>
      <w:r>
        <w:rPr>
          <w:b/>
        </w:rPr>
        <w:t xml:space="preserve">• </w:t>
      </w:r>
      <w:r>
        <w:t>Partial payments reduce remaining obligation rather than falsely closing the transaction.</w:t>
      </w:r>
    </w:p>
    <w:p>
      <w:pPr>
        <w:pStyle w:val="CompactBullet"/>
        <w:ind w:left="259" w:hanging="173"/>
      </w:pPr>
      <w:r>
        <w:rPr>
          <w:b/>
        </w:rPr>
        <w:t xml:space="preserve">• </w:t>
      </w:r>
      <w:r>
        <w:t>Completion occurs when relevant obligations truthfully close; Order confirmation alone is not transaction completion.</w:t>
      </w:r>
    </w:p>
    <w:p>
      <w:pPr>
        <w:pStyle w:val="CompactBullet"/>
        <w:ind w:left="259" w:hanging="173"/>
      </w:pPr>
      <w:r>
        <w:rPr>
          <w:b/>
        </w:rPr>
        <w:t xml:space="preserve">• </w:t>
      </w:r>
      <w:r>
        <w:t>Recovery reminders remain neutral, private and non-humiliating. No public overdue badges or shaming.</w:t>
      </w:r>
    </w:p>
    <w:p>
      <w:pPr>
        <w:pStyle w:val="Heading2"/>
      </w:pPr>
      <w:r>
        <w:t>4.6 Reorder Loop</w:t>
      </w:r>
    </w:p>
    <w:p>
      <w:pPr>
        <w:pStyle w:val="CompactBullet"/>
        <w:ind w:left="259" w:hanging="173"/>
      </w:pPr>
      <w:r>
        <w:rPr>
          <w:b/>
        </w:rPr>
        <w:t xml:space="preserve">• </w:t>
      </w:r>
      <w:r>
        <w:t>After completion, user may choose when to be reminded about the next order/follow-up.</w:t>
      </w:r>
    </w:p>
    <w:p>
      <w:pPr>
        <w:pStyle w:val="CompactBullet"/>
        <w:ind w:left="259" w:hanging="173"/>
      </w:pPr>
      <w:r>
        <w:rPr>
          <w:b/>
        </w:rPr>
        <w:t xml:space="preserve">• </w:t>
      </w:r>
      <w:r>
        <w:t>Reorder connects directly to Order Fast and relationship-specific history.</w:t>
      </w:r>
    </w:p>
    <w:p>
      <w:pPr>
        <w:pStyle w:val="CompactBullet"/>
        <w:ind w:left="259" w:hanging="173"/>
      </w:pPr>
      <w:r>
        <w:rPr>
          <w:b/>
        </w:rPr>
        <w:t xml:space="preserve">• </w:t>
      </w:r>
      <w:r>
        <w:t>Repeat-business assistance must not require AI; deterministic Products of Interest/last-order memory already provide the core capability.</w:t>
      </w:r>
    </w:p>
    <w:p>
      <w:pPr>
        <w:pStyle w:val="Heading2"/>
      </w:pPr>
      <w:r>
        <w:t>4.7 Trust and Reputation</w:t>
      </w:r>
    </w:p>
    <w:p>
      <w:pPr>
        <w:pStyle w:val="CompactBullet"/>
        <w:ind w:left="259" w:hanging="173"/>
      </w:pPr>
      <w:r>
        <w:rPr>
          <w:b/>
        </w:rPr>
        <w:t xml:space="preserve">• </w:t>
      </w:r>
      <w:r>
        <w:t>No public star-rating culture by default.</w:t>
      </w:r>
    </w:p>
    <w:p>
      <w:pPr>
        <w:pStyle w:val="CompactBullet"/>
        <w:ind w:left="259" w:hanging="173"/>
      </w:pPr>
      <w:r>
        <w:rPr>
          <w:b/>
        </w:rPr>
        <w:t xml:space="preserve">• </w:t>
      </w:r>
      <w:r>
        <w:t>Trust relies primarily on verified behaviour rather than popularity reviews.</w:t>
      </w:r>
    </w:p>
    <w:p>
      <w:pPr>
        <w:pStyle w:val="CompactBullet"/>
        <w:ind w:left="259" w:hanging="173"/>
      </w:pPr>
      <w:r>
        <w:rPr>
          <w:b/>
        </w:rPr>
        <w:t xml:space="preserve">• </w:t>
      </w:r>
      <w:r>
        <w:t>Buyer and seller reliability dimensions remain contextual/separate rather than one opaque universal score.</w:t>
      </w:r>
    </w:p>
    <w:p>
      <w:pPr>
        <w:pStyle w:val="CompactBullet"/>
        <w:ind w:left="259" w:hanging="173"/>
      </w:pPr>
      <w:r>
        <w:rPr>
          <w:b/>
        </w:rPr>
        <w:t xml:space="preserve">• </w:t>
      </w:r>
      <w:r>
        <w:t>No self-created reputation: important behavioural claims require appropriate counterparty or authoritative evidence.</w:t>
      </w:r>
    </w:p>
    <w:p>
      <w:pPr>
        <w:pStyle w:val="CompactBullet"/>
        <w:ind w:left="259" w:hanging="173"/>
      </w:pPr>
      <w:r>
        <w:rPr>
          <w:b/>
        </w:rPr>
        <w:t xml:space="preserve">• </w:t>
      </w:r>
      <w:r>
        <w:t>Seller receipt-confirmation discipline may contribute to seller reliability.</w:t>
      </w:r>
    </w:p>
    <w:p>
      <w:pPr>
        <w:pStyle w:val="CompactBullet"/>
        <w:ind w:left="259" w:hanging="173"/>
      </w:pPr>
      <w:r>
        <w:rPr>
          <w:b/>
        </w:rPr>
        <w:t xml:space="preserve">• </w:t>
      </w:r>
      <w:r>
        <w:t>Disputes, returns, shortages, adjustments, partial payments and genuine mistakes do not automatically imply misconduct.</w:t>
      </w:r>
    </w:p>
    <w:p>
      <w:pPr>
        <w:pStyle w:val="CompactBullet"/>
        <w:ind w:left="259" w:hanging="173"/>
      </w:pPr>
      <w:r>
        <w:rPr>
          <w:b/>
        </w:rPr>
        <w:t xml:space="preserve">• </w:t>
      </w:r>
      <w:r>
        <w:t>Trust must be explainable and auditable. Never sell a better trust score.</w:t>
      </w:r>
    </w:p>
    <w:p>
      <w:pPr>
        <w:pStyle w:val="CompactBullet"/>
        <w:ind w:left="259" w:hanging="173"/>
      </w:pPr>
      <w:r>
        <w:rPr>
          <w:b/>
        </w:rPr>
        <w:t xml:space="preserve">• </w:t>
      </w:r>
      <w:r>
        <w:t>Raw behavioural evidence remains private by default; deeper interpretation belongs primarily in BI Mode.</w:t>
      </w:r>
    </w:p>
    <w:p>
      <w:pPr>
        <w:pStyle w:val="Heading2"/>
      </w:pPr>
      <w:r>
        <w:t>4.8 Presence, Check Timings and Privacy</w:t>
      </w:r>
    </w:p>
    <w:p>
      <w:pPr>
        <w:pStyle w:val="CompactBullet"/>
        <w:ind w:left="259" w:hanging="173"/>
      </w:pPr>
      <w:r>
        <w:rPr>
          <w:b/>
        </w:rPr>
        <w:t xml:space="preserve">• </w:t>
      </w:r>
      <w:r>
        <w:t>User/business may set normal message-check times/windows.</w:t>
      </w:r>
    </w:p>
    <w:p>
      <w:pPr>
        <w:pStyle w:val="CompactBullet"/>
        <w:ind w:left="259" w:hanging="173"/>
      </w:pPr>
      <w:r>
        <w:rPr>
          <w:b/>
        </w:rPr>
        <w:t xml:space="preserve">• </w:t>
      </w:r>
      <w:r>
        <w:t>Declared check timing is guidance, not an SLA or guaranteed reply.</w:t>
      </w:r>
    </w:p>
    <w:p>
      <w:pPr>
        <w:pStyle w:val="CompactBullet"/>
        <w:ind w:left="259" w:hanging="173"/>
      </w:pPr>
      <w:r>
        <w:rPr>
          <w:b/>
        </w:rPr>
        <w:t xml:space="preserve">• </w:t>
      </w:r>
      <w:r>
        <w:t>Online/Last Seen/activity visibility is user-controlled.</w:t>
      </w:r>
    </w:p>
    <w:p>
      <w:pPr>
        <w:pStyle w:val="CompactBullet"/>
        <w:ind w:left="259" w:hanging="173"/>
      </w:pPr>
      <w:r>
        <w:rPr>
          <w:b/>
        </w:rPr>
        <w:t xml:space="preserve">• </w:t>
      </w:r>
      <w:r>
        <w:t>Response-pattern visibility is separately permissioned from Online/Last Seen.</w:t>
      </w:r>
    </w:p>
    <w:p>
      <w:pPr>
        <w:pStyle w:val="CompactBullet"/>
        <w:ind w:left="259" w:hanging="173"/>
      </w:pPr>
      <w:r>
        <w:rPr>
          <w:b/>
        </w:rPr>
        <w:t xml:space="preserve">• </w:t>
      </w:r>
      <w:r>
        <w:t>Where permitted, a coarse useful line may appear such as 'Usually replies within ~3 hours', 'Often replies around 14:00' or 'Usually busiest until 12:30 PM'.</w:t>
      </w:r>
    </w:p>
    <w:p>
      <w:pPr>
        <w:pStyle w:val="CompactBullet"/>
        <w:ind w:left="259" w:hanging="173"/>
      </w:pPr>
      <w:r>
        <w:rPr>
          <w:b/>
        </w:rPr>
        <w:t xml:space="preserve">• </w:t>
      </w:r>
      <w:r>
        <w:t>Do not expose precise activity traces or create social-app pressure such as 'online but hasn't replied'.</w:t>
      </w:r>
    </w:p>
    <w:p>
      <w:pPr>
        <w:pStyle w:val="CompactBullet"/>
        <w:ind w:left="259" w:hanging="173"/>
      </w:pPr>
      <w:r>
        <w:rPr>
          <w:b/>
        </w:rPr>
        <w:t xml:space="preserve">• </w:t>
      </w:r>
      <w:r>
        <w:t>Temporary states such as Away today / Back Monday / Replies after 14:00 may override routine.</w:t>
      </w:r>
    </w:p>
    <w:p>
      <w:pPr>
        <w:pStyle w:val="Heading2"/>
      </w:pPr>
      <w:r>
        <w:t>4.9 Privacy and Competitive Safety</w:t>
      </w:r>
    </w:p>
    <w:p>
      <w:pPr>
        <w:pStyle w:val="CompactBullet"/>
        <w:ind w:left="259" w:hanging="173"/>
      </w:pPr>
      <w:r>
        <w:rPr>
          <w:b/>
        </w:rPr>
        <w:t xml:space="preserve">• </w:t>
      </w:r>
      <w:r>
        <w:t>Contact graph is private. No mutual-business-contact feature by default.</w:t>
      </w:r>
    </w:p>
    <w:p>
      <w:pPr>
        <w:pStyle w:val="CompactBullet"/>
        <w:ind w:left="259" w:hanging="173"/>
      </w:pPr>
      <w:r>
        <w:rPr>
          <w:b/>
        </w:rPr>
        <w:t xml:space="preserve">• </w:t>
      </w:r>
      <w:r>
        <w:t>Common customer/supplier relationships are not disclosed automatically.</w:t>
      </w:r>
    </w:p>
    <w:p>
      <w:pPr>
        <w:pStyle w:val="CompactBullet"/>
        <w:ind w:left="259" w:hanging="173"/>
      </w:pPr>
      <w:r>
        <w:rPr>
          <w:b/>
        </w:rPr>
        <w:t xml:space="preserve">• </w:t>
      </w:r>
      <w:r>
        <w:t>Negotiated pricing, buying patterns, Products of Interest, order quantities and commercial histories remain relationship-private.</w:t>
      </w:r>
    </w:p>
    <w:p>
      <w:pPr>
        <w:pStyle w:val="CompactBullet"/>
        <w:ind w:left="259" w:hanging="173"/>
      </w:pPr>
      <w:r>
        <w:rPr>
          <w:b/>
        </w:rPr>
        <w:t xml:space="preserve">• </w:t>
      </w:r>
      <w:r>
        <w:t>Search and AI/BI retrieval must not leak snippets or facts from conversations/relationships the current user cannot access.</w:t>
      </w:r>
    </w:p>
    <w:p>
      <w:pPr>
        <w:pStyle w:val="CompactBullet"/>
        <w:ind w:left="259" w:hanging="173"/>
      </w:pPr>
      <w:r>
        <w:rPr>
          <w:b/>
        </w:rPr>
        <w:t xml:space="preserve">• </w:t>
      </w:r>
      <w:r>
        <w:t>Blocking stops future ordinary communication without destroying legitimate historical business records.</w:t>
      </w:r>
    </w:p>
    <w:p>
      <w:pPr>
        <w:pStyle w:val="CompactBullet"/>
        <w:ind w:left="259" w:hanging="173"/>
      </w:pPr>
      <w:r>
        <w:rPr>
          <w:b/>
        </w:rPr>
        <w:t xml:space="preserve">• </w:t>
      </w:r>
      <w:r>
        <w:t>Unknown first contact may enter a restrained Request state. Accepting communication does not grant Catalogue, credit, pricing or trust permissions.</w:t>
      </w:r>
    </w:p>
    <w:p>
      <w:pPr>
        <w:pStyle w:val="CompactBullet"/>
        <w:ind w:left="259" w:hanging="173"/>
      </w:pPr>
      <w:r>
        <w:rPr>
          <w:b/>
        </w:rPr>
        <w:t xml:space="preserve">• </w:t>
      </w:r>
      <w:r>
        <w:t>Mass first-contact/broadcast behaviour is constrained so Vartalap does not become a spam network.</w:t>
      </w:r>
    </w:p>
    <w:p>
      <w:pPr>
        <w:pStyle w:val="Heading2"/>
      </w:pPr>
      <w:r>
        <w:t>4.10 Groups and Multi-party Commerce</w:t>
      </w:r>
    </w:p>
    <w:p>
      <w:pPr>
        <w:pStyle w:val="CompactBullet"/>
        <w:ind w:left="259" w:hanging="173"/>
      </w:pPr>
      <w:r>
        <w:rPr>
          <w:b/>
        </w:rPr>
        <w:t xml:space="preserve">• </w:t>
      </w:r>
      <w:r>
        <w:t>Simple groups may exist where useful, but groups are not the centre of Vartalap.</w:t>
      </w:r>
    </w:p>
    <w:p>
      <w:pPr>
        <w:pStyle w:val="CompactBullet"/>
        <w:ind w:left="259" w:hanging="173"/>
      </w:pPr>
      <w:r>
        <w:rPr>
          <w:b/>
        </w:rPr>
        <w:t xml:space="preserve">• </w:t>
      </w:r>
      <w:r>
        <w:t>Commercial authority depends on identified buyer/seller Parties and authorized actors, not mere group membership.</w:t>
      </w:r>
    </w:p>
    <w:p>
      <w:pPr>
        <w:pStyle w:val="CompactBullet"/>
        <w:ind w:left="259" w:hanging="173"/>
      </w:pPr>
      <w:r>
        <w:rPr>
          <w:b/>
        </w:rPr>
        <w:t xml:space="preserve">• </w:t>
      </w:r>
      <w:r>
        <w:t>Joining later does not create retrospective Seen/acceptance authority; leaving does not erase historical participation.</w:t>
      </w:r>
    </w:p>
    <w:p>
      <w:pPr>
        <w:pStyle w:val="CompactBullet"/>
        <w:ind w:left="259" w:hanging="173"/>
      </w:pPr>
      <w:r>
        <w:rPr>
          <w:b/>
        </w:rPr>
        <w:t xml:space="preserve">• </w:t>
      </w:r>
      <w:r>
        <w:t>Internal and customer-facing groups remain clearly distinct.</w:t>
      </w:r>
    </w:p>
    <w:p>
      <w:pPr>
        <w:pStyle w:val="CompactBullet"/>
        <w:ind w:left="259" w:hanging="173"/>
      </w:pPr>
      <w:r>
        <w:rPr>
          <w:b/>
        </w:rPr>
        <w:t xml:space="preserve">• </w:t>
      </w:r>
      <w:r>
        <w:t>Group chat may be multi-party while each underlying transaction remains precise about who committed what to whom.</w:t>
      </w:r>
    </w:p>
    <w:p>
      <w:pPr>
        <w:pStyle w:val="Heading2"/>
      </w:pPr>
      <w:r>
        <w:t>4.11 Calls, Notifications and Attention</w:t>
      </w:r>
    </w:p>
    <w:p>
      <w:pPr>
        <w:pStyle w:val="CompactBullet"/>
        <w:ind w:left="259" w:hanging="173"/>
      </w:pPr>
      <w:r>
        <w:rPr>
          <w:b/>
        </w:rPr>
        <w:t xml:space="preserve">• </w:t>
      </w:r>
      <w:r>
        <w:t>Voice calling may be launched from Vartalap; a call event can be recorded lightly, but the call itself is not automatically an agreement.</w:t>
      </w:r>
    </w:p>
    <w:p>
      <w:pPr>
        <w:pStyle w:val="CompactBullet"/>
        <w:ind w:left="259" w:hanging="173"/>
      </w:pPr>
      <w:r>
        <w:rPr>
          <w:b/>
        </w:rPr>
        <w:t xml:space="preserve">• </w:t>
      </w:r>
      <w:r>
        <w:t>No automatic call recording.</w:t>
      </w:r>
    </w:p>
    <w:p>
      <w:pPr>
        <w:pStyle w:val="CompactBullet"/>
        <w:ind w:left="259" w:hanging="173"/>
      </w:pPr>
      <w:r>
        <w:rPr>
          <w:b/>
        </w:rPr>
        <w:t xml:space="preserve">• </w:t>
      </w:r>
      <w:r>
        <w:t>Commercial-action notifications are distinct from ordinary unread messages.</w:t>
      </w:r>
    </w:p>
    <w:p>
      <w:pPr>
        <w:pStyle w:val="CompactBullet"/>
        <w:ind w:left="259" w:hanging="173"/>
      </w:pPr>
      <w:r>
        <w:rPr>
          <w:b/>
        </w:rPr>
        <w:t xml:space="preserve">• </w:t>
      </w:r>
      <w:r>
        <w:t>Opening a notification never constitutes acceptance.</w:t>
      </w:r>
    </w:p>
    <w:p>
      <w:pPr>
        <w:pStyle w:val="CompactBullet"/>
        <w:ind w:left="259" w:hanging="173"/>
      </w:pPr>
      <w:r>
        <w:rPr>
          <w:b/>
        </w:rPr>
        <w:t xml:space="preserve">• </w:t>
      </w:r>
      <w:r>
        <w:t>Lock-screen notification privacy is required.</w:t>
      </w:r>
    </w:p>
    <w:p>
      <w:pPr>
        <w:pStyle w:val="CompactBullet"/>
        <w:ind w:left="259" w:hanging="173"/>
      </w:pPr>
      <w:r>
        <w:rPr>
          <w:b/>
        </w:rPr>
        <w:t xml:space="preserve">• </w:t>
      </w:r>
      <w:r>
        <w:t>Unread means unread communication; unresolved commercial action retains its own state.</w:t>
      </w:r>
    </w:p>
    <w:p>
      <w:pPr>
        <w:pStyle w:val="CompactBullet"/>
        <w:ind w:left="259" w:hanging="173"/>
      </w:pPr>
      <w:r>
        <w:rPr>
          <w:b/>
        </w:rPr>
        <w:t xml:space="preserve">• </w:t>
      </w:r>
      <w:r>
        <w:t>Broader management attention significance belongs to BI Mode.</w:t>
      </w:r>
    </w:p>
    <w:p>
      <w:pPr>
        <w:pStyle w:val="Heading2"/>
      </w:pPr>
      <w:r>
        <w:t>4.12 Deletion, Protection, Retention and Provenance</w:t>
      </w:r>
    </w:p>
    <w:p>
      <w:pPr>
        <w:pStyle w:val="CompactBullet"/>
        <w:ind w:left="259" w:hanging="173"/>
      </w:pPr>
      <w:r>
        <w:rPr>
          <w:b/>
        </w:rPr>
        <w:t xml:space="preserve">• </w:t>
      </w:r>
      <w:r>
        <w:t>Ordinary chat deletion does not erase canonical Orders, invoices, payments, commitments or other business facts.</w:t>
      </w:r>
    </w:p>
    <w:p>
      <w:pPr>
        <w:pStyle w:val="CompactBullet"/>
        <w:ind w:left="259" w:hanging="173"/>
      </w:pPr>
      <w:r>
        <w:rPr>
          <w:b/>
        </w:rPr>
        <w:t xml:space="preserve">• </w:t>
      </w:r>
      <w:r>
        <w:t>Consequential commercial corrections use correction/reversal/history rather than disappearance.</w:t>
      </w:r>
    </w:p>
    <w:p>
      <w:pPr>
        <w:pStyle w:val="CompactBullet"/>
        <w:ind w:left="259" w:hanging="173"/>
      </w:pPr>
      <w:r>
        <w:rPr>
          <w:b/>
        </w:rPr>
        <w:t xml:space="preserve">• </w:t>
      </w:r>
      <w:r>
        <w:t>Protected Business Asset rules apply to supported chat assets.</w:t>
      </w:r>
    </w:p>
    <w:p>
      <w:pPr>
        <w:pStyle w:val="CompactBullet"/>
        <w:ind w:left="259" w:hanging="173"/>
      </w:pPr>
      <w:r>
        <w:rPr>
          <w:b/>
        </w:rPr>
        <w:t xml:space="preserve">• </w:t>
      </w:r>
      <w:r>
        <w:t>Archive removes conversation from everyday view without deleting history.</w:t>
      </w:r>
    </w:p>
    <w:p>
      <w:pPr>
        <w:pStyle w:val="CompactBullet"/>
        <w:ind w:left="259" w:hanging="173"/>
      </w:pPr>
      <w:r>
        <w:rPr>
          <w:b/>
        </w:rPr>
        <w:t xml:space="preserve">• </w:t>
      </w:r>
      <w:r>
        <w:t>Local deletion cannot falsely imply the counterparty no longer possesses a legitimate copy.</w:t>
      </w:r>
    </w:p>
    <w:p>
      <w:pPr>
        <w:pStyle w:val="CompactBullet"/>
        <w:ind w:left="259" w:hanging="173"/>
      </w:pPr>
      <w:r>
        <w:rPr>
          <w:b/>
        </w:rPr>
        <w:t xml:space="preserve">• </w:t>
      </w:r>
      <w:r>
        <w:t>Forwarding/sharing structured objects preserves provenance; external copies are honestly treated as outside full BUDCOM control.</w:t>
      </w:r>
    </w:p>
    <w:p>
      <w:pPr>
        <w:pStyle w:val="Heading2"/>
      </w:pPr>
      <w:r>
        <w:t>4.13 Performance and Multi-device</w:t>
      </w:r>
    </w:p>
    <w:p>
      <w:pPr>
        <w:pStyle w:val="CompactBullet"/>
        <w:ind w:left="259" w:hanging="173"/>
      </w:pPr>
      <w:r>
        <w:rPr>
          <w:b/>
        </w:rPr>
        <w:t xml:space="preserve">• </w:t>
      </w:r>
      <w:r>
        <w:t>Canonical messages/events use stable IDs, timestamps, sender/Party identity, conversation/thread ID, type, delivery/read state and attachment/metadata links.</w:t>
      </w:r>
    </w:p>
    <w:p>
      <w:pPr>
        <w:pStyle w:val="CompactBullet"/>
        <w:ind w:left="259" w:hanging="173"/>
      </w:pPr>
      <w:r>
        <w:rPr>
          <w:b/>
        </w:rPr>
        <w:t xml:space="preserve">• </w:t>
      </w:r>
      <w:r>
        <w:t>Retries and multi-device sync are idempotent and must not duplicate messages or business actions.</w:t>
      </w:r>
    </w:p>
    <w:p>
      <w:pPr>
        <w:pStyle w:val="CompactBullet"/>
        <w:ind w:left="259" w:hanging="173"/>
      </w:pPr>
      <w:r>
        <w:rPr>
          <w:b/>
        </w:rPr>
        <w:t xml:space="preserve">• </w:t>
      </w:r>
      <w:r>
        <w:t>Chats and recent conversation open primarily from indexed local reads; years of history load incrementally.</w:t>
      </w:r>
    </w:p>
    <w:p>
      <w:pPr>
        <w:pStyle w:val="CompactBullet"/>
        <w:ind w:left="259" w:hanging="173"/>
      </w:pPr>
      <w:r>
        <w:rPr>
          <w:b/>
        </w:rPr>
        <w:t xml:space="preserve">• </w:t>
      </w:r>
      <w:r>
        <w:t>Search indexes, previews, unread state and derived metadata update incrementally rather than rescanning history on open.</w:t>
      </w:r>
    </w:p>
    <w:p>
      <w:pPr>
        <w:pStyle w:val="CompactBullet"/>
        <w:ind w:left="259" w:hanging="173"/>
      </w:pPr>
      <w:r>
        <w:rPr>
          <w:b/>
        </w:rPr>
        <w:t xml:space="preserve">• </w:t>
      </w:r>
      <w:r>
        <w:t>Sending a message never waits for accounting sync, BI refresh or AI processing.</w:t>
      </w:r>
    </w:p>
    <w:p>
      <w:pPr>
        <w:pStyle w:val="CompactBullet"/>
        <w:ind w:left="259" w:hanging="173"/>
      </w:pPr>
      <w:r>
        <w:rPr>
          <w:b/>
        </w:rPr>
        <w:t xml:space="preserve">• </w:t>
      </w:r>
      <w:r>
        <w:t>Lost/revoked devices stop receiving newly authorized data after revocation takes effect.</w:t>
      </w:r>
    </w:p>
    <w:p>
      <w:pPr>
        <w:pStyle w:val="CompactBullet"/>
        <w:ind w:left="259" w:hanging="173"/>
      </w:pPr>
      <w:r>
        <w:rPr>
          <w:b/>
        </w:rPr>
        <w:t xml:space="preserve">• </w:t>
      </w:r>
      <w:r>
        <w:t>Desktop follows the same business semantics with desktop-optimized layout/keyboard behaviour.</w:t>
      </w:r>
    </w:p>
    <w:p>
      <w:pPr>
        <w:pStyle w:val="Heading2"/>
      </w:pPr>
      <w:r>
        <w:t>4.14 BI Mode / Intelligence Boundary</w:t>
      </w:r>
    </w:p>
    <w:p>
      <w:pPr>
        <w:spacing w:before="60" w:after="60"/>
      </w:pPr>
      <w:r>
        <w:rPr>
          <w:b/>
        </w:rPr>
        <w:t>Critical separation: Vartalap records and communicates; BI Mode interprets.</w:t>
      </w:r>
    </w:p>
    <w:p>
      <w:pPr>
        <w:pStyle w:val="CompactBullet"/>
        <w:ind w:left="259" w:hanging="173"/>
      </w:pPr>
      <w:r>
        <w:rPr>
          <w:b/>
        </w:rPr>
        <w:t xml:space="preserve">• </w:t>
      </w:r>
      <w:r>
        <w:t>No Insights feed, customer health score or permanent AI layer inside normal chat.</w:t>
      </w:r>
    </w:p>
    <w:p>
      <w:pPr>
        <w:pStyle w:val="CompactBullet"/>
        <w:ind w:left="259" w:hanging="173"/>
      </w:pPr>
      <w:r>
        <w:rPr>
          <w:b/>
        </w:rPr>
        <w:t xml:space="preserve">• </w:t>
      </w:r>
      <w:r>
        <w:t>Vartalap may provide only lightweight operational assistance needed in the moment: search, optional transcription/translation, linking to a business object, simple suggested reply or explicit user-triggered action.</w:t>
      </w:r>
    </w:p>
    <w:p>
      <w:pPr>
        <w:pStyle w:val="CompactBullet"/>
        <w:ind w:left="259" w:hanging="173"/>
      </w:pPr>
      <w:r>
        <w:rPr>
          <w:b/>
        </w:rPr>
        <w:t xml:space="preserve">• </w:t>
      </w:r>
      <w:r>
        <w:t>BI Mode owns response-pattern analysis, commitment reliability, payment behaviour, relationship patterns, opportunity detection, trust/reliability interpretation, reorder intelligence and deeper AI/OI analysis.</w:t>
      </w:r>
    </w:p>
    <w:p>
      <w:pPr>
        <w:pStyle w:val="CompactBullet"/>
        <w:ind w:left="259" w:hanging="173"/>
      </w:pPr>
      <w:r>
        <w:rPr>
          <w:b/>
        </w:rPr>
        <w:t xml:space="preserve">• </w:t>
      </w:r>
      <w:r>
        <w:t>Vartalap supplies structured facts efficiently to BI Mode; BI should use incremental derived state rather than repeatedly rereading full histories.</w:t>
      </w:r>
    </w:p>
    <w:p>
      <w:pPr>
        <w:pStyle w:val="CompactBullet"/>
        <w:ind w:left="259" w:hanging="173"/>
      </w:pPr>
      <w:r>
        <w:rPr>
          <w:b/>
        </w:rPr>
        <w:t xml:space="preserve">• </w:t>
      </w:r>
      <w:r>
        <w:t>AI/OI remains optional, provider-abstracted and auditable. It must never silently alter accounting, send messages or perform consequential commercial actions.</w:t>
      </w:r>
    </w:p>
    <w:p>
      <w:pPr>
        <w:pStyle w:val="Heading2"/>
      </w:pPr>
      <w:r>
        <w:t>4.15 Final Visible Vartalap Surface</w:t>
      </w:r>
    </w:p>
    <w:p>
      <w:pPr>
        <w:spacing w:before="60" w:after="60"/>
      </w:pPr>
      <w:r>
        <w:rPr>
          <w:b/>
        </w:rPr>
        <w:t>Vartalap product design is FUNCTIONALLY CLOSED.</w:t>
      </w:r>
    </w:p>
    <w:p>
      <w:pPr>
        <w:pStyle w:val="CompactBullet"/>
        <w:ind w:left="259" w:hanging="173"/>
      </w:pPr>
      <w:r>
        <w:rPr>
          <w:b/>
        </w:rPr>
        <w:t xml:space="preserve">• </w:t>
      </w:r>
      <w:r>
        <w:t>Default surface freezes approximately at: Chats → open Party → text / voice / image / file → occasional compact Product/Order/Estimate/Invoice/Payment/Commitment card → one explicit action when required.</w:t>
      </w:r>
    </w:p>
    <w:p>
      <w:pPr>
        <w:pStyle w:val="CompactBullet"/>
        <w:ind w:left="259" w:hanging="173"/>
      </w:pPr>
      <w:r>
        <w:rPr>
          <w:b/>
        </w:rPr>
        <w:t xml:space="preserve">• </w:t>
      </w:r>
      <w:r>
        <w:t>No permanent AI button, Orders toolbar, Payments toolbar, Insights feed or customer rating beside every chat.</w:t>
      </w:r>
    </w:p>
    <w:p>
      <w:pPr>
        <w:pStyle w:val="CompactBullet"/>
        <w:ind w:left="259" w:hanging="173"/>
      </w:pPr>
      <w:r>
        <w:rPr>
          <w:b/>
        </w:rPr>
        <w:t xml:space="preserve">• </w:t>
      </w:r>
      <w:r>
        <w:t>Do not add a feature merely because WhatsApp, Telegram or Teams has it. It must solve a demonstrated BUDCOM business problem.</w:t>
      </w:r>
    </w:p>
    <w:p>
      <w:r>
        <w:br w:type="page"/>
      </w:r>
    </w:p>
    <w:p>
      <w:pPr>
        <w:pStyle w:val="Heading1"/>
      </w:pPr>
      <w:r>
        <w:t>5. Buyer–Seller Fairness and Safety Baseline</w:t>
      </w:r>
    </w:p>
    <w:p>
      <w:pPr>
        <w:pStyle w:val="CompactBullet"/>
        <w:ind w:left="259" w:hanging="173"/>
      </w:pPr>
      <w:r>
        <w:rPr>
          <w:b/>
        </w:rPr>
        <w:t xml:space="preserve">• </w:t>
      </w:r>
      <w:r>
        <w:t>Seller cannot silently change material commercial terms and then confirm them as buyer-approved.</w:t>
      </w:r>
    </w:p>
    <w:p>
      <w:pPr>
        <w:pStyle w:val="CompactBullet"/>
        <w:ind w:left="259" w:hanging="173"/>
      </w:pPr>
      <w:r>
        <w:rPr>
          <w:b/>
        </w:rPr>
        <w:t xml:space="preserve">• </w:t>
      </w:r>
      <w:r>
        <w:t>Buyer cannot unilaterally manufacture seller-confirmed payment receipt.</w:t>
      </w:r>
    </w:p>
    <w:p>
      <w:pPr>
        <w:pStyle w:val="CompactBullet"/>
        <w:ind w:left="259" w:hanging="173"/>
      </w:pPr>
      <w:r>
        <w:rPr>
          <w:b/>
        </w:rPr>
        <w:t xml:space="preserve">• </w:t>
      </w:r>
      <w:r>
        <w:t>Neither party can casually rewrite agreed commercial history.</w:t>
      </w:r>
    </w:p>
    <w:p>
      <w:pPr>
        <w:pStyle w:val="CompactBullet"/>
        <w:ind w:left="259" w:hanging="173"/>
      </w:pPr>
      <w:r>
        <w:rPr>
          <w:b/>
        </w:rPr>
        <w:t xml:space="preserve">• </w:t>
      </w:r>
      <w:r>
        <w:t>Historical transactions preserve the exact agreed snapshot while new commerce uses current authorized commercial state.</w:t>
      </w:r>
    </w:p>
    <w:p>
      <w:pPr>
        <w:pStyle w:val="CompactBullet"/>
        <w:ind w:left="259" w:hanging="173"/>
      </w:pPr>
      <w:r>
        <w:rPr>
          <w:b/>
        </w:rPr>
        <w:t xml:space="preserve">• </w:t>
      </w:r>
      <w:r>
        <w:t>Substitution/replacement is never silent.</w:t>
      </w:r>
    </w:p>
    <w:p>
      <w:pPr>
        <w:pStyle w:val="CompactBullet"/>
        <w:ind w:left="259" w:hanging="173"/>
      </w:pPr>
      <w:r>
        <w:rPr>
          <w:b/>
        </w:rPr>
        <w:t xml:space="preserve">• </w:t>
      </w:r>
      <w:r>
        <w:t>Private pricing, buying patterns and relationship graphs are not exposed to competitors or unrelated parties.</w:t>
      </w:r>
    </w:p>
    <w:p>
      <w:pPr>
        <w:pStyle w:val="CompactBullet"/>
        <w:ind w:left="259" w:hanging="173"/>
      </w:pPr>
      <w:r>
        <w:rPr>
          <w:b/>
        </w:rPr>
        <w:t xml:space="preserve">• </w:t>
      </w:r>
      <w:r>
        <w:t>Behaviour-derived trust uses cross-confirmed/authoritative evidence where practical and distinguishes genuine disputes from misconduct.</w:t>
      </w:r>
    </w:p>
    <w:p>
      <w:pPr>
        <w:pStyle w:val="CompactBullet"/>
        <w:ind w:left="259" w:hanging="173"/>
      </w:pPr>
      <w:r>
        <w:rPr>
          <w:b/>
        </w:rPr>
        <w:t xml:space="preserve">• </w:t>
      </w:r>
      <w:r>
        <w:t>The product logic is deliberately symmetrical: the non-originating party confirms a commercial proposal.</w:t>
      </w:r>
    </w:p>
    <w:p>
      <w:pPr>
        <w:pStyle w:val="Heading1"/>
      </w:pPr>
      <w:r>
        <w:t>6. Remaining Specialist Gates — Do Not Reopen Everyday Product UI</w:t>
      </w:r>
    </w:p>
    <w:tbl>
      <w:tblPr>
        <w:tblStyle w:val="TableGrid"/>
        <w:tblW w:type="auto" w:w="0"/>
        <w:jc w:val="center"/>
        <w:tblLook w:firstColumn="1" w:firstRow="1" w:lastColumn="0" w:lastRow="0" w:noHBand="0" w:noVBand="1" w:val="04A0"/>
      </w:tblPr>
      <w:tblGrid>
        <w:gridCol w:w="5083"/>
        <w:gridCol w:w="5083"/>
      </w:tblGrid>
      <w:tr>
        <w:tc>
          <w:tcPr>
            <w:tcW w:type="dxa" w:w="5083"/>
          </w:tcPr>
          <w:p>
            <w:r>
              <w:t>Specialist gate</w:t>
            </w:r>
          </w:p>
        </w:tc>
        <w:tc>
          <w:tcPr>
            <w:tcW w:type="dxa" w:w="5083"/>
          </w:tcPr>
          <w:p>
            <w:r>
              <w:t>Status / boundary</w:t>
            </w:r>
          </w:p>
        </w:tc>
      </w:tr>
      <w:tr>
        <w:tc>
          <w:tcPr>
            <w:tcW w:type="dxa" w:w="5083"/>
            <w:vAlign w:val="top"/>
          </w:tcPr>
          <w:p>
            <w:r>
              <w:t>Messaging security/encryption architecture</w:t>
            </w:r>
          </w:p>
        </w:tc>
        <w:tc>
          <w:tcPr>
            <w:tcW w:type="dxa" w:w="5083"/>
            <w:vAlign w:val="top"/>
          </w:tcPr>
          <w:p>
            <w:r>
              <w:t>Exact cryptographic design, transport security, key lifecycle, compromised/lost-device handling and server-side exposure require a dedicated security architecture pass.</w:t>
            </w:r>
          </w:p>
        </w:tc>
      </w:tr>
      <w:tr>
        <w:tc>
          <w:tcPr>
            <w:tcW w:type="dxa" w:w="5083"/>
            <w:vAlign w:val="top"/>
          </w:tcPr>
          <w:p>
            <w:r>
              <w:t>Store-and-forward / relay architecture</w:t>
            </w:r>
          </w:p>
        </w:tc>
        <w:tc>
          <w:tcPr>
            <w:tcW w:type="dxa" w:w="5083"/>
            <w:vAlign w:val="top"/>
          </w:tcPr>
          <w:p>
            <w:r>
              <w:t>Local-first is locked, but exact offline delivery relay, server retention duration, queueing and delivery infrastructure remain engineering decisions.</w:t>
            </w:r>
          </w:p>
        </w:tc>
      </w:tr>
      <w:tr>
        <w:tc>
          <w:tcPr>
            <w:tcW w:type="dxa" w:w="5083"/>
            <w:vAlign w:val="top"/>
          </w:tcPr>
          <w:p>
            <w:r>
              <w:t>First-contact discovery mechanics</w:t>
            </w:r>
          </w:p>
        </w:tc>
        <w:tc>
          <w:tcPr>
            <w:tcW w:type="dxa" w:w="5083"/>
            <w:vAlign w:val="top"/>
          </w:tcPr>
          <w:p>
            <w:r>
              <w:t>Canonical Party, Requests and privacy are locked; exact mix of phone, QR, BUDCOM ID, invite link/business profile remains to be implementation-scoped.</w:t>
            </w:r>
          </w:p>
        </w:tc>
      </w:tr>
      <w:tr>
        <w:tc>
          <w:tcPr>
            <w:tcW w:type="dxa" w:w="5083"/>
            <w:vAlign w:val="top"/>
          </w:tcPr>
          <w:p>
            <w:r>
              <w:t>Legal/privacy validation</w:t>
            </w:r>
          </w:p>
        </w:tc>
        <w:tc>
          <w:tcPr>
            <w:tcW w:type="dxa" w:w="5083"/>
            <w:vAlign w:val="top"/>
          </w:tcPr>
          <w:p>
            <w:r>
              <w:t>India DPDP, business identity verification, trust/reputation/defamation, retention/deletion and payment-related implications require specialist validation.</w:t>
            </w:r>
          </w:p>
        </w:tc>
      </w:tr>
      <w:tr>
        <w:tc>
          <w:tcPr>
            <w:tcW w:type="dxa" w:w="5083"/>
            <w:vAlign w:val="top"/>
          </w:tcPr>
          <w:p>
            <w:r>
              <w:t>Woo-hoo asset design</w:t>
            </w:r>
          </w:p>
        </w:tc>
        <w:tc>
          <w:tcPr>
            <w:tcW w:type="dxa" w:w="5083"/>
            <w:vAlign w:val="top"/>
          </w:tcPr>
          <w:p>
            <w:r>
              <w:t>Behaviour is locked; actual sound/animation belongs to UI/brand design.</w:t>
            </w:r>
          </w:p>
        </w:tc>
      </w:tr>
      <w:tr>
        <w:tc>
          <w:tcPr>
            <w:tcW w:type="dxa" w:w="5083"/>
            <w:vAlign w:val="top"/>
          </w:tcPr>
          <w:p>
            <w:r>
              <w:t>Exact implementation/MVP cut</w:t>
            </w:r>
          </w:p>
        </w:tc>
        <w:tc>
          <w:tcPr>
            <w:tcW w:type="dxa" w:w="5083"/>
            <w:vAlign w:val="top"/>
          </w:tcPr>
          <w:p>
            <w:r>
              <w:t>This master defines coherent long-term product behaviour. It does not mean every governance rule or optional capability ships in the first implementation milestone.</w:t>
            </w:r>
          </w:p>
        </w:tc>
      </w:tr>
    </w:tbl>
    <w:p>
      <w:pPr>
        <w:pStyle w:val="Heading1"/>
      </w:pPr>
      <w:r>
        <w:t>7. Next Workstream Sequence</w:t>
      </w:r>
    </w:p>
    <w:p>
      <w:pPr>
        <w:spacing w:after="80"/>
      </w:pPr>
      <w:r>
        <w:rPr>
          <w:b/>
        </w:rPr>
        <w:t xml:space="preserve">1. </w:t>
      </w:r>
      <w:r>
        <w:t>UI / Visual Design: convert the closed Catalogue and Vartalap product rules into minimal Android/Desktop visual flows without reopening product scope.</w:t>
      </w:r>
    </w:p>
    <w:p>
      <w:pPr>
        <w:spacing w:after="80"/>
      </w:pPr>
      <w:r>
        <w:rPr>
          <w:b/>
        </w:rPr>
        <w:t xml:space="preserve">2. </w:t>
      </w:r>
      <w:r>
        <w:t>Implementation Scoping: separate first-build essentials from later capabilities while preserving architectural hooks and locked safety rules.</w:t>
      </w:r>
    </w:p>
    <w:p>
      <w:pPr>
        <w:spacing w:after="80"/>
      </w:pPr>
      <w:r>
        <w:rPr>
          <w:b/>
        </w:rPr>
        <w:t xml:space="preserve">3. </w:t>
      </w:r>
      <w:r>
        <w:t>Vartalap Security Architecture: identity/auth, message transport, encryption/key lifecycle, store-and-forward, revocation and lost-device behaviour.</w:t>
      </w:r>
    </w:p>
    <w:p>
      <w:pPr>
        <w:spacing w:after="80"/>
      </w:pPr>
      <w:r>
        <w:rPr>
          <w:b/>
        </w:rPr>
        <w:t xml:space="preserve">4. </w:t>
      </w:r>
      <w:r>
        <w:t>India Privacy/Legal Review: validate DPDP and trust/reputation implications before broad rollout.</w:t>
      </w:r>
    </w:p>
    <w:p>
      <w:pPr>
        <w:spacing w:after="80"/>
      </w:pPr>
      <w:r>
        <w:rPr>
          <w:b/>
        </w:rPr>
        <w:t xml:space="preserve">5. </w:t>
      </w:r>
      <w:r>
        <w:t>Development Milestones: ChatGPT remains architecture/product authority; Claude may implement approved scoped milestones under the existing BUDCOM development governance after the relevant MVP-1/hardening boundary.</w:t>
      </w:r>
    </w:p>
    <w:p>
      <w:pPr>
        <w:pStyle w:val="Heading1"/>
      </w:pPr>
      <w:r>
        <w:t>8. Freeze Statement</w:t>
      </w:r>
    </w:p>
    <w:p>
      <w:r>
        <w:rPr>
          <w:b/>
        </w:rPr>
        <w:t>This master handover closes the current BUDCOM product-design pass.</w:t>
      </w:r>
      <w:r>
        <w:t xml:space="preserve"> Catalogue and Vartalap should not be reopened for generic feature ideation. Future work should extend this locked model through UI design, security architecture, legal validation, implementation planning and evidence from real testing. If a genuine contradiction appears, document it explicitly and make the smallest compatible change.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Authoritative continuation baseline • Locked decisions remain subject to explicit owner change-control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BUDCOM • Product Design Master Handover • 14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