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Segoe UI" w:hAnsi="Segoe UI"/>
          <w:b/>
          <w:color w:val="0F172A"/>
          <w:sz w:val="56"/>
        </w:rPr>
        <w:t>JAKARIYA AI STUDIO</w:t>
      </w:r>
    </w:p>
    <w:p>
      <w:pPr>
        <w:spacing w:after="360"/>
      </w:pPr>
      <w:r>
        <w:rPr>
          <w:rFonts w:ascii="Segoe UI" w:hAnsi="Segoe UI"/>
          <w:color w:val="4F46E5"/>
          <w:sz w:val="26"/>
        </w:rPr>
        <w:t>Enterprise Multi-Provider Desktop AI Ecosystem &amp; Voice Intelligence Platform</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8FAFC"/>
            <w:tcMar>
              <w:top w:w="100" w:type="dxa"/>
              <w:bottom w:w="100" w:type="dxa"/>
              <w:left w:w="120" w:type="dxa"/>
              <w:right w:w="120" w:type="dxa"/>
            </w:tcMar>
          </w:tcPr>
          <w:p>
            <w:pPr>
              <w:jc w:val="center"/>
            </w:pPr>
            <w:r>
              <w:rPr>
                <w:b/>
                <w:color w:val="64748B"/>
                <w:sz w:val="19"/>
              </w:rPr>
              <w:t xml:space="preserve">Prepared For: </w:t>
            </w:r>
            <w:r>
              <w:rPr>
                <w:b/>
                <w:color w:val="0F172A"/>
                <w:sz w:val="20"/>
              </w:rPr>
              <w:t>Client Presentation</w:t>
            </w:r>
          </w:p>
        </w:tc>
        <w:tc>
          <w:tcPr>
            <w:tcW w:type="dxa" w:w="3024"/>
            <w:shd w:fill="F8FAFC"/>
            <w:tcMar>
              <w:top w:w="100" w:type="dxa"/>
              <w:bottom w:w="100" w:type="dxa"/>
              <w:left w:w="120" w:type="dxa"/>
              <w:right w:w="120" w:type="dxa"/>
            </w:tcMar>
          </w:tcPr>
          <w:p>
            <w:pPr>
              <w:jc w:val="center"/>
            </w:pPr>
            <w:r>
              <w:rPr>
                <w:b/>
                <w:color w:val="64748B"/>
                <w:sz w:val="19"/>
              </w:rPr>
              <w:t xml:space="preserve">Version: </w:t>
            </w:r>
            <w:r>
              <w:rPr>
                <w:b/>
                <w:color w:val="0F172A"/>
                <w:sz w:val="20"/>
              </w:rPr>
              <w:t>v2.5 Enterprise</w:t>
            </w:r>
          </w:p>
        </w:tc>
        <w:tc>
          <w:tcPr>
            <w:tcW w:type="dxa" w:w="3024"/>
            <w:shd w:fill="F8FAFC"/>
            <w:tcMar>
              <w:top w:w="100" w:type="dxa"/>
              <w:bottom w:w="100" w:type="dxa"/>
              <w:left w:w="120" w:type="dxa"/>
              <w:right w:w="120" w:type="dxa"/>
            </w:tcMar>
          </w:tcPr>
          <w:p>
            <w:pPr>
              <w:jc w:val="center"/>
            </w:pPr>
            <w:r>
              <w:rPr>
                <w:b/>
                <w:color w:val="64748B"/>
                <w:sz w:val="19"/>
              </w:rPr>
              <w:t xml:space="preserve">Date: </w:t>
            </w:r>
            <w:r>
              <w:rPr>
                <w:b/>
                <w:color w:val="0F172A"/>
                <w:sz w:val="20"/>
              </w:rPr>
              <w:t>July 2026</w:t>
            </w:r>
          </w:p>
        </w:tc>
      </w:tr>
    </w:tbl>
    <w:p>
      <w:pPr>
        <w:spacing w:after="240"/>
      </w:pPr>
    </w:p>
    <w:p>
      <w:pPr>
        <w:keepNext/>
        <w:spacing w:before="280" w:after="120"/>
      </w:pPr>
      <w:r>
        <w:rPr>
          <w:rFonts w:ascii="Segoe UI" w:hAnsi="Segoe UI"/>
          <w:b/>
          <w:color w:val="0F172A"/>
          <w:sz w:val="36"/>
        </w:rPr>
        <w:t>1. Executive Overview &amp; Value Proposition</w:t>
      </w:r>
    </w:p>
    <w:p>
      <w:pPr>
        <w:spacing w:before="0" w:after="120" w:line="276" w:lineRule="auto"/>
      </w:pPr>
      <w:r>
        <w:rPr>
          <w:rFonts w:ascii="Calibri" w:hAnsi="Calibri"/>
          <w:color w:val="334155"/>
          <w:sz w:val="22"/>
        </w:rPr>
        <w:t>Jakariya AI Studio is a state-of-the-art desktop artificial intelligence suite designed to unify world-class AI models, hands-free voice interaction, real-time web intelligence, and multi-format document generation into a single, high-performance desktop application.</w:t>
      </w:r>
    </w:p>
    <w:p>
      <w:pPr>
        <w:spacing w:before="0" w:after="120" w:line="276" w:lineRule="auto"/>
      </w:pPr>
      <w:r>
        <w:rPr>
          <w:rFonts w:ascii="Calibri" w:hAnsi="Calibri"/>
          <w:b/>
          <w:color w:val="0F172A"/>
          <w:sz w:val="22"/>
        </w:rPr>
        <w:t xml:space="preserve">Core Advantage: </w:t>
      </w:r>
      <w:r>
        <w:rPr>
          <w:rFonts w:ascii="Calibri" w:hAnsi="Calibri"/>
          <w:color w:val="334155"/>
          <w:sz w:val="22"/>
        </w:rPr>
        <w:t>Unlike standard web interfaces tied to a single AI vendor, Jakariya AI Studio provides an all-in-one ecosystem with zero vendor lock-in. It dynamically orchestrates 8 leading AI providers with built-in automated failover, local data security, multi-language speech recognition, and instant report generation.</w:t>
      </w:r>
    </w:p>
    <w:p>
      <w:pPr>
        <w:pStyle w:val="ListBullet"/>
        <w:spacing w:before="0" w:after="80" w:line="276" w:lineRule="auto"/>
      </w:pPr>
      <w:r>
        <w:rPr>
          <w:rFonts w:ascii="Calibri" w:hAnsi="Calibri"/>
          <w:b/>
          <w:color w:val="4F46E5"/>
          <w:sz w:val="22"/>
        </w:rPr>
        <w:t xml:space="preserve">Multi-Provider Orchestration: </w:t>
      </w:r>
      <w:r>
        <w:rPr>
          <w:rFonts w:ascii="Calibri" w:hAnsi="Calibri"/>
          <w:color w:val="334155"/>
          <w:sz w:val="22"/>
        </w:rPr>
        <w:t>Seamless access to OpenAI GPT-4o, Claude 3.5 Sonnet, Gemini 2.5, DeepSeek R1, Llama 3.3 70B, and Mistral in one workspace.</w:t>
      </w:r>
    </w:p>
    <w:p>
      <w:pPr>
        <w:pStyle w:val="ListBullet"/>
        <w:spacing w:before="0" w:after="80" w:line="276" w:lineRule="auto"/>
      </w:pPr>
      <w:r>
        <w:rPr>
          <w:rFonts w:ascii="Calibri" w:hAnsi="Calibri"/>
          <w:b/>
          <w:color w:val="4F46E5"/>
          <w:sz w:val="22"/>
        </w:rPr>
        <w:t xml:space="preserve">Real-Time Voice Assistant (⚡ Live): </w:t>
      </w:r>
      <w:r>
        <w:rPr>
          <w:rFonts w:ascii="Calibri" w:hAnsi="Calibri"/>
          <w:color w:val="334155"/>
          <w:sz w:val="22"/>
        </w:rPr>
        <w:t>Continuous hands-free conversation with active barge-in support and acoustic feedback suppression.</w:t>
      </w:r>
    </w:p>
    <w:p>
      <w:pPr>
        <w:pStyle w:val="ListBullet"/>
        <w:spacing w:before="0" w:after="80" w:line="276" w:lineRule="auto"/>
      </w:pPr>
      <w:r>
        <w:rPr>
          <w:rFonts w:ascii="Calibri" w:hAnsi="Calibri"/>
          <w:b/>
          <w:color w:val="4F46E5"/>
          <w:sz w:val="22"/>
        </w:rPr>
        <w:t xml:space="preserve">Autonomous Web Search: </w:t>
      </w:r>
      <w:r>
        <w:rPr>
          <w:rFonts w:ascii="Calibri" w:hAnsi="Calibri"/>
          <w:color w:val="334155"/>
          <w:sz w:val="22"/>
        </w:rPr>
        <w:t>Integrated Tavily search engine retrieves real-time market data, current events, and live web snippets with clickable source citations.</w:t>
      </w:r>
    </w:p>
    <w:p>
      <w:pPr>
        <w:pStyle w:val="ListBullet"/>
        <w:spacing w:before="0" w:after="80" w:line="276" w:lineRule="auto"/>
      </w:pPr>
      <w:r>
        <w:rPr>
          <w:rFonts w:ascii="Calibri" w:hAnsi="Calibri"/>
          <w:b/>
          <w:color w:val="4F46E5"/>
          <w:sz w:val="22"/>
        </w:rPr>
        <w:t xml:space="preserve">Multi-Format Document Exporters: </w:t>
      </w:r>
      <w:r>
        <w:rPr>
          <w:rFonts w:ascii="Calibri" w:hAnsi="Calibri"/>
          <w:color w:val="334155"/>
          <w:sz w:val="22"/>
        </w:rPr>
        <w:t>Instantly export chat sessions into publication-ready PDF, Word (.docx), Markdown (.md), HTML, and TXT files.</w:t>
      </w:r>
    </w:p>
    <w:p>
      <w:pPr>
        <w:pStyle w:val="ListBullet"/>
        <w:spacing w:before="0" w:after="80" w:line="276" w:lineRule="auto"/>
      </w:pPr>
      <w:r>
        <w:rPr>
          <w:rFonts w:ascii="Calibri" w:hAnsi="Calibri"/>
          <w:b/>
          <w:color w:val="4F46E5"/>
          <w:sz w:val="22"/>
        </w:rPr>
        <w:t xml:space="preserve">Data Privacy &amp; Local Storage: </w:t>
      </w:r>
      <w:r>
        <w:rPr>
          <w:rFonts w:ascii="Calibri" w:hAnsi="Calibri"/>
          <w:color w:val="334155"/>
          <w:sz w:val="22"/>
        </w:rPr>
        <w:t>Thread-safe SQLite database (WAL mode) ensures all conversations, attachments, and settings remain 100% private on your machine.</w:t>
      </w:r>
    </w:p>
    <w:p>
      <w:pPr>
        <w:keepNext/>
        <w:spacing w:before="280" w:after="120"/>
      </w:pPr>
      <w:r>
        <w:rPr>
          <w:rFonts w:ascii="Segoe UI" w:hAnsi="Segoe UI"/>
          <w:b/>
          <w:color w:val="0F172A"/>
          <w:sz w:val="36"/>
        </w:rPr>
        <w:t>2. Multi-Provider AI Engine</w:t>
      </w:r>
    </w:p>
    <w:p>
      <w:pPr>
        <w:spacing w:before="0" w:after="120" w:line="276" w:lineRule="auto"/>
      </w:pPr>
      <w:r>
        <w:rPr>
          <w:rFonts w:ascii="Calibri" w:hAnsi="Calibri"/>
          <w:color w:val="334155"/>
          <w:sz w:val="22"/>
        </w:rPr>
        <w:t>The application features a ProviderManager architecture that automatically monitors API health, rate limits, and authentication credentials. If a primary provider is unavailable, requests failover smoothly without interrupting user workflow.</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120" w:type="dxa"/>
              <w:bottom w:w="120" w:type="dxa"/>
              <w:left w:w="100" w:type="dxa"/>
              <w:right w:w="100" w:type="dxa"/>
            </w:tcMar>
          </w:tcPr>
          <w:p>
            <w:pPr>
              <w:jc w:val="left"/>
            </w:pPr>
            <w:r>
              <w:rPr>
                <w:rFonts w:ascii="Segoe UI" w:hAnsi="Segoe UI"/>
                <w:b/>
                <w:color w:val="FFFFFF"/>
                <w:sz w:val="20"/>
              </w:rPr>
              <w:t>Provider</w:t>
            </w:r>
          </w:p>
        </w:tc>
        <w:tc>
          <w:tcPr>
            <w:tcW w:type="dxa" w:w="2340"/>
            <w:shd w:fill="0F172A"/>
            <w:tcMar>
              <w:top w:w="120" w:type="dxa"/>
              <w:bottom w:w="120" w:type="dxa"/>
              <w:left w:w="100" w:type="dxa"/>
              <w:right w:w="100" w:type="dxa"/>
            </w:tcMar>
          </w:tcPr>
          <w:p>
            <w:pPr>
              <w:jc w:val="left"/>
            </w:pPr>
            <w:r>
              <w:rPr>
                <w:rFonts w:ascii="Segoe UI" w:hAnsi="Segoe UI"/>
                <w:b/>
                <w:color w:val="FFFFFF"/>
                <w:sz w:val="20"/>
              </w:rPr>
              <w:t>Key Models Included</w:t>
            </w:r>
          </w:p>
        </w:tc>
        <w:tc>
          <w:tcPr>
            <w:tcW w:type="dxa" w:w="2340"/>
            <w:shd w:fill="0F172A"/>
            <w:tcMar>
              <w:top w:w="120" w:type="dxa"/>
              <w:bottom w:w="120" w:type="dxa"/>
              <w:left w:w="100" w:type="dxa"/>
              <w:right w:w="100" w:type="dxa"/>
            </w:tcMar>
          </w:tcPr>
          <w:p>
            <w:pPr>
              <w:jc w:val="left"/>
            </w:pPr>
            <w:r>
              <w:rPr>
                <w:rFonts w:ascii="Segoe UI" w:hAnsi="Segoe UI"/>
                <w:b/>
                <w:color w:val="FFFFFF"/>
                <w:sz w:val="20"/>
              </w:rPr>
              <w:t>Speed / Performance</w:t>
            </w:r>
          </w:p>
        </w:tc>
        <w:tc>
          <w:tcPr>
            <w:tcW w:type="dxa" w:w="2340"/>
            <w:shd w:fill="0F172A"/>
            <w:tcMar>
              <w:top w:w="120" w:type="dxa"/>
              <w:bottom w:w="120" w:type="dxa"/>
              <w:left w:w="100" w:type="dxa"/>
              <w:right w:w="100" w:type="dxa"/>
            </w:tcMar>
          </w:tcPr>
          <w:p>
            <w:pPr>
              <w:jc w:val="left"/>
            </w:pPr>
            <w:r>
              <w:rPr>
                <w:rFonts w:ascii="Segoe UI" w:hAnsi="Segoe UI"/>
                <w:b/>
                <w:color w:val="FFFFFF"/>
                <w:sz w:val="20"/>
              </w:rPr>
              <w:t>Target Use Case</w:t>
            </w:r>
          </w:p>
        </w:tc>
      </w:tr>
      <w:tr>
        <w:tc>
          <w:tcPr>
            <w:tcW w:type="dxa" w:w="2160"/>
            <w:shd w:fill="F8FAFC"/>
            <w:tcMar>
              <w:top w:w="100" w:type="dxa"/>
              <w:bottom w:w="100" w:type="dxa"/>
              <w:left w:w="100" w:type="dxa"/>
              <w:right w:w="100" w:type="dxa"/>
            </w:tcMar>
          </w:tcPr>
          <w:p>
            <w:r>
              <w:rPr>
                <w:rFonts w:ascii="Calibri" w:hAnsi="Calibri"/>
                <w:b/>
                <w:color w:val="334155"/>
                <w:sz w:val="19"/>
              </w:rPr>
              <w:t>GitHub Models</w:t>
            </w:r>
          </w:p>
        </w:tc>
        <w:tc>
          <w:tcPr>
            <w:tcW w:type="dxa" w:w="2592"/>
            <w:shd w:fill="F8FAFC"/>
            <w:tcMar>
              <w:top w:w="100" w:type="dxa"/>
              <w:bottom w:w="100" w:type="dxa"/>
              <w:left w:w="100" w:type="dxa"/>
              <w:right w:w="100" w:type="dxa"/>
            </w:tcMar>
          </w:tcPr>
          <w:p>
            <w:r>
              <w:rPr>
                <w:rFonts w:ascii="Calibri" w:hAnsi="Calibri"/>
                <w:color w:val="334155"/>
                <w:sz w:val="19"/>
              </w:rPr>
              <w:t>GPT-4o, GPT-4o-mini, Phi-4</w:t>
            </w:r>
          </w:p>
        </w:tc>
        <w:tc>
          <w:tcPr>
            <w:tcW w:type="dxa" w:w="2304"/>
            <w:shd w:fill="F8FAFC"/>
            <w:tcMar>
              <w:top w:w="100" w:type="dxa"/>
              <w:bottom w:w="100" w:type="dxa"/>
              <w:left w:w="100" w:type="dxa"/>
              <w:right w:w="100" w:type="dxa"/>
            </w:tcMar>
          </w:tcPr>
          <w:p>
            <w:r>
              <w:rPr>
                <w:rFonts w:ascii="Calibri" w:hAnsi="Calibri"/>
                <w:color w:val="334155"/>
                <w:sz w:val="19"/>
              </w:rPr>
              <w:t>High Precision / Azure Infra</w:t>
            </w:r>
          </w:p>
        </w:tc>
        <w:tc>
          <w:tcPr>
            <w:tcW w:type="dxa" w:w="2304"/>
            <w:shd w:fill="F8FAFC"/>
            <w:tcMar>
              <w:top w:w="100" w:type="dxa"/>
              <w:bottom w:w="100" w:type="dxa"/>
              <w:left w:w="100" w:type="dxa"/>
              <w:right w:w="100" w:type="dxa"/>
            </w:tcMar>
          </w:tcPr>
          <w:p>
            <w:r>
              <w:rPr>
                <w:rFonts w:ascii="Calibri" w:hAnsi="Calibri"/>
                <w:color w:val="334155"/>
                <w:sz w:val="19"/>
              </w:rPr>
              <w:t>Complex logic, deep reasoning &amp; coding</w:t>
            </w:r>
          </w:p>
        </w:tc>
      </w:tr>
      <w:tr>
        <w:tc>
          <w:tcPr>
            <w:tcW w:type="dxa" w:w="2160"/>
            <w:shd w:fill="F1F5F9"/>
            <w:tcMar>
              <w:top w:w="100" w:type="dxa"/>
              <w:bottom w:w="100" w:type="dxa"/>
              <w:left w:w="100" w:type="dxa"/>
              <w:right w:w="100" w:type="dxa"/>
            </w:tcMar>
          </w:tcPr>
          <w:p>
            <w:r>
              <w:rPr>
                <w:rFonts w:ascii="Calibri" w:hAnsi="Calibri"/>
                <w:b/>
                <w:color w:val="334155"/>
                <w:sz w:val="19"/>
              </w:rPr>
              <w:t>Groq Engine</w:t>
            </w:r>
          </w:p>
        </w:tc>
        <w:tc>
          <w:tcPr>
            <w:tcW w:type="dxa" w:w="2592"/>
            <w:shd w:fill="F1F5F9"/>
            <w:tcMar>
              <w:top w:w="100" w:type="dxa"/>
              <w:bottom w:w="100" w:type="dxa"/>
              <w:left w:w="100" w:type="dxa"/>
              <w:right w:w="100" w:type="dxa"/>
            </w:tcMar>
          </w:tcPr>
          <w:p>
            <w:r>
              <w:rPr>
                <w:rFonts w:ascii="Calibri" w:hAnsi="Calibri"/>
                <w:color w:val="334155"/>
                <w:sz w:val="19"/>
              </w:rPr>
              <w:t>Llama 3.3 70B Versatile</w:t>
            </w:r>
          </w:p>
        </w:tc>
        <w:tc>
          <w:tcPr>
            <w:tcW w:type="dxa" w:w="2304"/>
            <w:shd w:fill="F1F5F9"/>
            <w:tcMar>
              <w:top w:w="100" w:type="dxa"/>
              <w:bottom w:w="100" w:type="dxa"/>
              <w:left w:w="100" w:type="dxa"/>
              <w:right w:w="100" w:type="dxa"/>
            </w:tcMar>
          </w:tcPr>
          <w:p>
            <w:r>
              <w:rPr>
                <w:rFonts w:ascii="Calibri" w:hAnsi="Calibri"/>
                <w:color w:val="334155"/>
                <w:sz w:val="19"/>
              </w:rPr>
              <w:t>Ultra-Fast (300+ Tokens/sec)</w:t>
            </w:r>
          </w:p>
        </w:tc>
        <w:tc>
          <w:tcPr>
            <w:tcW w:type="dxa" w:w="2304"/>
            <w:shd w:fill="F1F5F9"/>
            <w:tcMar>
              <w:top w:w="100" w:type="dxa"/>
              <w:bottom w:w="100" w:type="dxa"/>
              <w:left w:w="100" w:type="dxa"/>
              <w:right w:w="100" w:type="dxa"/>
            </w:tcMar>
          </w:tcPr>
          <w:p>
            <w:r>
              <w:rPr>
                <w:rFonts w:ascii="Calibri" w:hAnsi="Calibri"/>
                <w:color w:val="334155"/>
                <w:sz w:val="19"/>
              </w:rPr>
              <w:t>Real-time voice chat &amp; rapid drafting</w:t>
            </w:r>
          </w:p>
        </w:tc>
      </w:tr>
      <w:tr>
        <w:tc>
          <w:tcPr>
            <w:tcW w:type="dxa" w:w="2160"/>
            <w:shd w:fill="F8FAFC"/>
            <w:tcMar>
              <w:top w:w="100" w:type="dxa"/>
              <w:bottom w:w="100" w:type="dxa"/>
              <w:left w:w="100" w:type="dxa"/>
              <w:right w:w="100" w:type="dxa"/>
            </w:tcMar>
          </w:tcPr>
          <w:p>
            <w:r>
              <w:rPr>
                <w:rFonts w:ascii="Calibri" w:hAnsi="Calibri"/>
                <w:b/>
                <w:color w:val="334155"/>
                <w:sz w:val="19"/>
              </w:rPr>
              <w:t>Google AI Studio</w:t>
            </w:r>
          </w:p>
        </w:tc>
        <w:tc>
          <w:tcPr>
            <w:tcW w:type="dxa" w:w="2592"/>
            <w:shd w:fill="F8FAFC"/>
            <w:tcMar>
              <w:top w:w="100" w:type="dxa"/>
              <w:bottom w:w="100" w:type="dxa"/>
              <w:left w:w="100" w:type="dxa"/>
              <w:right w:w="100" w:type="dxa"/>
            </w:tcMar>
          </w:tcPr>
          <w:p>
            <w:r>
              <w:rPr>
                <w:rFonts w:ascii="Calibri" w:hAnsi="Calibri"/>
                <w:color w:val="334155"/>
                <w:sz w:val="19"/>
              </w:rPr>
              <w:t>Gemini 2.5 Flash, Gemini 1.5 Pro</w:t>
            </w:r>
          </w:p>
        </w:tc>
        <w:tc>
          <w:tcPr>
            <w:tcW w:type="dxa" w:w="2304"/>
            <w:shd w:fill="F8FAFC"/>
            <w:tcMar>
              <w:top w:w="100" w:type="dxa"/>
              <w:bottom w:w="100" w:type="dxa"/>
              <w:left w:w="100" w:type="dxa"/>
              <w:right w:w="100" w:type="dxa"/>
            </w:tcMar>
          </w:tcPr>
          <w:p>
            <w:r>
              <w:rPr>
                <w:rFonts w:ascii="Calibri" w:hAnsi="Calibri"/>
                <w:color w:val="334155"/>
                <w:sz w:val="19"/>
              </w:rPr>
              <w:t>Large Context Window (1M+)</w:t>
            </w:r>
          </w:p>
        </w:tc>
        <w:tc>
          <w:tcPr>
            <w:tcW w:type="dxa" w:w="2304"/>
            <w:shd w:fill="F8FAFC"/>
            <w:tcMar>
              <w:top w:w="100" w:type="dxa"/>
              <w:bottom w:w="100" w:type="dxa"/>
              <w:left w:w="100" w:type="dxa"/>
              <w:right w:w="100" w:type="dxa"/>
            </w:tcMar>
          </w:tcPr>
          <w:p>
            <w:r>
              <w:rPr>
                <w:rFonts w:ascii="Calibri" w:hAnsi="Calibri"/>
                <w:color w:val="334155"/>
                <w:sz w:val="19"/>
              </w:rPr>
              <w:t>Document analysis &amp; long-context research</w:t>
            </w:r>
          </w:p>
        </w:tc>
      </w:tr>
      <w:tr>
        <w:tc>
          <w:tcPr>
            <w:tcW w:type="dxa" w:w="2160"/>
            <w:shd w:fill="F1F5F9"/>
            <w:tcMar>
              <w:top w:w="100" w:type="dxa"/>
              <w:bottom w:w="100" w:type="dxa"/>
              <w:left w:w="100" w:type="dxa"/>
              <w:right w:w="100" w:type="dxa"/>
            </w:tcMar>
          </w:tcPr>
          <w:p>
            <w:r>
              <w:rPr>
                <w:rFonts w:ascii="Calibri" w:hAnsi="Calibri"/>
                <w:b/>
                <w:color w:val="334155"/>
                <w:sz w:val="19"/>
              </w:rPr>
              <w:t>OpenRouter</w:t>
            </w:r>
          </w:p>
        </w:tc>
        <w:tc>
          <w:tcPr>
            <w:tcW w:type="dxa" w:w="2592"/>
            <w:shd w:fill="F1F5F9"/>
            <w:tcMar>
              <w:top w:w="100" w:type="dxa"/>
              <w:bottom w:w="100" w:type="dxa"/>
              <w:left w:w="100" w:type="dxa"/>
              <w:right w:w="100" w:type="dxa"/>
            </w:tcMar>
          </w:tcPr>
          <w:p>
            <w:r>
              <w:rPr>
                <w:rFonts w:ascii="Calibri" w:hAnsi="Calibri"/>
                <w:color w:val="334155"/>
                <w:sz w:val="19"/>
              </w:rPr>
              <w:t>DeepSeek R1, DeepSeek V3</w:t>
            </w:r>
          </w:p>
        </w:tc>
        <w:tc>
          <w:tcPr>
            <w:tcW w:type="dxa" w:w="2304"/>
            <w:shd w:fill="F1F5F9"/>
            <w:tcMar>
              <w:top w:w="100" w:type="dxa"/>
              <w:bottom w:w="100" w:type="dxa"/>
              <w:left w:w="100" w:type="dxa"/>
              <w:right w:w="100" w:type="dxa"/>
            </w:tcMar>
          </w:tcPr>
          <w:p>
            <w:r>
              <w:rPr>
                <w:rFonts w:ascii="Calibri" w:hAnsi="Calibri"/>
                <w:color w:val="334155"/>
                <w:sz w:val="19"/>
              </w:rPr>
              <w:t>Reasoning &amp; Benchmark Leader</w:t>
            </w:r>
          </w:p>
        </w:tc>
        <w:tc>
          <w:tcPr>
            <w:tcW w:type="dxa" w:w="2304"/>
            <w:shd w:fill="F1F5F9"/>
            <w:tcMar>
              <w:top w:w="100" w:type="dxa"/>
              <w:bottom w:w="100" w:type="dxa"/>
              <w:left w:w="100" w:type="dxa"/>
              <w:right w:w="100" w:type="dxa"/>
            </w:tcMar>
          </w:tcPr>
          <w:p>
            <w:r>
              <w:rPr>
                <w:rFonts w:ascii="Calibri" w:hAnsi="Calibri"/>
                <w:color w:val="334155"/>
                <w:sz w:val="19"/>
              </w:rPr>
              <w:t>Advanced math, logic &amp; deep research</w:t>
            </w:r>
          </w:p>
        </w:tc>
      </w:tr>
      <w:tr>
        <w:tc>
          <w:tcPr>
            <w:tcW w:type="dxa" w:w="2160"/>
            <w:shd w:fill="F8FAFC"/>
            <w:tcMar>
              <w:top w:w="100" w:type="dxa"/>
              <w:bottom w:w="100" w:type="dxa"/>
              <w:left w:w="100" w:type="dxa"/>
              <w:right w:w="100" w:type="dxa"/>
            </w:tcMar>
          </w:tcPr>
          <w:p>
            <w:r>
              <w:rPr>
                <w:rFonts w:ascii="Calibri" w:hAnsi="Calibri"/>
                <w:b/>
                <w:color w:val="334155"/>
                <w:sz w:val="19"/>
              </w:rPr>
              <w:t>Anthropic</w:t>
            </w:r>
          </w:p>
        </w:tc>
        <w:tc>
          <w:tcPr>
            <w:tcW w:type="dxa" w:w="2592"/>
            <w:shd w:fill="F8FAFC"/>
            <w:tcMar>
              <w:top w:w="100" w:type="dxa"/>
              <w:bottom w:w="100" w:type="dxa"/>
              <w:left w:w="100" w:type="dxa"/>
              <w:right w:w="100" w:type="dxa"/>
            </w:tcMar>
          </w:tcPr>
          <w:p>
            <w:r>
              <w:rPr>
                <w:rFonts w:ascii="Calibri" w:hAnsi="Calibri"/>
                <w:color w:val="334155"/>
                <w:sz w:val="19"/>
              </w:rPr>
              <w:t>Claude 3.5 Sonnet, Claude 3 Opus</w:t>
            </w:r>
          </w:p>
        </w:tc>
        <w:tc>
          <w:tcPr>
            <w:tcW w:type="dxa" w:w="2304"/>
            <w:shd w:fill="F8FAFC"/>
            <w:tcMar>
              <w:top w:w="100" w:type="dxa"/>
              <w:bottom w:w="100" w:type="dxa"/>
              <w:left w:w="100" w:type="dxa"/>
              <w:right w:w="100" w:type="dxa"/>
            </w:tcMar>
          </w:tcPr>
          <w:p>
            <w:r>
              <w:rPr>
                <w:rFonts w:ascii="Calibri" w:hAnsi="Calibri"/>
                <w:color w:val="334155"/>
                <w:sz w:val="19"/>
              </w:rPr>
              <w:t>Nuanced &amp; Natural Prose</w:t>
            </w:r>
          </w:p>
        </w:tc>
        <w:tc>
          <w:tcPr>
            <w:tcW w:type="dxa" w:w="2304"/>
            <w:shd w:fill="F8FAFC"/>
            <w:tcMar>
              <w:top w:w="100" w:type="dxa"/>
              <w:bottom w:w="100" w:type="dxa"/>
              <w:left w:w="100" w:type="dxa"/>
              <w:right w:w="100" w:type="dxa"/>
            </w:tcMar>
          </w:tcPr>
          <w:p>
            <w:r>
              <w:rPr>
                <w:rFonts w:ascii="Calibri" w:hAnsi="Calibri"/>
                <w:color w:val="334155"/>
                <w:sz w:val="19"/>
              </w:rPr>
              <w:t>Creative writing, coding &amp; analysis</w:t>
            </w:r>
          </w:p>
        </w:tc>
      </w:tr>
      <w:tr>
        <w:tc>
          <w:tcPr>
            <w:tcW w:type="dxa" w:w="2160"/>
            <w:shd w:fill="F1F5F9"/>
            <w:tcMar>
              <w:top w:w="100" w:type="dxa"/>
              <w:bottom w:w="100" w:type="dxa"/>
              <w:left w:w="100" w:type="dxa"/>
              <w:right w:w="100" w:type="dxa"/>
            </w:tcMar>
          </w:tcPr>
          <w:p>
            <w:r>
              <w:rPr>
                <w:rFonts w:ascii="Calibri" w:hAnsi="Calibri"/>
                <w:b/>
                <w:color w:val="334155"/>
                <w:sz w:val="19"/>
              </w:rPr>
              <w:t>Cerebras Engine</w:t>
            </w:r>
          </w:p>
        </w:tc>
        <w:tc>
          <w:tcPr>
            <w:tcW w:type="dxa" w:w="2592"/>
            <w:shd w:fill="F1F5F9"/>
            <w:tcMar>
              <w:top w:w="100" w:type="dxa"/>
              <w:bottom w:w="100" w:type="dxa"/>
              <w:left w:w="100" w:type="dxa"/>
              <w:right w:w="100" w:type="dxa"/>
            </w:tcMar>
          </w:tcPr>
          <w:p>
            <w:r>
              <w:rPr>
                <w:rFonts w:ascii="Calibri" w:hAnsi="Calibri"/>
                <w:color w:val="334155"/>
                <w:sz w:val="19"/>
              </w:rPr>
              <w:t>Llama 3.3 70B</w:t>
            </w:r>
          </w:p>
        </w:tc>
        <w:tc>
          <w:tcPr>
            <w:tcW w:type="dxa" w:w="2304"/>
            <w:shd w:fill="F1F5F9"/>
            <w:tcMar>
              <w:top w:w="100" w:type="dxa"/>
              <w:bottom w:w="100" w:type="dxa"/>
              <w:left w:w="100" w:type="dxa"/>
              <w:right w:w="100" w:type="dxa"/>
            </w:tcMar>
          </w:tcPr>
          <w:p>
            <w:r>
              <w:rPr>
                <w:rFonts w:ascii="Calibri" w:hAnsi="Calibri"/>
                <w:color w:val="334155"/>
                <w:sz w:val="19"/>
              </w:rPr>
              <w:t>Hardware Accelerated Speed</w:t>
            </w:r>
          </w:p>
        </w:tc>
        <w:tc>
          <w:tcPr>
            <w:tcW w:type="dxa" w:w="2304"/>
            <w:shd w:fill="F1F5F9"/>
            <w:tcMar>
              <w:top w:w="100" w:type="dxa"/>
              <w:bottom w:w="100" w:type="dxa"/>
              <w:left w:w="100" w:type="dxa"/>
              <w:right w:w="100" w:type="dxa"/>
            </w:tcMar>
          </w:tcPr>
          <w:p>
            <w:r>
              <w:rPr>
                <w:rFonts w:ascii="Calibri" w:hAnsi="Calibri"/>
                <w:color w:val="334155"/>
                <w:sz w:val="19"/>
              </w:rPr>
              <w:t>Instant response generation</w:t>
            </w:r>
          </w:p>
        </w:tc>
      </w:tr>
      <w:tr>
        <w:tc>
          <w:tcPr>
            <w:tcW w:type="dxa" w:w="2160"/>
            <w:shd w:fill="F8FAFC"/>
            <w:tcMar>
              <w:top w:w="100" w:type="dxa"/>
              <w:bottom w:w="100" w:type="dxa"/>
              <w:left w:w="100" w:type="dxa"/>
              <w:right w:w="100" w:type="dxa"/>
            </w:tcMar>
          </w:tcPr>
          <w:p>
            <w:r>
              <w:rPr>
                <w:rFonts w:ascii="Calibri" w:hAnsi="Calibri"/>
                <w:b/>
                <w:color w:val="334155"/>
                <w:sz w:val="19"/>
              </w:rPr>
              <w:t>Mistral AI</w:t>
            </w:r>
          </w:p>
        </w:tc>
        <w:tc>
          <w:tcPr>
            <w:tcW w:type="dxa" w:w="2592"/>
            <w:shd w:fill="F8FAFC"/>
            <w:tcMar>
              <w:top w:w="100" w:type="dxa"/>
              <w:bottom w:w="100" w:type="dxa"/>
              <w:left w:w="100" w:type="dxa"/>
              <w:right w:w="100" w:type="dxa"/>
            </w:tcMar>
          </w:tcPr>
          <w:p>
            <w:r>
              <w:rPr>
                <w:rFonts w:ascii="Calibri" w:hAnsi="Calibri"/>
                <w:color w:val="334155"/>
                <w:sz w:val="19"/>
              </w:rPr>
              <w:t>Mistral Large, Codestral</w:t>
            </w:r>
          </w:p>
        </w:tc>
        <w:tc>
          <w:tcPr>
            <w:tcW w:type="dxa" w:w="2304"/>
            <w:shd w:fill="F8FAFC"/>
            <w:tcMar>
              <w:top w:w="100" w:type="dxa"/>
              <w:bottom w:w="100" w:type="dxa"/>
              <w:left w:w="100" w:type="dxa"/>
              <w:right w:w="100" w:type="dxa"/>
            </w:tcMar>
          </w:tcPr>
          <w:p>
            <w:r>
              <w:rPr>
                <w:rFonts w:ascii="Calibri" w:hAnsi="Calibri"/>
                <w:color w:val="334155"/>
                <w:sz w:val="19"/>
              </w:rPr>
              <w:t>European Flagship AI</w:t>
            </w:r>
          </w:p>
        </w:tc>
        <w:tc>
          <w:tcPr>
            <w:tcW w:type="dxa" w:w="2304"/>
            <w:shd w:fill="F8FAFC"/>
            <w:tcMar>
              <w:top w:w="100" w:type="dxa"/>
              <w:bottom w:w="100" w:type="dxa"/>
              <w:left w:w="100" w:type="dxa"/>
              <w:right w:w="100" w:type="dxa"/>
            </w:tcMar>
          </w:tcPr>
          <w:p>
            <w:r>
              <w:rPr>
                <w:rFonts w:ascii="Calibri" w:hAnsi="Calibri"/>
                <w:color w:val="334155"/>
                <w:sz w:val="19"/>
              </w:rPr>
              <w:t>Polyglot software development</w:t>
            </w:r>
          </w:p>
        </w:tc>
      </w:tr>
      <w:tr>
        <w:tc>
          <w:tcPr>
            <w:tcW w:type="dxa" w:w="2160"/>
            <w:shd w:fill="F1F5F9"/>
            <w:tcMar>
              <w:top w:w="100" w:type="dxa"/>
              <w:bottom w:w="100" w:type="dxa"/>
              <w:left w:w="100" w:type="dxa"/>
              <w:right w:w="100" w:type="dxa"/>
            </w:tcMar>
          </w:tcPr>
          <w:p>
            <w:r>
              <w:rPr>
                <w:rFonts w:ascii="Calibri" w:hAnsi="Calibri"/>
                <w:b/>
                <w:color w:val="334155"/>
                <w:sz w:val="19"/>
              </w:rPr>
              <w:t>Kimi AI / Moonshot</w:t>
            </w:r>
          </w:p>
        </w:tc>
        <w:tc>
          <w:tcPr>
            <w:tcW w:type="dxa" w:w="2592"/>
            <w:shd w:fill="F1F5F9"/>
            <w:tcMar>
              <w:top w:w="100" w:type="dxa"/>
              <w:bottom w:w="100" w:type="dxa"/>
              <w:left w:w="100" w:type="dxa"/>
              <w:right w:w="100" w:type="dxa"/>
            </w:tcMar>
          </w:tcPr>
          <w:p>
            <w:r>
              <w:rPr>
                <w:rFonts w:ascii="Calibri" w:hAnsi="Calibri"/>
                <w:color w:val="334155"/>
                <w:sz w:val="19"/>
              </w:rPr>
              <w:t>Kimi K1.5</w:t>
            </w:r>
          </w:p>
        </w:tc>
        <w:tc>
          <w:tcPr>
            <w:tcW w:type="dxa" w:w="2304"/>
            <w:shd w:fill="F1F5F9"/>
            <w:tcMar>
              <w:top w:w="100" w:type="dxa"/>
              <w:bottom w:w="100" w:type="dxa"/>
              <w:left w:w="100" w:type="dxa"/>
              <w:right w:w="100" w:type="dxa"/>
            </w:tcMar>
          </w:tcPr>
          <w:p>
            <w:r>
              <w:rPr>
                <w:rFonts w:ascii="Calibri" w:hAnsi="Calibri"/>
                <w:color w:val="334155"/>
                <w:sz w:val="19"/>
              </w:rPr>
              <w:t>High Precision Context</w:t>
            </w:r>
          </w:p>
        </w:tc>
        <w:tc>
          <w:tcPr>
            <w:tcW w:type="dxa" w:w="2304"/>
            <w:shd w:fill="F1F5F9"/>
            <w:tcMar>
              <w:top w:w="100" w:type="dxa"/>
              <w:bottom w:w="100" w:type="dxa"/>
              <w:left w:w="100" w:type="dxa"/>
              <w:right w:w="100" w:type="dxa"/>
            </w:tcMar>
          </w:tcPr>
          <w:p>
            <w:r>
              <w:rPr>
                <w:rFonts w:ascii="Calibri" w:hAnsi="Calibri"/>
                <w:color w:val="334155"/>
                <w:sz w:val="19"/>
              </w:rPr>
              <w:t>Multilingual chat &amp; specialized tasks</w:t>
            </w:r>
          </w:p>
        </w:tc>
      </w:tr>
    </w:tbl>
    <w:p>
      <w:pPr>
        <w:spacing w:after="240"/>
      </w:pPr>
    </w:p>
    <w:p>
      <w:pPr>
        <w:keepNext/>
        <w:spacing w:before="280" w:after="120"/>
      </w:pPr>
      <w:r>
        <w:rPr>
          <w:rFonts w:ascii="Segoe UI" w:hAnsi="Segoe UI"/>
          <w:b/>
          <w:color w:val="0F172A"/>
          <w:sz w:val="36"/>
        </w:rPr>
        <w:t>3. Advanced Voice &amp; Audio Intelligence</w:t>
      </w:r>
    </w:p>
    <w:p>
      <w:pPr>
        <w:spacing w:before="0" w:after="120" w:line="276" w:lineRule="auto"/>
      </w:pPr>
      <w:r>
        <w:rPr>
          <w:rFonts w:ascii="Calibri" w:hAnsi="Calibri"/>
          <w:color w:val="334155"/>
          <w:sz w:val="22"/>
        </w:rPr>
        <w:t>Jakariya AI Studio turns desktop computing into an interactive voice assistant equipped with both single-turn dictation and continuous hands-free conversation.</w:t>
      </w:r>
    </w:p>
    <w:p>
      <w:pPr>
        <w:keepNext/>
        <w:spacing w:before="280" w:after="120"/>
      </w:pPr>
      <w:r>
        <w:rPr>
          <w:rFonts w:ascii="Segoe UI" w:hAnsi="Segoe UI"/>
          <w:b/>
          <w:color w:val="4F46E5"/>
          <w:sz w:val="28"/>
        </w:rPr>
        <w:t>Dual Voice Modes</w:t>
      </w:r>
    </w:p>
    <w:p>
      <w:pPr>
        <w:pStyle w:val="ListBullet"/>
        <w:spacing w:before="0" w:after="80" w:line="276" w:lineRule="auto"/>
      </w:pPr>
      <w:r>
        <w:rPr>
          <w:rFonts w:ascii="Calibri" w:hAnsi="Calibri"/>
          <w:b/>
          <w:color w:val="4F46E5"/>
          <w:sz w:val="22"/>
        </w:rPr>
        <w:t xml:space="preserve">Single-Turn Dictation Mode: </w:t>
      </w:r>
      <w:r>
        <w:rPr>
          <w:rFonts w:ascii="Calibri" w:hAnsi="Calibri"/>
          <w:color w:val="334155"/>
          <w:sz w:val="22"/>
        </w:rPr>
        <w:t>Press the microphone button to dictate text. Supports auto-send or manual editing before submission.</w:t>
      </w:r>
    </w:p>
    <w:p>
      <w:pPr>
        <w:pStyle w:val="ListBullet"/>
        <w:spacing w:before="0" w:after="80" w:line="276" w:lineRule="auto"/>
      </w:pPr>
      <w:r>
        <w:rPr>
          <w:rFonts w:ascii="Calibri" w:hAnsi="Calibri"/>
          <w:b/>
          <w:color w:val="4F46E5"/>
          <w:sz w:val="22"/>
        </w:rPr>
        <w:t xml:space="preserve">Continuous Live Mode (⚡ Live): </w:t>
      </w:r>
      <w:r>
        <w:rPr>
          <w:rFonts w:ascii="Calibri" w:hAnsi="Calibri"/>
          <w:color w:val="334155"/>
          <w:sz w:val="22"/>
        </w:rPr>
        <w:t>An active, hands-free conversation session. The assistant listens continuously and responds in real-time.</w:t>
      </w:r>
    </w:p>
    <w:p>
      <w:pPr>
        <w:keepNext/>
        <w:spacing w:before="280" w:after="120"/>
      </w:pPr>
      <w:r>
        <w:rPr>
          <w:rFonts w:ascii="Segoe UI" w:hAnsi="Segoe UI"/>
          <w:b/>
          <w:color w:val="4F46E5"/>
          <w:sz w:val="28"/>
        </w:rPr>
        <w:t>Barge-in &amp; Feedback Suppression</w:t>
      </w:r>
    </w:p>
    <w:p>
      <w:pPr>
        <w:spacing w:before="0" w:after="120" w:line="276" w:lineRule="auto"/>
      </w:pPr>
      <w:r>
        <w:rPr>
          <w:rFonts w:ascii="Calibri" w:hAnsi="Calibri"/>
          <w:color w:val="334155"/>
          <w:sz w:val="22"/>
        </w:rPr>
        <w:t>During live continuous speech, the system dynamically scales down microphone gain (0.15 attenuation during AI speech playback) to prevent acoustic feedback loop false barge-ins, while keeping user speech detection active so you can interrupt the assistant at any moment.</w:t>
      </w:r>
    </w:p>
    <w:p>
      <w:pPr>
        <w:keepNext/>
        <w:spacing w:before="280" w:after="120"/>
      </w:pPr>
      <w:r>
        <w:rPr>
          <w:rFonts w:ascii="Segoe UI" w:hAnsi="Segoe UI"/>
          <w:b/>
          <w:color w:val="4F46E5"/>
          <w:sz w:val="28"/>
        </w:rPr>
        <w:t>Multilingual Audio Support</w:t>
      </w:r>
    </w:p>
    <w:p>
      <w:pPr>
        <w:spacing w:before="0" w:after="120" w:line="276" w:lineRule="auto"/>
      </w:pPr>
      <w:r>
        <w:rPr>
          <w:rFonts w:ascii="Calibri" w:hAnsi="Calibri"/>
          <w:color w:val="334155"/>
          <w:sz w:val="22"/>
        </w:rPr>
        <w:t>Native speech recognition (STT) and text-to-speech (TTS) engines support 11 global languages including Bangla (বাংলা), English, Spanish, French, German, Hindi, Japanese, Korean, Portuguese, Chinese, and Arabic.</w:t>
      </w:r>
    </w:p>
    <w:p>
      <w:pPr>
        <w:keepNext/>
        <w:spacing w:before="280" w:after="120"/>
      </w:pPr>
      <w:r>
        <w:rPr>
          <w:rFonts w:ascii="Segoe UI" w:hAnsi="Segoe UI"/>
          <w:b/>
          <w:color w:val="0F172A"/>
          <w:sz w:val="36"/>
        </w:rPr>
        <w:t>4. Executive Productivity Features</w:t>
      </w:r>
    </w:p>
    <w:p>
      <w:pPr>
        <w:keepNext/>
        <w:spacing w:before="280" w:after="120"/>
      </w:pPr>
      <w:r>
        <w:rPr>
          <w:rFonts w:ascii="Segoe UI" w:hAnsi="Segoe UI"/>
          <w:b/>
          <w:color w:val="4F46E5"/>
          <w:sz w:val="28"/>
        </w:rPr>
        <w:t>Multi-Format Document Exporters</w:t>
      </w:r>
    </w:p>
    <w:p>
      <w:pPr>
        <w:spacing w:before="0" w:after="120" w:line="276" w:lineRule="auto"/>
      </w:pPr>
      <w:r>
        <w:rPr>
          <w:rFonts w:ascii="Calibri" w:hAnsi="Calibri"/>
          <w:color w:val="334155"/>
          <w:sz w:val="22"/>
        </w:rPr>
        <w:t>Transform chat conversations into professional deliverables in one click. Exporters maintain message timestamps, visual formatting, embedded image attachments, and Bangla/Unicode characters:</w:t>
      </w:r>
    </w:p>
    <w:p>
      <w:pPr>
        <w:pStyle w:val="ListBullet"/>
        <w:spacing w:before="0" w:after="80" w:line="276" w:lineRule="auto"/>
      </w:pPr>
      <w:r>
        <w:rPr>
          <w:rFonts w:ascii="Calibri" w:hAnsi="Calibri"/>
          <w:b/>
          <w:color w:val="4F46E5"/>
          <w:sz w:val="22"/>
        </w:rPr>
        <w:t xml:space="preserve">PDF Document (.pdf): </w:t>
      </w:r>
      <w:r>
        <w:rPr>
          <w:rFonts w:ascii="Calibri" w:hAnsi="Calibri"/>
          <w:color w:val="334155"/>
          <w:sz w:val="22"/>
        </w:rPr>
        <w:t>Styled formal report layout with custom headers.</w:t>
      </w:r>
    </w:p>
    <w:p>
      <w:pPr>
        <w:pStyle w:val="ListBullet"/>
        <w:spacing w:before="0" w:after="80" w:line="276" w:lineRule="auto"/>
      </w:pPr>
      <w:r>
        <w:rPr>
          <w:rFonts w:ascii="Calibri" w:hAnsi="Calibri"/>
          <w:b/>
          <w:color w:val="4F46E5"/>
          <w:sz w:val="22"/>
        </w:rPr>
        <w:t xml:space="preserve">Microsoft Word (.docx): </w:t>
      </w:r>
      <w:r>
        <w:rPr>
          <w:rFonts w:ascii="Calibri" w:hAnsi="Calibri"/>
          <w:color w:val="334155"/>
          <w:sz w:val="22"/>
        </w:rPr>
        <w:t>Editable Word document formatted for business sharing.</w:t>
      </w:r>
    </w:p>
    <w:p>
      <w:pPr>
        <w:pStyle w:val="ListBullet"/>
        <w:spacing w:before="0" w:after="80" w:line="276" w:lineRule="auto"/>
      </w:pPr>
      <w:r>
        <w:rPr>
          <w:rFonts w:ascii="Calibri" w:hAnsi="Calibri"/>
          <w:b/>
          <w:color w:val="4F46E5"/>
          <w:sz w:val="22"/>
        </w:rPr>
        <w:t xml:space="preserve">HTML Presentation (.html): </w:t>
      </w:r>
      <w:r>
        <w:rPr>
          <w:rFonts w:ascii="Calibri" w:hAnsi="Calibri"/>
          <w:color w:val="334155"/>
          <w:sz w:val="22"/>
        </w:rPr>
        <w:t>Responsive web report with syntax highlighted code blocks.</w:t>
      </w:r>
    </w:p>
    <w:p>
      <w:pPr>
        <w:pStyle w:val="ListBullet"/>
        <w:spacing w:before="0" w:after="80" w:line="276" w:lineRule="auto"/>
      </w:pPr>
      <w:r>
        <w:rPr>
          <w:rFonts w:ascii="Calibri" w:hAnsi="Calibri"/>
          <w:b/>
          <w:color w:val="4F46E5"/>
          <w:sz w:val="22"/>
        </w:rPr>
        <w:t xml:space="preserve">Markdown &amp; Text (.md, .txt): </w:t>
      </w:r>
      <w:r>
        <w:rPr>
          <w:rFonts w:ascii="Calibri" w:hAnsi="Calibri"/>
          <w:color w:val="334155"/>
          <w:sz w:val="22"/>
        </w:rPr>
        <w:t>Clean text files for developer documentation.</w:t>
      </w:r>
    </w:p>
    <w:p>
      <w:pPr>
        <w:pStyle w:val="ListBullet"/>
        <w:spacing w:before="0" w:after="80" w:line="276" w:lineRule="auto"/>
      </w:pPr>
      <w:r>
        <w:rPr>
          <w:rFonts w:ascii="Calibri" w:hAnsi="Calibri"/>
          <w:b/>
          <w:color w:val="4F46E5"/>
          <w:sz w:val="22"/>
        </w:rPr>
        <w:t xml:space="preserve">One-Click Code Download: </w:t>
      </w:r>
      <w:r>
        <w:rPr>
          <w:rFonts w:ascii="Calibri" w:hAnsi="Calibri"/>
          <w:color w:val="334155"/>
          <w:sz w:val="22"/>
        </w:rPr>
        <w:t>Download any generated code block directly to its proper extension (.py, .js, .cpp, etc.).</w:t>
      </w:r>
    </w:p>
    <w:p>
      <w:pPr>
        <w:keepNext/>
        <w:spacing w:before="280" w:after="120"/>
      </w:pPr>
      <w:r>
        <w:rPr>
          <w:rFonts w:ascii="Segoe UI" w:hAnsi="Segoe UI"/>
          <w:b/>
          <w:color w:val="4F46E5"/>
          <w:sz w:val="28"/>
        </w:rPr>
        <w:t>Autonomous Web Search Intelligence</w:t>
      </w:r>
    </w:p>
    <w:p>
      <w:pPr>
        <w:spacing w:before="0" w:after="120" w:line="276" w:lineRule="auto"/>
      </w:pPr>
      <w:r>
        <w:rPr>
          <w:rFonts w:ascii="Calibri" w:hAnsi="Calibri"/>
          <w:color w:val="334155"/>
          <w:sz w:val="22"/>
        </w:rPr>
        <w:t>Integrated with Tavily API, the studio automatically detects queries requesting current news, market prices, weather forecasts, or live data. It injects live search context and web URL citations directly into the LLM context window.</w:t>
      </w:r>
    </w:p>
    <w:p>
      <w:pPr>
        <w:keepNext/>
        <w:spacing w:before="280" w:after="120"/>
      </w:pPr>
      <w:r>
        <w:rPr>
          <w:rFonts w:ascii="Segoe UI" w:hAnsi="Segoe UI"/>
          <w:b/>
          <w:color w:val="0F172A"/>
          <w:sz w:val="36"/>
        </w:rPr>
        <w:t>5. Enterprise Architecture &amp; Quality Guarantee</w:t>
      </w:r>
    </w:p>
    <w:p>
      <w:pPr>
        <w:spacing w:before="0" w:after="120" w:line="276" w:lineRule="auto"/>
      </w:pPr>
      <w:r>
        <w:rPr>
          <w:rFonts w:ascii="Calibri" w:hAnsi="Calibri"/>
          <w:color w:val="334155"/>
          <w:sz w:val="22"/>
        </w:rPr>
        <w:t>Built strictly adhering to modern desktop software practices:</w:t>
      </w:r>
    </w:p>
    <w:p>
      <w:pPr>
        <w:pStyle w:val="ListBullet"/>
        <w:spacing w:before="0" w:after="80" w:line="276" w:lineRule="auto"/>
      </w:pPr>
      <w:r>
        <w:rPr>
          <w:rFonts w:ascii="Calibri" w:hAnsi="Calibri"/>
          <w:b/>
          <w:color w:val="4F46E5"/>
          <w:sz w:val="22"/>
        </w:rPr>
        <w:t xml:space="preserve">PySide6 / Qt6 Native UI: </w:t>
      </w:r>
      <w:r>
        <w:rPr>
          <w:rFonts w:ascii="Calibri" w:hAnsi="Calibri"/>
          <w:color w:val="334155"/>
          <w:sz w:val="22"/>
        </w:rPr>
        <w:t>High DPI responsive interface with custom fonts, glassmorphism aesthetics, and clean dark/light themes.</w:t>
      </w:r>
    </w:p>
    <w:p>
      <w:pPr>
        <w:pStyle w:val="ListBullet"/>
        <w:spacing w:before="0" w:after="80" w:line="276" w:lineRule="auto"/>
      </w:pPr>
      <w:r>
        <w:rPr>
          <w:rFonts w:ascii="Calibri" w:hAnsi="Calibri"/>
          <w:b/>
          <w:color w:val="4F46E5"/>
          <w:sz w:val="22"/>
        </w:rPr>
        <w:t xml:space="preserve">Thread-Safe SQLite Engine: </w:t>
      </w:r>
      <w:r>
        <w:rPr>
          <w:rFonts w:ascii="Calibri" w:hAnsi="Calibri"/>
          <w:color w:val="334155"/>
          <w:sz w:val="22"/>
        </w:rPr>
        <w:t>ACID-compliant storage using WAL journal mode, busy timeouts, and automatic schema migrations.</w:t>
      </w:r>
    </w:p>
    <w:p>
      <w:pPr>
        <w:pStyle w:val="ListBullet"/>
        <w:spacing w:before="0" w:after="80" w:line="276" w:lineRule="auto"/>
      </w:pPr>
      <w:r>
        <w:rPr>
          <w:rFonts w:ascii="Calibri" w:hAnsi="Calibri"/>
          <w:b/>
          <w:color w:val="4F46E5"/>
          <w:sz w:val="22"/>
        </w:rPr>
        <w:t xml:space="preserve">Rigorous Quality Assurance: </w:t>
      </w:r>
      <w:r>
        <w:rPr>
          <w:rFonts w:ascii="Calibri" w:hAnsi="Calibri"/>
          <w:color w:val="334155"/>
          <w:sz w:val="22"/>
        </w:rPr>
        <w:t>Covered by 128 automated Pytest unit tests achieving 100% pass rate across provider failovers, voice pipelines, UI headers, and exporter services.</w:t>
      </w:r>
    </w:p>
    <w:p>
      <w:pPr>
        <w:keepNext/>
        <w:spacing w:before="280" w:after="120"/>
      </w:pPr>
      <w:r>
        <w:rPr>
          <w:rFonts w:ascii="Segoe UI" w:hAnsi="Segoe UI"/>
          <w:b/>
          <w:color w:val="0F172A"/>
          <w:sz w:val="36"/>
        </w:rPr>
        <w:t>6. Commercial Deployment &amp; Customization Options</w:t>
      </w:r>
    </w:p>
    <w:p>
      <w:pPr>
        <w:spacing w:before="0" w:after="120" w:line="276" w:lineRule="auto"/>
      </w:pPr>
      <w:r>
        <w:rPr>
          <w:rFonts w:ascii="Calibri" w:hAnsi="Calibri"/>
          <w:color w:val="334155"/>
          <w:sz w:val="22"/>
        </w:rPr>
        <w:t>Jakariya AI Studio is ready for white-label client deployment, custom branding, and enterprise integration:</w:t>
      </w:r>
    </w:p>
    <w:p>
      <w:pPr>
        <w:pStyle w:val="ListBullet"/>
        <w:spacing w:before="0" w:after="80" w:line="276" w:lineRule="auto"/>
      </w:pPr>
      <w:r>
        <w:rPr>
          <w:rFonts w:ascii="Calibri" w:hAnsi="Calibri"/>
          <w:b/>
          <w:color w:val="4F46E5"/>
          <w:sz w:val="22"/>
        </w:rPr>
        <w:t xml:space="preserve">White-Label Branding: </w:t>
      </w:r>
      <w:r>
        <w:rPr>
          <w:rFonts w:ascii="Calibri" w:hAnsi="Calibri"/>
          <w:color w:val="334155"/>
          <w:sz w:val="22"/>
        </w:rPr>
        <w:t>Customize logo, app branding, splash screens, and default color themes for your client organization.</w:t>
      </w:r>
    </w:p>
    <w:p>
      <w:pPr>
        <w:pStyle w:val="ListBullet"/>
        <w:spacing w:before="0" w:after="80" w:line="276" w:lineRule="auto"/>
      </w:pPr>
      <w:r>
        <w:rPr>
          <w:rFonts w:ascii="Calibri" w:hAnsi="Calibri"/>
          <w:b/>
          <w:color w:val="4F46E5"/>
          <w:sz w:val="22"/>
        </w:rPr>
        <w:t xml:space="preserve">Private Local LLM Integration: </w:t>
      </w:r>
      <w:r>
        <w:rPr>
          <w:rFonts w:ascii="Calibri" w:hAnsi="Calibri"/>
          <w:color w:val="334155"/>
          <w:sz w:val="22"/>
        </w:rPr>
        <w:t>Optionally hook into local Ollama / LM Studio instances for 100% offline air-gapped corporate security.</w:t>
      </w:r>
    </w:p>
    <w:p>
      <w:pPr>
        <w:pStyle w:val="ListBullet"/>
        <w:spacing w:before="0" w:after="80" w:line="276" w:lineRule="auto"/>
      </w:pPr>
      <w:r>
        <w:rPr>
          <w:rFonts w:ascii="Calibri" w:hAnsi="Calibri"/>
          <w:b/>
          <w:color w:val="4F46E5"/>
          <w:sz w:val="22"/>
        </w:rPr>
        <w:t xml:space="preserve">Custom Workflow Integration: </w:t>
      </w:r>
      <w:r>
        <w:rPr>
          <w:rFonts w:ascii="Calibri" w:hAnsi="Calibri"/>
          <w:color w:val="334155"/>
          <w:sz w:val="22"/>
        </w:rPr>
        <w:t>Add specialized exporters, custom prompt templates, or internal REST API hooks.</w:t>
      </w:r>
    </w:p>
    <w:p>
      <w:pPr>
        <w:spacing w:after="360"/>
      </w:pPr>
    </w:p>
    <w:p>
      <w:pPr>
        <w:spacing w:before="240" w:after="240"/>
      </w:pP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jc w:val="center"/>
            </w:pPr>
            <w:r>
              <w:rPr>
                <w:rFonts w:ascii="Segoe UI" w:hAnsi="Segoe UI"/>
                <w:b/>
                <w:color w:val="4F46E5"/>
                <w:sz w:val="22"/>
              </w:rPr>
              <w:t xml:space="preserve">Summary: </w:t>
            </w:r>
            <w:r>
              <w:rPr>
                <w:rFonts w:ascii="Calibri" w:hAnsi="Calibri"/>
                <w:color w:val="0F172A"/>
                <w:sz w:val="21"/>
              </w:rPr>
              <w:t>Jakariya AI Studio combines 8 world-class AI providers, real-time voice &amp; web intelligence, and multi-format document exporting into a polished, client-ready desktop application.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