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“Clients” table has a one-to-many relationship with the “Application” table, as each client can have multiple applications, but each application belongs to only one client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“Application” table has a many-to-one relationship with the “Policies” table as many applications can be for one policy, and each policy may be assigned to many applications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“Policies” table has a one-to-one relationship with each of the specialized policy tables (Auto Insurance Policies, Health Insurance Policies, Life Insurance Policies, Homeowner Insurance Policies, and Renter Insurance Policies), as each policy of a specific type must belong to the “Policies” table, and each record in the specialized policy table can only belong to one policy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One Employee can be an Underwriter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Employee.EMP_ID can be linked to a single Underwriters.EMP_ID (One-to-One relationship).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 Underwriter can be associated with one Employee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Underwriters.EMP_ID must be linked to a single Employee.EMP_ID (One-to-One relationship).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One Employee can be associated with one Agent (One-to-One)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Each agent is associated with one employee   (One-to-One)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Agents.EMP_ID refers to Employee.EMP_ID (Foreign Key Constraint)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One Employee can be associated with one Accountant and is a One-to-One relationship.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Each Accountant is associated with one Employee and is a One-to-One relationship.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Accountants.EMP_ID and Employee.EMP_ID (Foreign Key Constraint)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One Accountant can be responsible for multiple Invoices (One-to-Many relationship)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Accountants.EMP_ID and Invoices.EMP_ID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Many Invoices can be associated with one Accountant (Many-to-One relationship)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Invoices.EMP_ID, to Accountants.EMP_ID. (Foreign Key Constraint)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One Agent can be associated with multiple Clients (One to many)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Agents.EMP_ID and Clients.EMP_ID Foreign Key Restraint)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Many Clients can be associated with one Agent(Many to one)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Clients.EMP_ID and Agents.EMP_ID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Policy Details record can be associated with one or more Invoices (One to many)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Many invoices can be associated with one Policy Detail (Many to One)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Invoices.PD_ID, which refers to Policy Details.PD_ID (Foreign Key Constraint)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One Client can be associated with multiple Invoices (One to many)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Client.C_ID and Invoices.C_ID Foreign Key Restraint)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Many Invoices can be associated with one Client(Many to one)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Invoices.C_ID and Client.C_ID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One Policy can be associated with multiple Invoices (One to Many)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Policies.P_ID and Invoices.P_ID (Foreign Key Constraint)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Multiple Invoices can be associated with one Policy (Many to one relation)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Invoices.P_ID, refers to Policies.P_ID (Foreign Key Constraint)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Each Underwriter writes multiple Policy Details records (One to many)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Underwriter.EMP_ID and Policy Details.EMP_ID (Foreign Key Constraint)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Multiple Policy Details records can be written by only one Underwriter.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Policy Details.EMP_ID and Underwriter.EMP_ID (Foreign Key Constraint)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Each Policy can be associated with multiple Policy Details record (One to many)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Policies.P_ID and Policy Details.P_ID (Foreign Key Constraint)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Multiple Policy Details records can be associated with one policy.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Policy Details.P_ID and Policies.P_ID (Foreign Key Constraint)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One Policy can be associated to multiple Claims (One To Many)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Policies.P_ID and Claims.P_ID (Foreign Key Constraint)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Multiple Claims can be associated with one Policy (Many To One)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Claims.P_ID, refers to Policies.P_ID (Foreign Key Constraint)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Each Underwriter processes multiple Claims (One to many)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Underwriter.EMP_ID and Claims.EMP_ID (Foreign Key Constraint)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Multiple Claims can be processed by only one Underwriter.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Claims.EMP_ID and Underwriter.EMP_ID (Foreign Key Constraint)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