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Age-adjusted trends in proportions of U.S. adults overall and by subgroup with diabetes that report receiving six recommended care services - at least one dental visit, one dilated eye exam, one foot exam, two or more A1C tests, cholesterol level tested, and receiving an influenza vaccine.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
                Average (SE)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Joinpoint Year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(95% CI)
                <w:rPr>
                  <w:vertAlign w:val="superscript"/>
                  <w:i>true</w:i>
                  <w:t xml:space="default">*,§</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w:t>
                  <w:i>false</w:i>
                  <w:vertAlign w:val="baseline"/>
                </w:rPr>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Cholesterol tested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(-14.5,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(-20.2,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(-1.8,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(-15.2,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(-0.5, 0.6), -4.8 (-7.3,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(-8.3,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(-1.2,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(-1.2,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(-12.8,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(-1.4,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(-1.4,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 (-34.9,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 2.4), -10.4 (-15.8,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(-3.8,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(-4.4, 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 (-25.1,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(-1.7,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(-1.7,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82.2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 (-36.1,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(-3.3,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(-12.3, 14.7)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 (-61.5, 28.0)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(-2.6,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89.2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(-13.8,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(-1.1,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(-18.3,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2.2), -6.9 (-11.7,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(-2.6,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(-1.5,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(-1.5,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75.2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(-15.7,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(-1.4,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(-1.4,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82.6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(-36.8,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(-3.6,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77.5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83.3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(12.7)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(11.4)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(-45.3, 59.5)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(-3.1,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(-3.1,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(-7.4,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(-9.4, 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(-0.7,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 (-22.7,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86.2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(-35.4,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(-3.5,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(-3.5,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(-18.6, 18.7)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(-2.7, 1.1)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Received influenza vaccine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(11.3, 53.5)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(6.9, 11.6), -6.0 (-12.1, 0.6), 2.9 (0.7,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79.8 (11.9, 147.8)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(1.0, 47.6), -2.1 (-6.1,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(-1.1,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(-10.5, 21.2)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 (-0.3, 27.3)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(-2.1, 31.1)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(-24.3, 50.4)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(-0.8, 29.4), -4.0 (-9.2,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(-3.0,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(4.6, 67.8)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(-0.6,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(-0.8, 68.7)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(-0.3,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 (9.5)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(18.5)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(-76.9, 195.4)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(-0.2,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(-0.2,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(-22.6, 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 (-62.3, 154.3)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(0.0,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(0.0,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 (18.6, 73.2)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(8.9, 15.7), -5.6 (-14.3, 3.9), 2.7 (-0.4,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25.8 (-4.0, 55.7)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(0.6, 22.5), -1.7 (-3.8,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(12.2, 66.5)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(21.8, 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(4.7, 22.1), -9.2 (-28.8, 15.8), 4.9 (-2.9, 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(-1.8,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(-45.0, 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(-2.7,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(-103.3, 108.4)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(-2.8,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(6.5, 34.4)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 (4.9, 80.3)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(4.3, 18.9), -7.8 (-25.1, 13.3), 5.7 (-1.0, 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(-0.9,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(1.0, 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 (0.2, 27.9), -0.2 (-2.8,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(-32.9, 43.0)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(-3.5,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(-3.5,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(-16.8, 76.5)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(-0.3, 5.2)</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One or more dentist visits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(-5.6, 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(-2.2, 0.9), 11.6 (-6.1, 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(-1.4,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(-25.7, 42.8)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(-6.2, 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(-3.3, 0.5), 8.9 (-0.4, 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(-1.0,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(15.6, 76.1)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23.3 (-4.3, 50.9)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 (-29.4, 81.4)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(-1.5,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(-1.5,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(-20.7, 29.6)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(-11.3, -6.2), 5.8 (2.9, 8.8), -9.9 (-12.4, -7.4), 12.1 (10.5, 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(-16.7, 34.9)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(16.3)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 (-90.5, 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(-3.7,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(-3.7,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(-47.0, 28.3)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(-4.0,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(-4.0,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28.5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(-12.4, 143.8)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(-10.4, 0.1), 64.5 (-10.4, 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(-5.1,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 (-4.3, 44.8)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(0.5,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(-13.0, 40.6)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(-12.7, 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(-17.9, 26.3)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(-4.3, -0.9), 5.6 (1.4,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(-1.2,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25.5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(-30.8, 102.7)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(-1.6,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(-1.6,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 (-128.4, 35.6)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(-10.5,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(-10.5,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(12.7, 62.6)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(-41.7, 69.5), 6.4 (-37.6, 81.5), -1.6 (-24.6, 28.5), 11.0 (-34.9, 89.3)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(-0.5,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 (-9.7, 47.1)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(-9.4, 55.9)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 (-40.1, 30.5), 6.7 (-27.8, 57.5), -6.4 (-36.6, 38.2), 17.0 (-3.7, 42.2)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(-0.7,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(-37.9, 49.1)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(-3.1,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(-3.1,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 (-59.5,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(-22.3, -5.4), 10.7 (0.4, 22.2), -5.9 (-11.6,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(-6.1, 0.8)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Two or more A1C tests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(-4.3,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(-21.8,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(0.9, 27.7)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 (9.6, 41.3)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 (7.1, 48.7)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(0.7,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(-20.1, 40.8)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(-14.8, 20.8)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(-6.8, 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(-58.8, 169.2)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(2.0,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(2.0,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(-28.7, 34.8)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(0.0,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(-33.0, 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 (-0.5, 33.4)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(-13.1, 25.1)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(-5.2, 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(-10.1, 24.4)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(-24.7, 39.5)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(-79.1, 46.5)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(-4.9,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(-4.9,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24.2 (10.9, 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63.4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(-5.6, 33.7)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(-8.8, 34.0)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(-36.2, 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 (-18.5, 52.0)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 5.2)</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Dilated eye exam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 (-37.7, 12.2)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(-8.9,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(-10.1,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(-0.3,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(-14.7,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(-30.5, 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(-17.9, 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(-1.9,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(-1.9,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(-33.0,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(-1.7,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(18.6)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(-58.9, 50.1)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(-2.8,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(-26.1, 37.9)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(13.7)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 (-73.2, 13.4)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(-19.0, 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(-1.3,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(-21.4, 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(-0.8, 12.0), -1.6 (-2.9,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 (-21.8,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(-32.1,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(-2.7,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(-2.7,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52.5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 (-35.4,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(-2.9,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(-2.9,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 (10.5)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(-59.9, 169.7)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(-5.5, 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(-32.8,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(-0.9, 7.8), -3.8 (-6.8,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(-24.7, 20.0)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 (-38.6,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(-3.6,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(-3.6,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 (-7.5, 60.8)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(-1.5, 2.5)</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Foot examination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(-8.5,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(-1.1, 8.4), -1.1 (-2.1,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(-17.7, 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(-11.8,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(-4.9, 19.7)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(0.5, 3.4), -1.4 (-3.3,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(-7.0, 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(-0.7,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(-19.5, 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(-5.2, 31.2)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(-28.7,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(-1.8,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(16.0)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(-56.5, 115.1)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(-2.5,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 (-9.6, 45.9)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(-1.2,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65.9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(14.3)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 (-75.4, 24.8)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(-4.1,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(-4.1,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(-6.2, 22.1)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(-17.1, 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(-1.9, 12.6), -1.4 (-2.9,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(-7.7, 22.7)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(-1.1,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(-15.4, 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(-1.4,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(-30.4, 19.3)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(-3.1,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(-3.1,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(12.9)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(-47.8, 105.2)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(-3.7,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(-1.6, 17.1)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(-0.4,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(-16.1, 22.6)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(-24.7, 18.8)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(-18.9, 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(-15.3, 44.3)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(-0.9, 2.5)</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Values in these columns were estimated excluding data from 2020.</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Percent change: the percent change in the proportion from 2008 to 2019.</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Years identified as Joinpoint years.</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Average annual percent change: the slope of the line over the entire study period.</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2023-08-18T17:16:41Z</dcterms:created>
  <dcterms:modified xsi:type="dcterms:W3CDTF">2023-08-18T17:16:41Z</dcterms:modified>
</cp:coreProperties>
</file>

<file path=docProps/custom.xml><?xml version="1.0" encoding="utf-8"?>
<Properties xmlns="http://schemas.openxmlformats.org/officeDocument/2006/custom-properties" xmlns:vt="http://schemas.openxmlformats.org/officeDocument/2006/docPropsVTypes"/>
</file>