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Preventive service</w:t>
            </w:r>
          </w:p>
        </w:tc>
        <w:tc>
          <w:tcPr>
            <w:tcBorders>
              <w:top w:val="single" w:sz="16" w:space="0" w:color="D3D3D3"/>
              <w:bottom w:val="single" w:sz="16" w:space="0" w:color="D3D3D3"/>
            </w:tcBorders>
          </w:tcPr>
          <w:p>
            <w:pPr>
              <w:spacing w:before="0" w:after="60"/>
              <w:keepNext/>
            </w:pPr>
            <w:r>
              <w:rPr>
                <w:rFonts w:ascii="Calibri" w:hAnsi="Calibri"/>
                <w:sz w:val="20"/>
              </w:rPr>
              <w:t xml:space="default">
                Average (SE)
                <w:rPr>
                  <w:vertAlign w:val="superscript"/>
                  <w:i>true</w:i>
                  <w:t xml:space="default">*</w:t>
                  <w:i>false</w:i>
                  <w:vertAlign w:val="baseline"/>
                </w:rPr>
              </w:t>
            </w:r>
          </w:p>
        </w:tc>
        <w:tc>
          <w:tcPr>
            <w:tcBorders>
              <w:top w:val="single" w:sz="16" w:space="0" w:color="D3D3D3"/>
              <w:bottom w:val="single" w:sz="16" w:space="0" w:color="D3D3D3"/>
            </w:tcBorders>
          </w:tcPr>
          <w:p>
            <w:pPr>
              <w:spacing w:before="0" w:after="60"/>
              <w:keepNext/>
            </w:pPr>
            <w:r>
              <w:rPr>
                <w:rFonts w:ascii="Calibri" w:hAnsi="Calibri"/>
                <w:sz w:val="20"/>
              </w:rPr>
              <w:t xml:space="default">2008 (SE)</w:t>
            </w:r>
          </w:p>
        </w:tc>
        <w:tc>
          <w:tcPr>
            <w:tcBorders>
              <w:top w:val="single" w:sz="16" w:space="0" w:color="D3D3D3"/>
              <w:bottom w:val="single" w:sz="16" w:space="0" w:color="D3D3D3"/>
            </w:tcBorders>
          </w:tcPr>
          <w:p>
            <w:pPr>
              <w:spacing w:before="0" w:after="60"/>
              <w:keepNext/>
            </w:pPr>
            <w:r>
              <w:rPr>
                <w:rFonts w:ascii="Calibri" w:hAnsi="Calibri"/>
                <w:sz w:val="20"/>
              </w:rPr>
              <w:t xml:space="default">2009 (SE)</w:t>
            </w:r>
          </w:p>
        </w:tc>
        <w:tc>
          <w:tcPr>
            <w:tcBorders>
              <w:top w:val="single" w:sz="16" w:space="0" w:color="D3D3D3"/>
              <w:bottom w:val="single" w:sz="16" w:space="0" w:color="D3D3D3"/>
            </w:tcBorders>
          </w:tcPr>
          <w:p>
            <w:pPr>
              <w:spacing w:before="0" w:after="60"/>
              <w:keepNext/>
            </w:pPr>
            <w:r>
              <w:rPr>
                <w:rFonts w:ascii="Calibri" w:hAnsi="Calibri"/>
                <w:sz w:val="20"/>
              </w:rPr>
              <w:t xml:space="default">2010 (SE)</w:t>
            </w:r>
          </w:p>
        </w:tc>
        <w:tc>
          <w:tcPr>
            <w:tcBorders>
              <w:top w:val="single" w:sz="16" w:space="0" w:color="D3D3D3"/>
              <w:bottom w:val="single" w:sz="16" w:space="0" w:color="D3D3D3"/>
            </w:tcBorders>
          </w:tcPr>
          <w:p>
            <w:pPr>
              <w:spacing w:before="0" w:after="60"/>
              <w:keepNext/>
            </w:pPr>
            <w:r>
              <w:rPr>
                <w:rFonts w:ascii="Calibri" w:hAnsi="Calibri"/>
                <w:sz w:val="20"/>
              </w:rPr>
              <w:t xml:space="default">2011 (SE)</w:t>
            </w:r>
          </w:p>
        </w:tc>
        <w:tc>
          <w:tcPr>
            <w:tcBorders>
              <w:top w:val="single" w:sz="16" w:space="0" w:color="D3D3D3"/>
              <w:bottom w:val="single" w:sz="16" w:space="0" w:color="D3D3D3"/>
            </w:tcBorders>
          </w:tcPr>
          <w:p>
            <w:pPr>
              <w:spacing w:before="0" w:after="60"/>
              <w:keepNext/>
            </w:pPr>
            <w:r>
              <w:rPr>
                <w:rFonts w:ascii="Calibri" w:hAnsi="Calibri"/>
                <w:sz w:val="20"/>
              </w:rPr>
              <w:t xml:space="default">2012 (SE)</w:t>
            </w:r>
          </w:p>
        </w:tc>
        <w:tc>
          <w:tcPr>
            <w:tcBorders>
              <w:top w:val="single" w:sz="16" w:space="0" w:color="D3D3D3"/>
              <w:bottom w:val="single" w:sz="16" w:space="0" w:color="D3D3D3"/>
            </w:tcBorders>
          </w:tcPr>
          <w:p>
            <w:pPr>
              <w:spacing w:before="0" w:after="60"/>
              <w:keepNext/>
            </w:pPr>
            <w:r>
              <w:rPr>
                <w:rFonts w:ascii="Calibri" w:hAnsi="Calibri"/>
                <w:sz w:val="20"/>
              </w:rPr>
              <w:t xml:space="default">2013 (SE)</w:t>
            </w:r>
          </w:p>
        </w:tc>
        <w:tc>
          <w:tcPr>
            <w:tcBorders>
              <w:top w:val="single" w:sz="16" w:space="0" w:color="D3D3D3"/>
              <w:bottom w:val="single" w:sz="16" w:space="0" w:color="D3D3D3"/>
            </w:tcBorders>
          </w:tcPr>
          <w:p>
            <w:pPr>
              <w:spacing w:before="0" w:after="60"/>
              <w:keepNext/>
            </w:pPr>
            <w:r>
              <w:rPr>
                <w:rFonts w:ascii="Calibri" w:hAnsi="Calibri"/>
                <w:sz w:val="20"/>
              </w:rPr>
              <w:t xml:space="default">2014 (SE)</w:t>
            </w:r>
          </w:p>
        </w:tc>
        <w:tc>
          <w:tcPr>
            <w:tcBorders>
              <w:top w:val="single" w:sz="16" w:space="0" w:color="D3D3D3"/>
              <w:bottom w:val="single" w:sz="16" w:space="0" w:color="D3D3D3"/>
            </w:tcBorders>
          </w:tcPr>
          <w:p>
            <w:pPr>
              <w:spacing w:before="0" w:after="60"/>
              <w:keepNext/>
            </w:pPr>
            <w:r>
              <w:rPr>
                <w:rFonts w:ascii="Calibri" w:hAnsi="Calibri"/>
                <w:sz w:val="20"/>
              </w:rPr>
              <w:t xml:space="default">2015 (SE)</w:t>
            </w:r>
          </w:p>
        </w:tc>
        <w:tc>
          <w:tcPr>
            <w:tcBorders>
              <w:top w:val="single" w:sz="16" w:space="0" w:color="D3D3D3"/>
              <w:bottom w:val="single" w:sz="16" w:space="0" w:color="D3D3D3"/>
            </w:tcBorders>
          </w:tcPr>
          <w:p>
            <w:pPr>
              <w:spacing w:before="0" w:after="60"/>
              <w:keepNext/>
            </w:pPr>
            <w:r>
              <w:rPr>
                <w:rFonts w:ascii="Calibri" w:hAnsi="Calibri"/>
                <w:sz w:val="20"/>
              </w:rPr>
              <w:t xml:space="default">2016 (SE)</w:t>
            </w:r>
          </w:p>
        </w:tc>
        <w:tc>
          <w:tcPr>
            <w:tcBorders>
              <w:top w:val="single" w:sz="16" w:space="0" w:color="D3D3D3"/>
              <w:bottom w:val="single" w:sz="16" w:space="0" w:color="D3D3D3"/>
            </w:tcBorders>
          </w:tcPr>
          <w:p>
            <w:pPr>
              <w:spacing w:before="0" w:after="60"/>
              <w:keepNext/>
            </w:pPr>
            <w:r>
              <w:rPr>
                <w:rFonts w:ascii="Calibri" w:hAnsi="Calibri"/>
                <w:sz w:val="20"/>
              </w:rPr>
              <w:t xml:space="default">2017 (SE)</w:t>
            </w:r>
          </w:p>
        </w:tc>
        <w:tc>
          <w:tcPr>
            <w:tcBorders>
              <w:top w:val="single" w:sz="16" w:space="0" w:color="D3D3D3"/>
              <w:bottom w:val="single" w:sz="16" w:space="0" w:color="D3D3D3"/>
            </w:tcBorders>
          </w:tcPr>
          <w:p>
            <w:pPr>
              <w:spacing w:before="0" w:after="60"/>
              <w:keepNext/>
            </w:pPr>
            <w:r>
              <w:rPr>
                <w:rFonts w:ascii="Calibri" w:hAnsi="Calibri"/>
                <w:sz w:val="20"/>
              </w:rPr>
              <w:t xml:space="default">2018 (SE)</w:t>
            </w:r>
          </w:p>
        </w:tc>
        <w:tc>
          <w:tcPr>
            <w:tcBorders>
              <w:top w:val="single" w:sz="16" w:space="0" w:color="D3D3D3"/>
              <w:bottom w:val="single" w:sz="16" w:space="0" w:color="D3D3D3"/>
            </w:tcBorders>
          </w:tcPr>
          <w:p>
            <w:pPr>
              <w:spacing w:before="0" w:after="60"/>
              <w:keepNext/>
            </w:pPr>
            <w:r>
              <w:rPr>
                <w:rFonts w:ascii="Calibri" w:hAnsi="Calibri"/>
                <w:sz w:val="20"/>
              </w:rPr>
              <w:t xml:space="default">2019 (SE)</w:t>
            </w:r>
          </w:p>
        </w:tc>
        <w:tc>
          <w:tcPr>
            <w:tcBorders>
              <w:top w:val="single" w:sz="16" w:space="0" w:color="D3D3D3"/>
              <w:bottom w:val="single" w:sz="16" w:space="0" w:color="D3D3D3"/>
            </w:tcBorders>
          </w:tcPr>
          <w:p>
            <w:pPr>
              <w:spacing w:before="0" w:after="60"/>
              <w:keepNext/>
            </w:pPr>
            <w:r>
              <w:rPr>
                <w:rFonts w:ascii="Calibri" w:hAnsi="Calibri"/>
                <w:sz w:val="20"/>
              </w:rPr>
              <w:t xml:space="default">2020 (SE)</w:t>
            </w:r>
          </w:p>
        </w:tc>
        <w:tc>
          <w:tcPr>
            <w:tcBorders>
              <w:top w:val="single" w:sz="16" w:space="0" w:color="D3D3D3"/>
              <w:bottom w:val="single" w:sz="16" w:space="0" w:color="D3D3D3"/>
            </w:tcBorders>
          </w:tcPr>
          <w:p>
            <w:pPr>
              <w:spacing w:before="0" w:after="60"/>
              <w:keepNext/>
            </w:pPr>
            <w:r>
              <w:rPr>
                <w:rFonts w:ascii="Calibri" w:hAnsi="Calibri"/>
                <w:sz w:val="20"/>
              </w:rPr>
              <w:t xml:space="default">
                Percent Change (95% CI)
                <w:rPr>
                  <w:vertAlign w:val="superscript"/>
                  <w:i>true</w:i>
                  <w:t xml:space="default">*,†</w:t>
                  <w:i>false</w:i>
                  <w:vertAlign w:val="baseline"/>
                </w:rPr>
              </w:t>
            </w:r>
          </w:p>
        </w:tc>
        <w:tc>
          <w:tcPr>
            <w:tcBorders>
              <w:top w:val="single" w:sz="16" w:space="0" w:color="D3D3D3"/>
              <w:bottom w:val="single" w:sz="16" w:space="0" w:color="D3D3D3"/>
            </w:tcBorders>
          </w:tcPr>
          <w:p>
            <w:pPr>
              <w:spacing w:before="0" w:after="60"/>
              <w:keepNext/>
            </w:pPr>
            <w:r>
              <w:rPr>
                <w:rFonts w:ascii="Calibri" w:hAnsi="Calibri"/>
                <w:sz w:val="20"/>
              </w:rPr>
              <w:t xml:space="default">
                Joinpoint Year
                <w:rPr>
                  <w:vertAlign w:val="superscript"/>
                  <w:i>true</w:i>
                  <w:t xml:space="default">‡</w:t>
                  <w:i>false</w:i>
                  <w:vertAlign w:val="baseline"/>
                </w:rPr>
              </w:t>
            </w:r>
          </w:p>
        </w:tc>
        <w:tc>
          <w:tcPr>
            <w:tcBorders>
              <w:top w:val="single" w:sz="16" w:space="0" w:color="D3D3D3"/>
              <w:bottom w:val="single" w:sz="16" w:space="0" w:color="D3D3D3"/>
            </w:tcBorders>
          </w:tcPr>
          <w:p>
            <w:pPr>
              <w:spacing w:before="0" w:after="60"/>
              <w:keepNext/>
            </w:pPr>
            <w:r>
              <w:rPr>
                <w:rFonts w:ascii="Calibri" w:hAnsi="Calibri"/>
                <w:sz w:val="20"/>
              </w:rPr>
              <w:t xml:space="default">
                APC (95% CI)
                <w:rPr>
                  <w:vertAlign w:val="superscript"/>
                  <w:i>true</w:i>
                  <w:t xml:space="default">*,§</w:t>
                  <w:i>false</w:i>
                  <w:vertAlign w:val="baseline"/>
                </w:rPr>
              </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
                AAPC (95% CI)
                <w:rPr>
                  <w:vertAlign w:val="superscript"/>
                  <w:i>true</w:i>
                  <w:t xml:space="default">*,||</w:t>
                  <w:i>false</w:i>
                  <w:vertAlign w:val="baseline"/>
                </w:rPr>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Cholesterol tested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84.4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82.7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84.3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87.8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89.0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84.9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85.9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85.9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89.9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89.3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77.0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79.7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76.8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71.1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 (-14.5,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 (-1.6, 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 (-1.6,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Received influenza vaccine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41.8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33.6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36.5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40.5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45.4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47.6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44.7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41.0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39.4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43.4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42.2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43.1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44.4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42.5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32.4 (11.3, 53.5)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2012, 2015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9.2 (6.9, 11.6), -6.0 (-12.1, 0.6), 2.9 (0.7, 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 (1.1, 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One or more dentist visits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35.7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37.2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37.0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32.8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36.6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32.6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35.1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34.6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35.9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32.6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34.6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37.9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41.9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32.7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12.9 (-5.6, 31.3)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 (-2.2, 0.9), 11.6 (-6.1, 32.7)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 (-1.4, 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Two or more A1C tests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53.0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53.7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49.1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51.7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55.4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50.1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48.8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52.3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53.6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54.7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52.7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55.3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58.3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59.3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 (-4.3, 21.7)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 (-0.1,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 (-0.1,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Dilated eye exam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55.5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55.5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52.6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56.6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58.8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59.8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57.7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54.8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54.3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55.0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51.7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56.6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52.3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49.7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 (-18.2, 6.9)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 (-1.3,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 (-1.3, 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Foot examination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61.4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57.9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61.3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60.8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64.3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66.2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61.7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64.0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60.3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59.5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62.0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59.4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59.7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54.4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 (-8.5, 14.9)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 (-1.1, 8.4), -1.1 (-2.1, -0.1)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(-1.0, 1.4)</w:t>
            </w:r>
          </w:p>
        </w:tc>
      </w:tr>
      <w:tr>
        <w:trPr>
          <w:cantSplit/>
        </w:trPr>
        <w:tc>
          <w:tcPr/>
          <w:p>
            <w:pPr>
              <w:spacing w:before="0" w:after="60"/>
              <w:gridSpan w:val="19"/>
              <w:keepNext/>
            </w:pPr>
            <w:r>
              <w:rPr>
                <w:rFonts w:ascii="Calibri" w:hAnsi="Calibri"/>
                <w:sz w:val="20"/>
                <w:vertAlign w:val="superscript"/>
                <w:i>true</w:i>
              </w:rPr>
              <w:t xml:space="default">*</w:t>
            </w:r>
            <w:r>
              <w:rPr>
                <w:rFonts w:ascii="Calibri" w:hAnsi="Calibri"/>
                <w:sz w:val="20"/>
                <w:vertAlign w:val="baseline"/>
              </w:rPr>
              <w:t xml:space="default">Values in these columns were estimated excluding data from 2020.</w:t>
            </w:r>
          </w:p>
        </w:tc>
      </w:tr>
      <w:tr>
        <w:trPr>
          <w:cantSplit/>
        </w:trPr>
        <w:tc>
          <w:tcPr/>
          <w:p>
            <w:pPr>
              <w:spacing w:before="0" w:after="60"/>
              <w:gridSpan w:val="19"/>
              <w:keepNext/>
            </w:pPr>
            <w:r>
              <w:rPr>
                <w:rFonts w:ascii="Calibri" w:hAnsi="Calibri"/>
                <w:sz w:val="20"/>
                <w:vertAlign w:val="superscript"/>
                <w:i>true</w:i>
              </w:rPr>
              <w:t xml:space="default">†</w:t>
            </w:r>
            <w:r>
              <w:rPr>
                <w:rFonts w:ascii="Calibri" w:hAnsi="Calibri"/>
                <w:sz w:val="20"/>
                <w:vertAlign w:val="baseline"/>
              </w:rPr>
              <w:t xml:space="default">Percent change: the percent change in the proportion from 2008 to 2019.</w:t>
            </w:r>
          </w:p>
        </w:tc>
      </w:tr>
      <w:tr>
        <w:trPr>
          <w:cantSplit/>
        </w:trPr>
        <w:tc>
          <w:tcPr/>
          <w:p>
            <w:pPr>
              <w:spacing w:before="0" w:after="60"/>
              <w:gridSpan w:val="19"/>
              <w:keepNext/>
            </w:pPr>
            <w:r>
              <w:rPr>
                <w:rFonts w:ascii="Calibri" w:hAnsi="Calibri"/>
                <w:sz w:val="20"/>
                <w:vertAlign w:val="superscript"/>
                <w:i>true</w:i>
              </w:rPr>
              <w:t xml:space="default">‡</w:t>
            </w:r>
            <w:r>
              <w:rPr>
                <w:rFonts w:ascii="Calibri" w:hAnsi="Calibri"/>
                <w:sz w:val="20"/>
                <w:vertAlign w:val="baseline"/>
              </w:rPr>
              <w:t xml:space="default">Years identified as Joinpoint years.</w:t>
            </w:r>
          </w:p>
        </w:tc>
      </w:tr>
      <w:tr>
        <w:trPr>
          <w:cantSplit/>
        </w:trPr>
        <w:tc>
          <w:tcPr/>
          <w:p>
            <w:pPr>
              <w:spacing w:before="0" w:after="60"/>
              <w:gridSpan w:val="19"/>
              <w:keepNext/>
            </w:pPr>
            <w:r>
              <w:rPr>
                <w:rFonts w:ascii="Calibri" w:hAnsi="Calibri"/>
                <w:sz w:val="20"/>
                <w:vertAlign w:val="superscript"/>
                <w:i>true</w:i>
              </w:rPr>
              <w:t xml:space="default">§</w:t>
            </w:r>
            <w:r>
              <w:rPr>
                <w:rFonts w:ascii="Calibri" w:hAnsi="Calibri"/>
                <w:sz w:val="20"/>
                <w:vertAlign w:val="baseline"/>
              </w:rPr>
              <w:t xml:space="default">Annual percent change: the slope of the line in each period demarcated by a Joinpoint year. If two Joinpoint years are identified, there will be three different annual percent changes. Joinpoint years are identified by permutation test, whereas the test of significance for APC is an asymptotic t-test. Due to the omnibus nature of the permutation test and the use of all the data in identifying the Joinpoints, the permutation tests are more powerful. In some cases, Joinpoint years are identified but the corresponding intervals for the APC will overlap zero due to this power difference.</w:t>
            </w:r>
          </w:p>
        </w:tc>
      </w:tr>
      <w:tr>
        <w:trPr>
          <w:cantSplit/>
        </w:trPr>
        <w:tc>
          <w:tcPr/>
          <w:p>
            <w:pPr>
              <w:spacing w:before="0" w:after="60"/>
              <w:gridSpan w:val="19"/>
              <w:keepNext/>
            </w:pPr>
            <w:r>
              <w:rPr>
                <w:rFonts w:ascii="Calibri" w:hAnsi="Calibri"/>
                <w:sz w:val="20"/>
                <w:vertAlign w:val="superscript"/>
                <w:i>true</w:i>
              </w:rPr>
              <w:t xml:space="default">||</w:t>
            </w:r>
            <w:r>
              <w:rPr>
                <w:rFonts w:ascii="Calibri" w:hAnsi="Calibri"/>
                <w:sz w:val="20"/>
                <w:vertAlign w:val="baseline"/>
              </w:rPr>
              <w:t xml:space="default">Average annual percent change: the slope of the line over the entire study period.</w:t>
            </w:r>
          </w:p>
        </w:tc>
      </w:tr>
    </w:tbl>
    <w:p>
      <w:pPr>
        <w:pStyle w:val="FirstParagraph"/>
      </w:pPr>
      <w:r>
        <w:t xml:space="preserve"/>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2023-08-18T17:14:20Z</dcterms:created>
  <dcterms:modified xsi:type="dcterms:W3CDTF">2023-08-18T17:14:20Z</dcterms:modified>
</cp:coreProperties>
</file>

<file path=docProps/custom.xml><?xml version="1.0" encoding="utf-8"?>
<Properties xmlns="http://schemas.openxmlformats.org/officeDocument/2006/custom-properties" xmlns:vt="http://schemas.openxmlformats.org/officeDocument/2006/docPropsVTypes"/>
</file>